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2"/>
          <w:szCs w:val="42"/>
          <w:b w:val="1"/>
          <w:bCs w:val="1"/>
          <w:color w:val="auto"/>
        </w:rPr>
        <w:t>DAY ONE BIOPHARMACEUTICALS, INC.</w:t>
      </w:r>
    </w:p>
    <w:p>
      <w:pPr>
        <w:spacing w:after="0" w:line="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83-2415215</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1800 Sierra Point Parkway, Suite 200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Brisbane, California</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94005</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484-0899</w:t>
      </w:r>
    </w:p>
    <w:p>
      <w:pPr>
        <w:spacing w:after="0" w:line="1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DAWN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On June 2, 2025, Day One Biopharmaceuticals, Inc. (the “Company”) held its 2025 Annual Meeting of Stockholders and the Company’s stockholders voted on and approved the following proposals:</w:t>
      </w:r>
    </w:p>
    <w:p>
      <w:pPr>
        <w:spacing w:after="0" w:line="67" w:lineRule="exact"/>
        <w:rPr>
          <w:sz w:val="20"/>
          <w:szCs w:val="20"/>
          <w:color w:val="auto"/>
        </w:rPr>
      </w:pPr>
    </w:p>
    <w:p>
      <w:pPr>
        <w:ind w:left="424" w:right="100" w:hanging="424"/>
        <w:spacing w:after="0" w:line="266"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two Class I Directors, Natalie Holles and Garry Nicholson, M.B.A., each to serve a three-year term, which will expire at the 2028 Annual Meeting of Stockholders and until such time as their respective successors have been duly elected and qualified or until such director’s earlier resignation or removal. The vote tally was as follows:</w:t>
      </w:r>
    </w:p>
    <w:p>
      <w:pPr>
        <w:spacing w:after="0" w:line="196" w:lineRule="exact"/>
        <w:rPr>
          <w:sz w:val="20"/>
          <w:szCs w:val="20"/>
          <w:color w:val="auto"/>
        </w:rPr>
      </w:pPr>
    </w:p>
    <w:tbl>
      <w:tblPr>
        <w:tblLayout w:type="fixed"/>
        <w:tblInd w:w="884" w:type="dxa"/>
        <w:tblCellMar>
          <w:top w:w="0" w:type="dxa"/>
          <w:left w:w="0" w:type="dxa"/>
          <w:bottom w:w="0" w:type="dxa"/>
          <w:right w:w="0" w:type="dxa"/>
        </w:tblCellMar>
      </w:tblPr>
      <w:tr>
        <w:trPr>
          <w:trHeight w:val="193"/>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4780" w:type="dxa"/>
            <w:vAlign w:val="bottom"/>
          </w:tcPr>
          <w:p>
            <w:pPr>
              <w:spacing w:after="0"/>
              <w:rPr>
                <w:sz w:val="16"/>
                <w:szCs w:val="16"/>
                <w:color w:val="auto"/>
              </w:rPr>
            </w:pPr>
          </w:p>
        </w:tc>
        <w:tc>
          <w:tcPr>
            <w:tcW w:w="86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Shares Withheld</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3"/>
        </w:trPr>
        <w:tc>
          <w:tcPr>
            <w:tcW w:w="5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Natalie Holles</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81,975,302</w:t>
            </w:r>
          </w:p>
        </w:tc>
        <w:tc>
          <w:tcPr>
            <w:tcW w:w="4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1,357,027</w:t>
            </w:r>
          </w:p>
        </w:tc>
        <w:tc>
          <w:tcPr>
            <w:tcW w:w="4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6,470,934</w:t>
            </w:r>
          </w:p>
        </w:tc>
        <w:tc>
          <w:tcPr>
            <w:tcW w:w="60" w:type="dxa"/>
            <w:vAlign w:val="bottom"/>
            <w:tcBorders>
              <w:top w:val="single" w:sz="8" w:color="CCEEFF"/>
            </w:tcBorders>
            <w:shd w:val="clear" w:color="auto" w:fill="CCEEFF"/>
          </w:tcPr>
          <w:p>
            <w:pPr>
              <w:spacing w:after="0"/>
              <w:rPr>
                <w:sz w:val="17"/>
                <w:szCs w:val="17"/>
                <w:color w:val="auto"/>
              </w:rPr>
            </w:pPr>
          </w:p>
        </w:tc>
      </w:tr>
      <w:tr>
        <w:trPr>
          <w:trHeight w:val="234"/>
        </w:trPr>
        <w:tc>
          <w:tcPr>
            <w:tcW w:w="5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Garry Nicholson, M.B.A.</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65,553,238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17,779,091</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6,470,934</w:t>
            </w:r>
          </w:p>
        </w:tc>
        <w:tc>
          <w:tcPr>
            <w:tcW w:w="60" w:type="dxa"/>
            <w:vAlign w:val="bottom"/>
          </w:tcPr>
          <w:p>
            <w:pPr>
              <w:spacing w:after="0"/>
              <w:rPr>
                <w:sz w:val="20"/>
                <w:szCs w:val="20"/>
                <w:color w:val="auto"/>
              </w:rPr>
            </w:pPr>
          </w:p>
        </w:tc>
      </w:tr>
    </w:tbl>
    <w:p>
      <w:pPr>
        <w:spacing w:after="0" w:line="206" w:lineRule="exact"/>
        <w:rPr>
          <w:sz w:val="20"/>
          <w:szCs w:val="20"/>
          <w:color w:val="auto"/>
        </w:rPr>
      </w:pPr>
    </w:p>
    <w:p>
      <w:pPr>
        <w:ind w:left="424"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appointment of PricewaterhouseCoopers LLP as the independent registered public accounting firm of the Company for its fiscal year ending December 31, 2025. The vote tally was as follows:</w:t>
      </w:r>
    </w:p>
    <w:p>
      <w:pPr>
        <w:spacing w:after="0" w:line="182" w:lineRule="exact"/>
        <w:rPr>
          <w:sz w:val="20"/>
          <w:szCs w:val="20"/>
          <w:color w:val="auto"/>
        </w:rPr>
      </w:pPr>
    </w:p>
    <w:tbl>
      <w:tblPr>
        <w:tblLayout w:type="fixed"/>
        <w:tblInd w:w="1324" w:type="dxa"/>
        <w:tblCellMar>
          <w:top w:w="0" w:type="dxa"/>
          <w:left w:w="0" w:type="dxa"/>
          <w:bottom w:w="0" w:type="dxa"/>
          <w:right w:w="0" w:type="dxa"/>
        </w:tblCellMar>
      </w:tblPr>
      <w:tr>
        <w:trPr>
          <w:trHeight w:val="187"/>
        </w:trPr>
        <w:tc>
          <w:tcPr>
            <w:tcW w:w="2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Abstaining</w:t>
            </w:r>
          </w:p>
        </w:tc>
      </w:tr>
      <w:tr>
        <w:trPr>
          <w:trHeight w:val="209"/>
        </w:trPr>
        <w:tc>
          <w:tcPr>
            <w:tcW w:w="2840" w:type="dxa"/>
            <w:vAlign w:val="bottom"/>
            <w:tcBorders>
              <w:top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89,705,033</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74,951</w:t>
            </w:r>
          </w:p>
        </w:tc>
        <w:tc>
          <w:tcPr>
            <w:tcW w:w="8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8"/>
                <w:szCs w:val="18"/>
                <w:color w:val="auto"/>
              </w:rPr>
              <w:t>23,279</w:t>
            </w:r>
          </w:p>
        </w:tc>
      </w:tr>
    </w:tbl>
    <w:p>
      <w:pPr>
        <w:spacing w:after="0" w:line="225"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 non-binding advisory basis, of the compensation of the Company’s named executive officers. The vote tally was as follows: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87"/>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Abstaining</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9"/>
        </w:trPr>
        <w:tc>
          <w:tcPr>
            <w:tcW w:w="2220" w:type="dxa"/>
            <w:vAlign w:val="bottom"/>
            <w:tcBorders>
              <w:top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82,385,592</w:t>
            </w:r>
          </w:p>
        </w:tc>
        <w:tc>
          <w:tcPr>
            <w:tcW w:w="14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879,957</w:t>
            </w:r>
          </w:p>
        </w:tc>
        <w:tc>
          <w:tcPr>
            <w:tcW w:w="100" w:type="dxa"/>
            <w:vAlign w:val="bottom"/>
            <w:tcBorders>
              <w:top w:val="single" w:sz="8" w:color="CCEEFF"/>
            </w:tcBorders>
            <w:shd w:val="clear" w:color="auto" w:fill="CCEEFF"/>
          </w:tcPr>
          <w:p>
            <w:pPr>
              <w:spacing w:after="0"/>
              <w:rPr>
                <w:sz w:val="18"/>
                <w:szCs w:val="18"/>
                <w:color w:val="auto"/>
              </w:rPr>
            </w:pPr>
          </w:p>
        </w:tc>
        <w:tc>
          <w:tcPr>
            <w:tcW w:w="2300" w:type="dxa"/>
            <w:vAlign w:val="bottom"/>
            <w:tcBorders>
              <w:top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66,780</w:t>
            </w:r>
          </w:p>
        </w:tc>
        <w:tc>
          <w:tcPr>
            <w:tcW w:w="8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6,470,934</w:t>
            </w:r>
          </w:p>
        </w:tc>
      </w:tr>
    </w:tbl>
    <w:p>
      <w:pPr>
        <w:sectPr>
          <w:pgSz w:w="11900" w:h="16838" w:orient="portrait"/>
          <w:cols w:equalWidth="0" w:num="1">
            <w:col w:w="11004"/>
          </w:cols>
          <w:pgMar w:left="436" w:top="293" w:right="45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DAY ONE BIOPHARMACEUTICALS,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Charles N. York II, M.B.A.</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sectPr>
      <w:pgSz w:w="11900" w:h="16838" w:orient="portrait"/>
      <w:cols w:equalWidth="0" w:num="1">
        <w:col w:w="10940"/>
      </w:cols>
      <w:pgMar w:left="440" w:top="29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2025-06-03T15:10:51Z</dcterms:created>
  <dcterms:modified xsi:type="dcterms:W3CDTF">2025-06-03T15:10:51Z</dcterms:modified>
</cp:coreProperties>
</file>