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awn-20231231.htm"/>
      <w:bookmarkStart w:id="1" w:name="ksdawn20231231"/>
      <w:bookmarkEnd w:id="0"/>
      <w:bookmarkEnd w:id="1"/>
      <w:r>
        <w:rPr/>
        <w:t> </w:t>
      </w:r>
    </w:p>
    <w:p>
      <w:pPr>
        <w:pStyle w:val="TextBody"/>
        <w:pBdr>
          <w:top w:val="double" w:sz="6" w:space="1" w:color="000000"/>
        </w:pBdr>
        <w:bidi w:val="0"/>
        <w:jc w:val="left"/>
        <w:rPr>
          <w:rFonts w:ascii="Times New Roman" w:hAnsi="Times New Roman"/>
          <w:color w:val="000000"/>
          <w:sz w:val="6"/>
        </w:rPr>
      </w:pPr>
      <w:r>
        <w:rPr>
          <w:rFonts w:ascii="Times New Roman" w:hAnsi="Times New Roman"/>
          <w:color w:val="000000"/>
          <w:sz w:val="6"/>
        </w:rPr>
        <w:t>l</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2023</w:t>
      </w:r>
    </w:p>
    <w:p>
      <w:pPr>
        <w:pStyle w:val="TextBody"/>
        <w:bidi w:val="0"/>
        <w:spacing w:before="6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001-40431</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46"/>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8" w:space="1" w:color="000000"/>
        </w:pBdr>
        <w:bidi w:val="0"/>
        <w:jc w:val="center"/>
        <w:rPr/>
      </w:pPr>
      <w:r>
        <w:rPr/>
        <w:t> </w:t>
      </w:r>
    </w:p>
    <w:tbl>
      <w:tblPr>
        <w:tblW w:w="3977" w:type="dxa"/>
        <w:jc w:val="left"/>
        <w:tblInd w:w="0" w:type="dxa"/>
        <w:tblLayout w:type="fixed"/>
        <w:tblCellMar>
          <w:top w:w="28" w:type="dxa"/>
          <w:left w:w="28" w:type="dxa"/>
          <w:bottom w:w="28" w:type="dxa"/>
          <w:right w:w="28" w:type="dxa"/>
        </w:tblCellMar>
      </w:tblPr>
      <w:tblGrid>
        <w:gridCol w:w="2881"/>
        <w:gridCol w:w="1096"/>
      </w:tblGrid>
      <w:tr>
        <w:trPr/>
        <w:tc>
          <w:tcPr>
            <w:tcW w:w="288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83-2415215</w:t>
            </w:r>
          </w:p>
        </w:tc>
      </w:tr>
      <w:tr>
        <w:trPr/>
        <w:tc>
          <w:tcPr>
            <w:tcW w:w="28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15"/>
              <w:jc w:val="center"/>
              <w:rPr>
                <w:rFonts w:ascii="Times New Roman" w:hAnsi="Times New Roman"/>
                <w:b/>
                <w:color w:val="000000"/>
                <w:sz w:val="12"/>
              </w:rPr>
            </w:pPr>
            <w:r>
              <w:rPr>
                <w:rFonts w:ascii="Times New Roman" w:hAnsi="Times New Roman"/>
                <w:b/>
                <w:color w:val="000000"/>
                <w:sz w:val="12"/>
              </w:rPr>
              <w:t>incorporation or organization)</w:t>
            </w:r>
          </w:p>
        </w:tc>
        <w:tc>
          <w:tcPr>
            <w:tcW w:w="10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Identification No.)</w:t>
            </w:r>
          </w:p>
        </w:tc>
      </w:tr>
      <w:tr>
        <w:trPr/>
        <w:tc>
          <w:tcPr>
            <w:tcW w:w="28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2000 Sierra Point Parkway, Suite 501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Brisbane, CA</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94005</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(650) 484-0899</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795" w:type="dxa"/>
        <w:jc w:val="left"/>
        <w:tblInd w:w="0" w:type="dxa"/>
        <w:tblLayout w:type="fixed"/>
        <w:tblCellMar>
          <w:top w:w="28" w:type="dxa"/>
          <w:left w:w="28" w:type="dxa"/>
          <w:bottom w:w="28" w:type="dxa"/>
          <w:right w:w="28" w:type="dxa"/>
        </w:tblCellMar>
      </w:tblPr>
      <w:tblGrid>
        <w:gridCol w:w="3361"/>
        <w:gridCol w:w="146"/>
        <w:gridCol w:w="82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DAWN</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Yes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common equity held by non-affiliates of the Registrant, based on the closing price of the shares of common stock on June 30, 2023, was approximately $758.5</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number of shares of Registrant’s Common Stock outstanding as of February 21, 2024 was 87,384,856.</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2023 Annual Meeting of Shareholders are incorporated by reference into Part III of this Annual Report on Form 10-K to the extent stated herein. The Definitive Proxy Statement will be filed within 120 days of the Registrant’s fiscal year ended December 31, 2022. Except with respect to information specifically incorporated by reference in this Form 10-K, the Proxy Statement is not deemed to be filed as part of this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21E of the Securities Exchange Act of 1934, as amended, or the Exchange Act, and section 27A of the Securities Act of 1933, as amended, or the Securities Act. All statements contained in this Annual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changing interest rates, cybersecurity incidents, potential instability in the global banking system, uncertainty with respect to the federal debt ceiling and budget and potential government shutdowns related thereto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subject to a number of risks, uncertainties and assumptions, including those described in Part I, Item 1A, “Risk Factors”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Annual Report with the understanding that our actual future results, levels of activity, performance and events and circumstances may be materially different from what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context indicates otherwise, as used in this Annual Report on Form 10-K, the terms “Day One,” “the Company,” “we,” “us,” and “our” refer to Day One Biopharmaceuticals, Inc., a Delaware corporation, and its consolidated subsidiaries taken as a whole, unless otherwise noted. “Day One” and all product candidate names are our common law trademarks.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Consolidated 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36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was founded to address a critical unmet need: the dire lack of therapeutic development in pediatric cancer.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dedicated to developing and commercializing targeted therapies for people of all ages with life threatening diseases. We focus our initial clinical development efforts on pediatric patients living with cancer, a vulnerable population that has been underserved in the recent revolution in targeted therapeutics and immuno-oncology.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candidate, tovorafenib, is an oral, brain-penetrant, highly selective type II rapidly accelerated fibrosarcoma, or RAF, kinase inhibitor. Tovorafenib has been studied in over 450 patients and has been shown to be generally well-tolerated as a monotherapy. Tovorafenib has demonstrated encouraging anti-tumor activity in pediatric and adult populations with specific genetic alterations that result in the over-activation of the mitogen-activated protein kinase, or MAPK, pathway leading to uncontrolled cell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Tovorafenib was granted breakthrough therapy designation by the U.S. Food and Drug Administration, or the FDA, in August 2020 for the treatment of relapsed or refractory pediatric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We received orphan drug designation for the treatment of malignant glioma from the FDA in September 2020 and from the EU Commission for the treatment of glioma in May 2021. Additionally, the FDA granted rare pediatric disease designation to tovorafenib for treatment of low-grade gliomas, or LGGs, harboring an activating RAF alteration in July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initiated and fully enrolled a pivotal Phase 2 trial, or FIREFLY-1, of tovorafenib as a monotherapy for pediatric patients with relapsed or refractory LGGs harboring an activating BRAF alteration. The first patient was dosed in FIREFLY-1 in May 2021, and we completed enrollment in the registrational arm in May 2022. The FIREFLY-1 trial has also been expanded to: (a) include two additional study arms to enable expanded access for eligible patients once the primary cohort completed enrollment, and (b) evaluate the preliminary efficacy of tovorafenib in patients aged six months to 25 years with a relapsed or progressive extracranial solid tumor with an activating RAF fusion.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reported new data from the registrational arm of the Phase 2 FIREFLY-1 trial at the American Society of Clinical Oncology annual meeting in June 2023. In addition, we submitted an updated clinical study report with an additional six months of safety and efficacy data to the FDA. The data demonstrated an overall response rate, or ORR, of 67% according to the Response Assessment for Neuro-Oncology-High Grade Glioma, or RANO-HGG (primary endpoint of the trial), in the 69 evaluable patients, comprising 12 confirmed complete responses, or CR, and 34 partial responses, or PR. We observed an additional 18 patients with a best response of stable disease, or SD, resulting in a clinical benefit rate of 93% (CR + PR + unconfirmed PR + SD of any duration).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secondary analysis and exploratory endpoint analyses included the evaluation of responses according to the Response Assessment in Pediatric Neuro-Oncology Low-Grade Glioma, or RAPNO-LGG, and to the Response Assessment in Neuro-Oncology Low-Grade Glioma, or RANO-LGG. RAPNO-LGG data demonstrated an ORR of 51% in the 76 RAPNO-LGG-evaluable patients, comprising 28 PRs and 11 minor responses, or MR. We observed an additional 23 patients with a best response of SD, resulting in a clinical benefit rate of 82% (PR + unconfirmed PR + MR + unconfirmed MR + SD of any duration).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RANO-LGG data demonstrated an ORR of 53% in the 76 RANO-LGG-evaluable patients, comprising 20 PRs and 20 MRs. We observed an additional 23 patients with a best response of SD, resulting in a clinical benefit rate of 83% (PR + unconfirmed PR + MR + unconfirmed MR + SD of any duration). Safety data, based on 137 treated patients, indicated monotherapy tovorafenib to be generally well-tolerated. The vast majority of adverse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were Grade 1 or Grade 2, with the most common side effects reported related to tovorafenib being change in hair color (76%), anemia (59%), elevated creatine phosphokinase, or CPK, (58%), fatigue (55%) and vomiting (50%).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tumor reduction is a key objective of any anticancer treatment, tumor stabilization is equally clinically meaningful for patients with pLGG, as both decrease the risk of immediate and long-term sequels in a disease that otherwise has a reasonable survival rate. A key therapeutic goal with a chronic, often inoperable tumor such as pLGG, is to achieve at least disease stabilization over a number of years, thus preventing unreversible damages to neighboring brain structures, until the tumor enters a state of spontaneous senescence, which usually occurs in young adulthood. In this particular context of achieving tumor control over several years, targeted therapies are perceived as beneficial given the lack of approved therapies for most patients with pLGG. We completed the rolling New Drug Application, or NDA, submissions for the tablet formulation and for the powder solution formulation of tovorafenib for the treatment of patients with relapsed or refractory pLGG in September 2023. The NDAs were accepted for filing and granted priority review by the FDA in October 2023, with a Prescription Drug User Fee Act, or PDUFA, target action date of April 30, 2024. As of the date of this filing, the FDA indicated it does not plan to hold an advisory committee meeting to discuss the NDAs.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a pivotal Phase 3 trial, or FIREFLY-2, evaluating tovorafenib as a front-line therapy in patients aged 6 months to 25 years with pLGG in June 2022. The first patient was dosed in FIREFLY-2 in March 2023. To date, patients continue to enroll in the United States, Canada, Europe, Australia and Asia, with approximately 80 sites activated.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product candidate, pimasertib, is an oral, highly selective small molecule inhibitor of mitogen-activated protein kinases 1 and 2, or MEK, a well-characterized key signaling node in the MAPK pathway. Pimasertib has been studied in more than 10 Phase 1/2 clinical trials in over 850 patients with various tumor types, both as a monotherapy and in combination with standard of care therapies. Published preclinical studies indicated that pimasertib has higher central nervous system penetration than other MEK inhibitors.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an open-label, multicenter, Phase 1b/2a umbrella master trial, or FIRELIGHT-1, of tovorafenib as a monotherapy or in combination, which consists of two substudies. Substudy 1 is a Phase 2a trial of tovorafenib as a monotherapy in patients 12 years and older with relapsed, progressive, or refractory solid tumors harboring a MAPK pathway alteration. Despite observing responses with a generally well tolerated therapy, a limited duration of response in this rare patient population was observed. We decided in November 2023 to discontinue this monotherapy substudy and re-direct resources to other programs. Results from the substudy will be shared for presentation or publication after the final dataset becomes available. Substudy 2 is a Phase 1b/2 combination trial of tovorafenib and pimasertib in patients 12 years and older with various MAPK-altered solid tumors.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 In addition, some pediatric tumors may also benefit from a synergistic inhibition on the MAPK pathway. The first patient was dosed in May 2022 and patients are currently actively recruited in the combination dose-selection portion of the substudy. We anticipate defining a recommended phase 2 dose and schedule for use in the expansion cohorts within specific patient populations in the second half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program are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business development capabilities combined with our extensive experience in oncology drug development and deep ties within the research and patient advocacy communities, particularly within the pediatric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setting, positions us to be a leader in identifying, acquiring and developing therapies for patients of all ages. We hold exclusive worldwide rights to tovorafenib and to pimasertib for all therapeutic areas subject to certain milestone and royalty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approximately 15,500 children under the age of 18 in the United States and 300,000 globally are diagnosed with cancer. Moreover, cancer remains the most common cause of death by disease for children in the United States, accounting for over 1,700 deaths per year. Despite the need for safer and more effective therapies for childhood cancers, new drugs for pediatric patients are rare. Of the 117 non-hormonal oncology drugs approved by the FDA between 1997 and 2017, only six had an initial approval that included children. Generally, medicinal product testing in children is deferred until trials in adults reach late-stage clinical development. As a result, the first pediatric trials of an oncology product candidate usually initiate about six years after an initial clinical trial in adults.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generation of large-scale molecular profiling datasets necessary to define addressable subpopulations in pediatric oncology has occurred relatively recently. Advances in our understanding of pediatric cancer biology have revealed patient populations with druggable genetic alterations. Our management team, which has significant pediatric oncology and rare diseases drug development experience, believes targeted therapies, such as tovorafenib, have the potential to be studied in children sooner in order to address the large unmet need in pediatric cancers where new agents that address the specific genetic drivers of a tumor can meaningfully improve long-term prognosis.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team’s extensive capabilities and experience in pediatric oncology, and our relationships across all key stakeholders in the pediatric medical community, enable us to effectively navigate the challenges and nuances of pediatric drug development. We understand that clinical development in children cannot and should not simply be viewed as clinical development in small adults. We leverage our unique expertise to focus our initial development efforts on pediatric patients, given the potential for favorable regulatory pathways, namely breakthrough therapy and orphan drug designations.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driven to help children and their families fight cancer while also addressing longstanding unmet medical needs. We believe there are a number of unique advantages to developing new oncology product candidates in pediatric patients: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Enriched responder populations.</w:t>
      </w:r>
      <w:r>
        <w:rPr>
          <w:color w:val="000000"/>
        </w:rPr>
        <w:t xml:space="preserve"> </w:t>
      </w:r>
      <w:r>
        <w:rPr>
          <w:rFonts w:ascii="Times New Roman" w:hAnsi="Times New Roman"/>
          <w:color w:val="000000"/>
          <w:sz w:val="20"/>
        </w:rPr>
        <w:t>Many pediatric tumors are less heterogeneous and genomically more stable compared to highly heterogeneous adult tumors. Genetic alterations found in pediatric tumors are often primary driver oncogenic mutations. Directly targeting these mutations may lead to deep and sustained anti-tumor activity.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Ability to efficiently advance clinical development.</w:t>
      </w:r>
      <w:r>
        <w:rPr>
          <w:color w:val="000000"/>
        </w:rPr>
        <w:t xml:space="preserve"> </w:t>
      </w:r>
      <w:r>
        <w:rPr>
          <w:rFonts w:ascii="Times New Roman" w:hAnsi="Times New Roman"/>
          <w:color w:val="000000"/>
          <w:sz w:val="20"/>
        </w:rPr>
        <w:t>Global regulatory authorities have established paths for accelerated feedback on the design and execution of clinical trials in pediatrics. Furthermore, the potential to achieve proof-of-concept and regulatory approval can be obtained with relatively smaller-sized clinical trials with clear endpoints.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Regulatory and commercial tailwinds.</w:t>
      </w:r>
      <w:r>
        <w:rPr>
          <w:color w:val="000000"/>
        </w:rPr>
        <w:t xml:space="preserve"> </w:t>
      </w:r>
      <w:r>
        <w:rPr>
          <w:rFonts w:ascii="Times New Roman" w:hAnsi="Times New Roman"/>
          <w:color w:val="000000"/>
          <w:sz w:val="20"/>
        </w:rPr>
        <w:t>The scarcity of approved products or an established standard-of-care in pediatric oncology provides multiple opportunities to bring new therapeutics to market. Passionate patient advocacy groups and investigators have the potential to accelerate the uptake of therapies, if approved.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identify, acquire and develop product candidates that target high-value oncogenic drivers in cancers with high unmet need, with an initial focus on pediatric patients. The following table summarizes our product candidate pipeline.</w:t>
      </w:r>
    </w:p>
    <w:p>
      <w:pPr>
        <w:pStyle w:val="TextBody"/>
        <w:bidi w:val="0"/>
        <w:spacing w:before="120" w:after="283"/>
        <w:jc w:val="center"/>
        <w:rPr/>
      </w:pPr>
      <w:r>
        <w:rPr/>
        <w:drawing>
          <wp:inline distT="0" distB="0" distL="0" distR="0">
            <wp:extent cx="5943600" cy="3429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42900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candidate, tovorafenib, is an oral, brain-penetrant, highly selective type II RAF kinase inhibitor that inhibits both monomeric and dimeric RAF kinase. Approved BRAF products such as vemurafenib and encorafenib are referred to as type I RAF inhibitors, which only inhibit RAF monomers and are therefore limited to use in BRAF V600-altered tumors. Unlike type I RAF inhibitors, tovorafenib has not been shown to cause paradoxical activation in RAF wild-type cells at clinically active doses – a phenomenon wherein undesired increases in MAPK signaling can lead to renewed tumor growth. Tovorafenib’s inhibition of both RAF monomers and dimers broadens its potential clinical application to treat an array of RAS- or RAF-altered solid tumors. Furthermore, studies have shown tovorafenib has higher brain penetration, distribution and exposure in comparison to other MAPK pathway inhibitors. Taken together, we believe that tovorafenib has the potential to be a high-impact targeted therapeutic in pLGG, where over half of pLGGs are driven by abnormal signaling due to RAF alterations.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rationale served as the basis on which researchers at Dana-Farber Cancer Institute initiated the development of tovorafenib in pLGG. In a Phase 1 dose-escalation study, nine pediatric patients (&lt;18 years of age) with relapsed pLGG were treated with tovorafenib. Of the eight patients with RAF fusions, two achieved a complete response by Response Assessment for Neuro-Oncology, or RANO, criteria, three had a partial response, two achieved prolonged stable disease, and one experienced progressive disease as assessed by an independent radiographic review. The median time to achieve a response was 10.5 weeks, which was a notable observation given pLGG is an indolent, slow-growing tumor. In addition to the rapid anti-tumor activity observed, tovorafenib was also well-tolerated, which is important for achieving and maintaining long-term, durable responses in these patients. Based on these results, tovorafenib has been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Tovorafenib received orphan drug designation for the treatment of malignant glioma from the FDA in September 2020 and from the EU Commission for the treatment of glioma in May 2021. Additionally, the FDA granted rare pediatric disease designation to tovorafenib for treatment of LGGs harboring an activating RAF alteration in July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second product candidate, pimasertib, is an oral, highly selective small molecule inhibitor MEK 1 and 2, a well-characterized key signaling node in the MAPK pathway. Several MEK inhibitors have received regulatory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for use in combination with type I RAF inhibitors in BRAF V600 mutant tumors. Preclinical experiments indicate that the potential benefit of combining a MEK inhibitor with a type II RAF inhibitor may be even greater due to the lack of the paradoxical effects of type II inhibitors on downstream signaling. Tovorafenib’s ability to selectively inhibit both RAF monomers and dimers may broaden its potential clinical application in combination with MEK inhibition in solid tumors driven by RAS alterations, non-BRAF V600 mutations and RAF fusions.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assembled a leadership team with a proven track record of success in building biopharmaceutical companies, and a team of drug developers with unique experience and capabilities in pediatric drug development. Our Chief Executive Officer, Jeremy Bender, Ph.D., M.B.A., brings more than 15 years of biopharmaceutical leadership experience to the company. He previously served as Vice President of Corporate Development at Gilead Sciences, Inc. where he led the team responsible for Gilead’s acquisitions, partnerships, and equity investments and oversaw more than 40 transactions exceeding $10 billion in upfront deal value, including the acquisition of Forty Seven, Inc. Samuel Blackman, M.D., Ph.D., our co-founder and Head of Research and Development, is a physician-scientist trained in pediatric hematology/oncology and neuro-oncology, and has led the early clinical development of more than ten novel cancer therapeutics and was responsible for the pediatric development of dabrafenib, resulting in the first industry-sponsored pediatric oncology “basket trial.” Charles York II, our Chief Operating and Financial Officer, previously served as Chief Financial Officer and Head of Corporate Development at Aeglea BioTherapeutics, Inc., now Spyre Therapeutics, Inc., and has more than 20 years of strategic capital formation and leadership experience. Lauren Merendino, our Chief Commercial Officer, previously led the successful launches of two products across three indications in her most recent role as Chief Commercial Officer at Myovant Sciences Ltd., now Sumitovant Biopharma Ltd., and is a seasoned commercial leader with over 25 years of pharmaceutical &amp; biotech leadership with expertise in building and leading commercial teams and a record of successful product launches. Davy Chiodin, PharmD, our Chief Development Officer, has over 15 years of experience in both adult and pediatric oncology drug development, including the development of acalabrutinib at Acerta Pharma B.V., now AstraZeneca, and served as Global Regulatory Leader, Pediatric Oncology, at Roche/Genentech. Elly Barry, M.D., our Chief Medical Officer, mostly recently was Head of Clinical Development at our Company where she played an integral role in the execution of our Company’s clinical programs. Prior to joining our Company in 2021, Dr. Barry was Global Clinical Lead for Pediatric Oncology at Pfizer, as well as Head of Pfizer’s Pediatric Oncology Leadership Team where she oversaw multiple oncology clinical programs. Mike Preigh, Ph.D., our Chief of Technology Operations, has over 25 years of experience in product development including serving as the Head of CMC at Array BioPharma Inc., now Pfizer, Inc., for over 10 years, filing over 20 Investigational New Drug Applications, or INDs, and supporting the development of marketed drugs including binimetinib and tucatinib. Adam Dubow, our General Counsel and Chief Compliance Officer, has over 20 years of industry experience, most recently serving as Chief Compliance and Ethics Officer at Bristol Myers Squibb Company in various legal and policy roles in the United States, Asia and Europe. Jaa Roberson, our Chief People Officer, has 20 years of human resources experience across the biopharma, health insurance, and retail industries. She previously served as Head of Human Resources for Bellicum Pharmaceuticals, Inc., a clinical-stage biopharmaceutical company focused on cellular immuno-oncology.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mission-driven strategy to build a differentiated, global biopharmaceutical company through the identification, development and commercialization of therapeutics that address underserved patient populations, with an initial focus on pediatric patients. The key elements of our strategy are to: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Establish a leadership position in targeted oncology therapeutics for patients of all ages through our unique expertise in pediatrics.</w:t>
      </w:r>
      <w:r>
        <w:rPr>
          <w:color w:val="000000"/>
        </w:rPr>
        <w:t xml:space="preserve"> </w:t>
      </w:r>
      <w:r>
        <w:rPr>
          <w:rFonts w:ascii="Times New Roman" w:hAnsi="Times New Roman"/>
          <w:color w:val="000000"/>
          <w:sz w:val="20"/>
        </w:rPr>
        <w:t>We have built a targeted oncology company with differentiated business and clinical development capabilities. We leverage these capabilities to navigate the unique challenges and nuances of pediatric drug development. We initially focus on pediatric patients as we believe this provides a favorable pathway to approval for our product candidates. We have established trusted relationships with the pediatric oncology community, and we seek their advice on aligning our clinical development plans with the needs of the patients and their families. We believe we are a leader in this development space and to further this position, we plan to continue to consult and strategically partner with biopharmaceutical companies, academic pediatric oncologists and scientists, and patient advocacy groups to identify areas of unmet need in pediatric oncology and then acquire high-impact assets to address these underserved patients.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Advance our lead product candidate, tovorafenib, through clinical development towards regulatory approval in pLGG.</w:t>
      </w:r>
      <w:r>
        <w:rPr>
          <w:color w:val="000000"/>
        </w:rPr>
        <w:t xml:space="preserve"> </w:t>
      </w:r>
      <w:r>
        <w:rPr>
          <w:rFonts w:ascii="Times New Roman" w:hAnsi="Times New Roman"/>
          <w:color w:val="000000"/>
          <w:sz w:val="20"/>
        </w:rPr>
        <w:t>We have demonstrated clinical proof-of-concept of tovorafenib in pediatric patients for cancers that harbor genetic alterations in RAF. Oral, once-weekly dosed tovorafenib was also well-tolerated in the Phase 1 trial in pLGG, which is important for achieving and maintaining long-term, durable responses in these patients. Further, tovorafenib received FDA breakthrough therapy designation for the treatment of pediatric patients with pLGG harboring an activating RAF alteration who require systemic therapy and who have either progressed following prior treatment or who have no satisfactory alternative treatment options. Tovorafenib also received orphan drug designation from the FDA for the treatment of malignant glioma. We are currently conducting a pivotal Phase 2 FIREFLY-1 trial of tovorafenib as a monotherapy for pediatric patients with relapsed or refractory pLGG harboring an activating BRAF alteration. We dosed the first patient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in patients aged six months to 25 years with a relapsed or progressive extracranial solid tumor with an activating RAF fusion. We reported initial data from an interim analysis from this trial in June 2022 and top-line data for all patients in January 2023. We reported new data from the registrational arm of the Phase 2 FIREFLY-1 trial at the American Society of Clinical Oncology annual meeting in June 2023 and selected analysis at the annual meeting of the Society of Neuro-Oncology in November 2023. We initiated a pivotal Phase 3 FIREFLY-2 trial of tovorafenib as a front-line therapy in patients with pLGG in the second quarter of 2022. The first patient was dosed in FIREFLY-2 in March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Maximize the therapeutic potential for tovorafenib by targeting other tumors with various unaddressed MAPK alterations, including in adults, both as a monotherapy and in combination with our second product candidate, pimasertib.</w:t>
      </w:r>
      <w:r>
        <w:rPr>
          <w:color w:val="000000"/>
        </w:rPr>
        <w:t xml:space="preserve"> </w:t>
      </w:r>
      <w:r>
        <w:rPr>
          <w:rFonts w:ascii="Times New Roman" w:hAnsi="Times New Roman"/>
          <w:color w:val="000000"/>
          <w:sz w:val="20"/>
        </w:rPr>
        <w:t xml:space="preserve">Tovorafenib has been dosed in over 325 patients in two adult Phase 1 open-label clinical trials—one trial investigating tovorafenib in monotherapy, and another in combination with other anti-cancer drugs. In both clinical trials, signs of early clinical responses emerged. Additionally, simultaneous inhibition of both RAF and MEK has been shown to lead to synergistic anti-tumor activity. We have initiated an open-label, multicenter, Phase 1b/2a FIRELIGHT-1 umbrella master trial of tovorafenib monotherapy or combination therapy, which consists of two substudies. Substudy 1 is a Phase 2 clinical trial of tovorafenib as monotherapy in patients 12 years and older with RAF–altered tumors; the first patient was dosed in November 2021. The substudy was closed in November 2023 due to the rarity of eligible patients and the limited duration of responses observed in enrolled patients. Substudy 2 is a Phase 1b/2 combination trial of tovorafenib and pimasertib in patients 12 years and older with various MAPK-altered solid tumors; the first patient was dosed in May 2022.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Deploy our differentiated and proven business development expertise to further expand our targeted oncology pipeline for patients with large unmet medical needs.</w:t>
      </w:r>
      <w:r>
        <w:rPr>
          <w:color w:val="000000"/>
        </w:rPr>
        <w:t xml:space="preserve"> </w:t>
      </w:r>
      <w:r>
        <w:rPr>
          <w:rFonts w:ascii="Times New Roman" w:hAnsi="Times New Roman"/>
          <w:color w:val="000000"/>
          <w:sz w:val="20"/>
        </w:rPr>
        <w:t>Our team has diverse backgrounds—from academia and drug research and development, to biopharmaceutical industry and business development experience. We have a proven track record of identifying and acquiring drug candidates and programs with potentially significant commercial opportunities, including successfully in-licensing our current drug candidates, tovorafenib from Takeda, pimasertib from Merck KGaA, Darmstadt, Germany, and VRK1 from Sprint. We will continue to utilize our broad experience, as well as our network of trusted relationships, to source additional high-impact assets to further expand our targeted oncology pipeline.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Evaluate opportunities to accelerate development timelines and enhance the commercial potential of our programs in collaboration with third parties.</w:t>
      </w:r>
      <w:r>
        <w:rPr>
          <w:color w:val="000000"/>
        </w:rPr>
        <w:t xml:space="preserve"> </w:t>
      </w:r>
      <w:r>
        <w:rPr>
          <w:rFonts w:ascii="Times New Roman" w:hAnsi="Times New Roman"/>
          <w:color w:val="000000"/>
          <w:sz w:val="20"/>
        </w:rPr>
        <w:t xml:space="preserve">We own full worldwide development and commercialization rights to each of our programs subject to milestone and certain royalty payments. For additional information, see the subsection titled “Significant agreements.” In the future, we may selectively enter into collaborations where we believe there is an opportunity to accelerate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commercialization of our product candidates. We intend to commercialize our product candidates in key markets either alone or with partners in order to maximize the worldwide commercial potential of our programs.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Approach: Prioritize Pediatric Cancer and Other Areas of High Unmet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company is focused on prioritizing the clinical development of novel targeted therapeutics in pediatric patients. Historically, most pharmaceutical companies focused discovery and development efforts for new cancer therapies on adult tumor types. As a result, between 1997 and 2017, for the 126 drugs that received initial FDA approval for an oncology indication, the median time between the first-in-adult trial and the first-in-child trial was 6.5 years, regardless of whether or not the drug was a chemotherapeutic, a biologic agent, or a targeted therapeutic.</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now is the right time to revisit and correct historic assumptions about pediatric oncology drug development. In doing so, we believe there are unique advantages to developing new oncology product candidates in pediatric patients, in parallel with, or even in advance of, adult indications: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Enriched responder populations.</w:t>
      </w:r>
      <w:r>
        <w:rPr>
          <w:color w:val="000000"/>
        </w:rPr>
        <w:t xml:space="preserve"> </w:t>
      </w:r>
      <w:r>
        <w:rPr>
          <w:rFonts w:ascii="Times New Roman" w:hAnsi="Times New Roman"/>
          <w:color w:val="000000"/>
          <w:sz w:val="20"/>
        </w:rPr>
        <w:t>The generation of large-scale molecular profiling datasets necessary to define addressable subpopulations in pediatric oncology has accelerated over the last decade. This has allowed scientists and drug developers to identify oncogenic drivers underlying numerous pediatric tumor types, and has revealed druggable oncogenic drivers in nearly 50% of pediatric cancers. Moreover, pediatric tumors are less heterogeneous and genomically more stable compared to highly heterogeneous adult tumors. Directly targeting these mutations may lead to deep and sustained anti-tumor activity, as demonstrated by other targeted oncology products.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Ability to efficiently advance clinical development.</w:t>
      </w:r>
      <w:r>
        <w:rPr>
          <w:color w:val="000000"/>
        </w:rPr>
        <w:t xml:space="preserve"> </w:t>
      </w:r>
      <w:r>
        <w:rPr>
          <w:rFonts w:ascii="Times New Roman" w:hAnsi="Times New Roman"/>
          <w:color w:val="000000"/>
          <w:sz w:val="20"/>
        </w:rPr>
        <w:t>Recently, global regulatory authorities have established paths for accelerated feedback on the design and execution of clinical trials in pediatrics. As part of the recent FDA Reauthorization Act, 205 relevant molecular targets were identified for pediatric cancers. In addition, new tumor-specific pediatric oncology consortia and cooperative groups have been established, allowing industry to sponsor pediatric clinical trials in the same manner as adult clinical trials. Further, the potential to achieve proof-of-concept and regulatory approval can be obtained with relatively smaller-sized clinical trials with clear endpoints.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Regulatory and commercial tailwinds.</w:t>
      </w:r>
      <w:r>
        <w:rPr>
          <w:color w:val="000000"/>
        </w:rPr>
        <w:t xml:space="preserve"> </w:t>
      </w:r>
      <w:r>
        <w:rPr>
          <w:rFonts w:ascii="Times New Roman" w:hAnsi="Times New Roman"/>
          <w:color w:val="000000"/>
          <w:sz w:val="20"/>
        </w:rPr>
        <w:t>Of the 117 non-hormonal oncology drugs approved by the FDA between 1997 and 2017, only six had an initial approval that included children. The scarcity of approved products or an established standard of care, particularly in relapsed disease in pediatric oncology, provides multiple opportunities to bring new therapeutics to market. Passionate patient advocacy groups and investigators have the potential to accelerate the uptake of therapies, if approved.</w:t>
        <w:br/>
      </w:r>
      <w:r>
        <w:rPr>
          <w:color w:val="000000"/>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company is uniquely positioned to deliver much-needed targeted therapeutics to pediatric oncology patients. We have extensive capabilities and experience with these patients, and our trusted relationships across all key stakeholders in the pediatric medical community enable us to effectively navigate the challenges and nuances of pediatric drug development. Key advantages that allow us to successfully identify and execute on opportunities in pediatric oncology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Aggregation of insights from a diverse group of key stakeholders to identify attractive development opportunities based on patient need and underlying biology.</w:t>
      </w:r>
      <w:r>
        <w:rPr>
          <w:color w:val="000000"/>
        </w:rPr>
        <w:t xml:space="preserve"> </w:t>
      </w:r>
      <w:r>
        <w:rPr>
          <w:rFonts w:ascii="Times New Roman" w:hAnsi="Times New Roman"/>
          <w:color w:val="000000"/>
          <w:sz w:val="20"/>
        </w:rPr>
        <w:t>The broad scientific expertise of our team and within our trusted global network of scientific advisors, allows us to focus and identify areas of cancer biology that are relevant to children, adolescents and adults. For instance, the BRAF wild-type gene fusions that are the most common BRAF alteration in pLGG have been shown to be oncogenic in several adult solid tumor types, and may be addressable with tovorafenib as monotherapy, or in combination with a MEK inhibitor, such as pimasertib.</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Business development opportunities enabled by key relationships and a dedication to prioritize pediatric drug development.</w:t>
      </w:r>
      <w:r>
        <w:rPr>
          <w:color w:val="000000"/>
        </w:rPr>
        <w:t xml:space="preserve"> </w:t>
      </w:r>
      <w:r>
        <w:rPr>
          <w:rFonts w:ascii="Times New Roman" w:hAnsi="Times New Roman"/>
          <w:color w:val="000000"/>
          <w:sz w:val="20"/>
        </w:rPr>
        <w:t xml:space="preserve">We believe we are routinely among the first to evaluate emerging clinical and preclinical data that could underlie new drug development programs in pediatric oncology indications as a result of our deep roots and extensive network within the pediatric oncology research community. For example, we were made aware of the opportunity to in-license tovorafenib from Takeda, and were able to rapidly gain insights into the emerging data due to our relationships within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pediatric oncology investigational medicine community including but not limited to the Dana-Farber Cancer Institute, and the Pacific Pediatric Neuro-Oncology Consortium, or PNOC, and members of the Low Grade Glioma in Childhood, or LOGGIC, Consortium based at Hopp Children’s Cancer Center in Heidelberg, Germany.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Organizational focus on overcoming the historical challenges to executing pediatric clinical trials.</w:t>
      </w:r>
      <w:r>
        <w:rPr>
          <w:color w:val="000000"/>
        </w:rPr>
        <w:t xml:space="preserve"> </w:t>
      </w:r>
      <w:r>
        <w:rPr>
          <w:rFonts w:ascii="Times New Roman" w:hAnsi="Times New Roman"/>
          <w:color w:val="000000"/>
          <w:sz w:val="20"/>
        </w:rPr>
        <w:t>We understand that clinical development in children is unique and must be approached as such. Clinical development in children is not the same as clinical development in adults and requires a deep organizational focus to address the needs of families, pediatric investigators, patient advocacy communities, and the patients. We have established trusted relationships with the pediatric oncology community globally, including major cooperative groups and disease-specific consortia, and we seek their advice on aligning our clinical development plans with the needs of the patients and their families. Our team is deeply experienced in designing modern, novel, and capital-efficient clinical development plans, as well as in obtaining early regulatory alignment on those plans—similar to an ultra-rare disease model. We believe that our submitted FIREFLY-1 dataset should offer a much needed therapeutic option for a majority of patients with relapsed pLGG whose tumor harbors a molecular alteration that is not covered by available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capabilities will enable us to develop targeted therapeutics from which pediatric patients can benefit. We believe we are a leader in this development space and to further this position, we plan to continue to consult and strategically partner with biopharmaceutical companies, academic pediatric oncologists and scientists, and patient advocacy groups to identify areas of unmet need in pediatric oncology and then acquire high-impact assets to address these underserved patients. While our initial focus is on pediatric patients, we also pursue the clinical development of targeted therapies with equivalent intensity for adult populations.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identify, acquire and develop product candidates that target high-value oncogenic drivers in cancers with high unmet need, with an initial focus on pediatric patients. Although our clinical development begins by leveraging our unique expertise in the pediatric oncology setting, we are committed to advancing targeted therapies for adult cancer patients with equivalent intensity. The following table summarizes our product candidate pipeline.</w:t>
      </w:r>
    </w:p>
    <w:p>
      <w:pPr>
        <w:pStyle w:val="TextBody"/>
        <w:bidi w:val="0"/>
        <w:spacing w:before="120" w:after="283"/>
        <w:jc w:val="center"/>
        <w:rPr/>
      </w:pPr>
      <w:r>
        <w:rPr/>
        <w:drawing>
          <wp:inline distT="0" distB="0" distL="0" distR="0">
            <wp:extent cx="5943600" cy="3095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095625"/>
                    </a:xfrm>
                    <a:prstGeom prst="rect">
                      <a:avLst/>
                    </a:prstGeom>
                  </pic:spPr>
                </pic:pic>
              </a:graphicData>
            </a:graphic>
          </wp:inline>
        </w:drawing>
      </w: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Tovorafenib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 tovorafenib, is an oral, brain-penetrant, highly selective type II RAF kinase inhibitor. Tovorafenib has been studied in over 325 patients, and as a monotherapy demonstrated good tolerability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encouraging anti-tumor activity in pediatric and adult populations with specific MAPK pathway-alterations. Tovorafenib has been granted breakthrough therapy designation by the FDA for the treatment of patients with pLGG based on initial results from a Phase 1 trial which showed evidence of rapid anti-tumor activity and durable responses in patients with pLGG. We have now fully enrolled a pivotal Phase 2 FIREFLY-1 trial of tovorafenib as a monotherapy for patients with pLGG, the most common brain tumor diagnosed in children, for which there are no approved therapies and no recognized standard of care for the majority of patients. The FIREFLY-1 trial has also been expanded to: (a) include two additional study arms to enable expanded access for eligible patients now that the primary cohort has completed enrollment, and (b) evaluate the preliminary efficacy of tovorafenib in patients aged six months to 25 years with a relapsed or progressive extracranial solid tumor with an activating RAF fusion. We reported initial data from an interim analysis from this trial in June 2022 and top-line data for all patients in January 2023. We reported new data from the registrational arm of the Phase 2 FIREFLY-1 trial at the American Society of Clinical Oncology annual meeting in June 2023 and selected analysis at the annual meeting of the Society of Neuro-Oncology in November 2023. We completed the rolling NDA submissions for the tablet formulation and for the powder solution formulation of tovorafenib for the treatment of patients with relapsed or refractory pLGG in September 2023. The NDAs were accepted for filing and granted priority review by the FDA in October 2023, with a PDUFA target action date of April 30, 2024. The FDA indicated it does not plan to hold an advisory committee meeting to discuss the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a pivotal Phase 3 trial, or FIREFLY-2, evaluating tovorafenib as a front-line therapy in patients aged 6 months to 25 years with pLGG in June 2022. The first patient was dosed in FIREFLY-2 in March 2023. To date, patients continue to enroll in the United States, Canada, Europe, Australia and Asia, with approximately 80 sites activated.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studying tovorafenib alone in combination with other agents that target key signaling nodes in the MAPK pathway in patient populations where various RAS and RAF alterations are believed to play an important role in driving disease.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RAF kinase drives cell proliferation and carcinogenesis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Cell functions such as growth, survival and differentiation are regulated by cascades of signaling events of which RAF kinase is a critical component. RAF is a protein kinase that is normally activated by RAS, a protein that transmits activating signals from extracellular receptors to RAF. Activation of RAF then leads to the activation of MEK kinase and the downstream MAPK pathway. Genetic alterations that result in overactivation of the pathway, such as RAS or RAF alterations, have long been characterized as oncogenic.</w:t>
      </w:r>
    </w:p>
    <w:p>
      <w:pPr>
        <w:pStyle w:val="TextBody"/>
        <w:bidi w:val="0"/>
        <w:spacing w:before="120" w:after="283"/>
        <w:jc w:val="left"/>
        <w:rPr/>
      </w:pPr>
      <w:r>
        <w:rPr/>
        <w:t> </w:t>
      </w:r>
    </w:p>
    <w:p>
      <w:pPr>
        <w:pStyle w:val="TextBody"/>
        <w:bidi w:val="0"/>
        <w:spacing w:before="120" w:after="283"/>
        <w:jc w:val="center"/>
        <w:rPr/>
      </w:pPr>
      <w:r>
        <w:rPr/>
        <w:drawing>
          <wp:inline distT="0" distB="0" distL="0" distR="0">
            <wp:extent cx="2990850" cy="3105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90850" cy="3105150"/>
                    </a:xfrm>
                    <a:prstGeom prst="rect">
                      <a:avLst/>
                    </a:prstGeom>
                  </pic:spPr>
                </pic:pic>
              </a:graphicData>
            </a:graphic>
          </wp:inline>
        </w:drawing>
      </w: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1. RAF kinases (ARAF, BRAF, CRAF) are critical components of the MAPK pathway. BRAF V600E can signal as a monomer and is sensitive to type I and type II RAF inhibitors. Wild-type RAF dimers are only sensitive to type II RAF inhibitors. Modified from: Solit and Rosen, Cancer Discover, 2014.</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most frequently altered genes in this pathway is BRAF, one of three RAF genes in human cells and the form of RAF most easily activated by RAS. The majority of alterations in BRAF are mutations known as V600. Mutations in V600 transform non-mutant or wild-type BRAF into a form of BRAF that has increased signaling activity and is no longer dependent on RAS for activation. The abundance of V600 mutant BRAF and its central role in tumor growth have made it a focus of historical drug discovery efforts.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Another class of important oncogenic BRAF alterations are BRAF wild-type gene fusions. Gene fusions involving BRAF occur through intra- or inter-chromosomal rearrangements in which genes for unrelated proteins are physically joined together resulting in the synthesis of a chimeric protein. BRAF consists of a regulatory domain which modulates the activity of BRAF, and a catalytic kinase domain which then activates downstream signaling to promote cell growth. In BRAF fusions, the regulatory domain of BRAF is replaced with a different sequence, allowing BRAF to signal independent of RAS activation. This uncoupling of the regulatory and catalytic domains of BRAF has important consequences: the resultant novel oncogene is both aberrantly expressed and it also exhibits constitutive, or always-on, activation of the kinase domain. This kinase activity can result in the activation of downstream oncogenic signaling, exacerbating tumor growth. BRAF gene fusions have been observed in patients with prostate cancer, melanoma, radiation-induced thyroid cancer, and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Three BRAF inhibitors have been approved by the FDA for the treatment of certain solid tumors containing only BRAF V600E or V600K mutations, including melanoma, non-small cell lung cancer, anaplastic thyroid cancer, and colorectal cancer. These first-generation BRAF inhibitors, known more generally as type I RAF inhibitors, are vemurafenib, marketed as Zelboraf® by Genentech; dabrafenib, marketed as Tafinlar® by Novartis; and encorafenib, marketed as Braftovi® by Pfizer. However, despite initial clinical responses to monotherapy type 1 RAF inhibitors, most patients relapse within one year following the initiation of treatment.</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way by which resistance develops to type I RAF inhibitors is related to the mechanism of normal RAF activation in cells. In contrast to the constitutively active V600E or V600K variant, which is active as a monomer, normal RAF function requires formation of dimers of RAF. Approved inhibitors of V600E/K BRAF do not block the activity of RAF dimers or other non-V600 BRAF mutations. In fact, the binding of some of these inhibitors to V600E/K BRAF can stimulate the formation of dimers, thereby causing paradoxical activation (undesired increases in MAP kinase signaling) in RAF wild-type cells – a phenomenon which could potentially lead to renewed tumor growth. Paradoxical activation of wild-type RAF also occurs in non-tumor tissue. This leads to a common adverse event associated with these agents—the development of proliferative pre-malignant and malignant skin lesions. In order to avoid resistance and paradoxical activation, in many instances type I RAF inhibitors need to be given in combination with MEK inhibitors, but again only to patients with BRAF V600E/K mutations.</w:t>
      </w:r>
    </w:p>
    <w:p>
      <w:pPr>
        <w:pStyle w:val="TextBody"/>
        <w:bidi w:val="0"/>
        <w:spacing w:before="12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3476625" cy="3105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476625" cy="310515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2. Schema showing the effect of different RAF inhibitors on monomeric RAF kinases (i.e., BRAF V600E; top section) or dimeric RAF kinases (bottom section). ERK activation is strongly activated downstream of BRAF V600E, even more so than seen for dimeric RAF kinase signaling. Monomer-selective type I RAF inhibitors bind to the ATP site in BRAF monomers and inhibit downstream signaling. In RAF dimeric kinases, binding of drug inhibits the bound RAF protomer, but leads to a conformational change in the other protomer in the dimer pair and strong transactivation of this protomer, leading to overall increased ERK activation (paradoxical activation). Type II RAF inhibitors are able to bind to mutant RAF monomers and dimers at equipotent doses and therefore can inhibit mutant RAF monomers and dimers at the same dose. Adapted from Yaeger and Corcoran, Cancer Discovery, 2019.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Type I RAF inhibitors that target V600E/K alterations are not able to inhibit the wild-type RAF kinase domains in KIAA1549-BRAF gene fusions and are thus unable to effectively inhibit the overactive signaling that results from this fusion. Furthermore, because of the potential for paradoxical activation, these RAF inhibitors are contraindicated in patients with BRAF gene fusions.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Tovorafenib's mechanism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Tovorafenib is a selective, small molecule RAF inhibitor that can block the activity of multiple forms of RAF including wild-type RAF, BRAF and CRAF fusion proteins, and variants that function as dimers (Class II mutations), as well as variants such as BRAF V600E and non-V600E mutations that function as monomers (Class I mutations). Tovorafenib is known as a type II RAF inhibitor as it’s designed to inhibit both monomeric and dimeric RAF kinase. Tovorafenib's inhibition of both RAF monomers and dimers broadens its potential clinical application to treat an array of RAF-altered tumors.</w:t>
      </w:r>
    </w:p>
    <w:p>
      <w:pPr>
        <w:pStyle w:val="TextBody"/>
        <w:bidi w:val="0"/>
        <w:spacing w:before="120" w:after="283"/>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i/>
          <w:color w:val="000000"/>
          <w:sz w:val="20"/>
        </w:rPr>
        <w:br/>
        <w:br/>
        <w:br/>
      </w:r>
      <w:r>
        <w:rPr>
          <w:rFonts w:ascii="Times New Roman" w:hAnsi="Times New Roman"/>
          <w:sz w:val="20"/>
        </w:rPr>
        <w:drawing>
          <wp:inline distT="0" distB="0" distL="0" distR="0">
            <wp:extent cx="4324350" cy="3371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24350" cy="3371850"/>
                    </a:xfrm>
                    <a:prstGeom prst="rect">
                      <a:avLst/>
                    </a:prstGeom>
                  </pic:spPr>
                </pic:pic>
              </a:graphicData>
            </a:graphic>
          </wp:inline>
        </w:drawing>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3. Signaling pathways in different classes of BRAF mutations. BRAF V600 mutations (Class I) are independent of RAS signaling and work as monomers. BRAF non-V600 Class II mutations are also independent of RAS but signal as constitutive dimers. The Class II mutations include BRAF wild-type fusions. Non-V600 Class III BRAF mutations have low or no kinase activity and depend on RAS activation acting as amplifiers of the RAS signaling pathway. Tovorafenib inhibits Class I and Class II RAF alterations, including BRAF wild-type fusions and non-V600E/K variations. Modified from Fontana and Valeri, Clinical Cancer Research, 2019.</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Pediatric low-grade glioma disease and treatment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Pediatric low-grade glioma is the most common brain tumor diagnosed in children, accounting for 30%-50% of all central nervous system tumors. For the most part, these tumors are slow-growing, chronic, and relentless. While malignant transformation and dissemination of pLGGs are rare there are many long-term consequences of the disease. The growth of pLGG is highly morbid as pLGG tumors are space-occupying lesions that have the potential to compress critical neurovascular structures in the brain. Symptoms can vary from patient to patient depending on the location of the tumor and the amount of pressure it exerts on surrounding tissues. These symptoms can include headaches, nausea, vomiting, lethargy, sixth cranial nerve palsies, seizures and behavioral changes, depending on tumor location. The majority of children with pLGG are long-term survivors and live into adulthood; however, survivors of pediatric glioma often suffer long-lasting functional, neurologic, and endocrine complications from their disease and/or treatment. These patients require more effective treatment strategies that minimize long-term morbidity and treatment-associated toxicity.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with pLGG have historically been treated with surgery, radiation, and chemotherapy. While surgical resection of pLGG is associated with 10-year overall survival rates of 90% or more, the majority of children are unable to undergo complete resection, a procedure which can be associated in some instances with significant and long-lasting morbidity. Incompletely resected or unresectable pLGG is associated with a high rate of disease progression or recurrence. Patients with subtotal resections have a 10-year progression-free survival of only 55%. Although more modern radiation therapy modalities have been shown to lead to improvements in progression free survival, radiotherapy is historically associated with a risk of significant decline in neurocognitive outcomes in younger children, as well as the risk of endocrine dysfunction, secondary malignancy, and an increased risk of stroke. As a result, even modern radiation therapy techniques continue to be reserved for use when all other therapies have failed.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patients with pLGG requiring initial systemic therapy are treated with combination chemotherapy such as carboplatin and vincristine or, in certain countries, vinblastine as a single-agent. Results from the largest randomized Phase 3 study for children with newly diagnosed pLGG showed a 5-year event-free survival of 47% for vincristine/carboplatin. Outcomes for a subgroup of patients with pLGG not associated with neurofibromatosis, which included those with BRAF alterations, were inferior, showing a 5-year event-free survival of 39%. Of note, the overall response rate to chemotherapy in newly diagnosed patients with pLGG was 30%-35%. In addition to chemotherapy’s efficacy limitations, treatment-related morbidity was significant, with more than 95% of patients having experienced at least one Grade 3 or Grade 4 adverse event. A number of therapies targeting pathway have been assessed in tumor types harboring molecular alteration on the MAPK pathway, including BRAF and MEK, as further discussed below. While some of these agents have been approved for the treatment of tumors harboring BRAF V600 mutation including in children with pLGG, there is no consensual standard-of-care therapy for patients whose tumors progress following the failure of these chemotherapy regiment or targeted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many pLGGs undergo senescence when patient ages reach their 20s, the goal of therapy is to maximize tumor control while minimizing treatment-associated toxicities from surgery, chemotherapy, and radiation. As a result, a large number of patients with pLGG will undergo multiple lines of systemic therapy over the course of their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incidence results published in academic journals, we estimate that approximately 1,100 patients under the age of 25 are newly diagnosed with BRAF-altered pLGG every year. We estimate that the SEER prevalence, as of January 1, 2017, in the United States for BRAF-altered patients with pLGG under the age of 25 to be 26,000. The estimated addressable pool of recurrent, progressive, or refractory patients with pLGG for tovorafenib is approximately between 2,000 to 3,000 per year at steady state.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last decade, it has been found that between 50% and 60% of pLGGs are driven by abnormal signaling due to alterations in RAF, approximately 85% to 90% of which are a gene fusion known as KIAA1549-BRAF. This gene alteration results in the expression of a wild-type BRAF catalytic domain without its normal regulatory domain, thereby rendering constitutively active BRAF activity. In addition, between 5% and 17% of children with pLGGs have tumors with a BRAF V600E activating mutation.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exception of the combination of dabrafenib-trametinib for patients &gt;6 years of age with relapsed/progressive tumors bearing a BRAF V600E/K mutation, there have been no agents approved for use in this population and as such, are only available via clinical trials or off-label prescription. Off-label use, while common in the pediatric oncology setting, is recognized to be an inferior approach as it exposes children to potential risks without the associated safeguards that accompany comprehensive clinical development activities, such as long-term safety monitoring and pharmacovigilance activities. We believe that the intentional development of a specifically-targeted, brain-penetrant therapy for pLGG is essential to improve outcomes for these patients, particularly those with BRAF fusions, and patients with BRAF V600E mutations who are either &lt;6 years of age or who have progressed on, or cannot tolerate, combined Type I RAF/MEK inhibition.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br/>
        <w:t>Clinical trial results for pLGG</w:t>
      </w:r>
    </w:p>
    <w:p>
      <w:pPr>
        <w:pStyle w:val="TextBody"/>
        <w:bidi w:val="0"/>
        <w:spacing w:before="120" w:after="283"/>
        <w:jc w:val="left"/>
        <w:rPr>
          <w:rFonts w:ascii="Times New Roman" w:hAnsi="Times New Roman"/>
          <w:sz w:val="20"/>
        </w:rPr>
      </w:pPr>
      <w:r>
        <w:rPr>
          <w:rFonts w:ascii="Times New Roman" w:hAnsi="Times New Roman"/>
          <w:color w:val="000000"/>
          <w:sz w:val="20"/>
        </w:rPr>
        <w:t>Tovorafenib is currently being evaluated in an ongoing investigator-initiated, multi-center study (PNOC014, NCT03429803) in patients with relapsed or refractory gliomas (high- and low-grade) and other tumors that is being conducted by Dana-Farber Cancer Institute in collaboration with PNOC. The trial remains open but is closed to new patient accrual. As of June 2023, a total of 44 patients had been enrolled in Part B of this Phase 1 dose-escalation trial (9 patients in Part A, 35 patients in Part B), which was conducted at multiple institutions within the PNOC network. Once-weekly tovorafenib at doses as high as 420 mg/m</w:t>
      </w:r>
      <w:r>
        <w:rPr>
          <w:rFonts w:ascii="Times New Roman" w:hAnsi="Times New Roman"/>
          <w:color w:val="000000"/>
          <w:sz w:val="13"/>
        </w:rPr>
        <w:t>2</w:t>
      </w:r>
      <w:r>
        <w:rPr>
          <w:rFonts w:ascii="Times New Roman" w:hAnsi="Times New Roman"/>
          <w:color w:val="000000"/>
          <w:sz w:val="20"/>
        </w:rPr>
        <w:t>/week were well-tolerated in patients ≥ 1.5m</w:t>
      </w:r>
      <w:r>
        <w:rPr>
          <w:rFonts w:ascii="Times New Roman" w:hAnsi="Times New Roman"/>
          <w:color w:val="000000"/>
          <w:sz w:val="13"/>
        </w:rPr>
        <w:t>2</w:t>
      </w:r>
      <w:r>
        <w:rPr>
          <w:rFonts w:ascii="Times New Roman" w:hAnsi="Times New Roman"/>
          <w:color w:val="000000"/>
          <w:sz w:val="20"/>
        </w:rPr>
        <w:t>, while doses as high as 530 mg/m</w:t>
      </w:r>
      <w:r>
        <w:rPr>
          <w:rFonts w:ascii="Times New Roman" w:hAnsi="Times New Roman"/>
          <w:color w:val="000000"/>
          <w:sz w:val="13"/>
        </w:rPr>
        <w:t>2</w:t>
      </w:r>
      <w:r>
        <w:rPr>
          <w:rFonts w:ascii="Times New Roman" w:hAnsi="Times New Roman"/>
          <w:color w:val="000000"/>
          <w:sz w:val="20"/>
        </w:rPr>
        <w:t>/week were found to be well-tolerated in patients &lt; 1.5m</w:t>
      </w:r>
      <w:r>
        <w:rPr>
          <w:rFonts w:ascii="Times New Roman" w:hAnsi="Times New Roman"/>
          <w:color w:val="000000"/>
          <w:sz w:val="13"/>
        </w:rPr>
        <w:t>2</w:t>
      </w:r>
      <w:r>
        <w:rPr>
          <w:rFonts w:ascii="Times New Roman" w:hAnsi="Times New Roman"/>
          <w:color w:val="000000"/>
          <w:sz w:val="20"/>
        </w:rPr>
        <w:t>. Data was presented at the 2022 Society for Neuro-Oncology meeting for the 35 patients studied in Part B. For this group, there were two complete responses, seven partial responses, fifteen patients with stable disease and eight patients who had progressive disease. There were six dose limiting toxicities, all at 530 mg/m</w:t>
      </w:r>
      <w:r>
        <w:rPr>
          <w:rFonts w:ascii="Times New Roman" w:hAnsi="Times New Roman"/>
          <w:color w:val="000000"/>
          <w:sz w:val="13"/>
        </w:rPr>
        <w:t>2</w:t>
      </w:r>
      <w:r>
        <w:rPr>
          <w:rFonts w:ascii="Times New Roman" w:hAnsi="Times New Roman"/>
          <w:color w:val="000000"/>
          <w:sz w:val="20"/>
        </w:rPr>
        <w:t xml:space="preserve">/week, all Grade 3, and five known side effects (two fatigue, three rash, one menorrhagia).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shown in Figure 5 below, the Phase 1 trial, which initially started in February 2018, was designed to determine maximum tolerated dose, or MTD, in pediatric patients. Part A of this trial was an initial dose-escalation of tovorafenib as monotherapy that utilized a 3+3 design. The starting dose of 280 mg/m2 was 80% of the adult recommended phase 2 dose, or RP2D, of 600 mg orally once weekly, adjusted for body surface area. Patients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enrolled in this trial were treated for a period of up to two years. The trial was amended in December 2019 to continue dose escalation, using an adaptive design, until either dose limiting toxicities, or DLTs, or the MTD was observed.</w:t>
      </w:r>
    </w:p>
    <w:p>
      <w:pPr>
        <w:pStyle w:val="TextBody"/>
        <w:bidi w:val="0"/>
        <w:spacing w:before="120" w:after="283"/>
        <w:jc w:val="left"/>
        <w:rPr/>
      </w:pPr>
      <w:r>
        <w:rPr/>
        <w:t> </w:t>
      </w:r>
    </w:p>
    <w:p>
      <w:pPr>
        <w:pStyle w:val="TextBody"/>
        <w:bidi w:val="0"/>
        <w:spacing w:before="120" w:after="283"/>
        <w:jc w:val="center"/>
        <w:rPr/>
      </w:pPr>
      <w:r>
        <w:rPr/>
        <w:drawing>
          <wp:inline distT="0" distB="0" distL="0" distR="0">
            <wp:extent cx="3590925" cy="2924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590925" cy="292417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4. Design of the Phase 1 trial of tovorafenib in pLGG.</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Tovorafenib was studied in a Phase 1 investigator-initiated trial (PNOC014; NCT03429803) in which it was administered once weekly as oral immediate release tablets to patients with relapsed or refractory tumors with LGGs and other RAS/RAF/MEK/ERK pathway-activated tumors. Data from Part A of this study was presented in November 2020 in which tovorafenib was evaluated at three different dose levels: 280 mg/m2, 350 mg/m2, and 420 mg/m2, with three patients at each dose level. Tovorafenib was well tolerated at all doses tested with no dose reductions or interruptions in patients receiving doses of 420 mg/m2 or below. None of these patients experienced a DLT. The vast majority of treatment emergent adverse events, or TEAEs, were Grade 1 or 2. No ophthalmologic or cardiac adverse events were observed. The most frequently reported TEAEs across all dose cohorts in Part A were all Grade 1 or 2 in severity and included rash (89%), graying of the hair (achromotrichia) (78%), moles (nevus) (78%), anemia (67%), and itching (pruritis) (67%). One patient experienced a single Grade 3 adverse event (increased creatinine phosphokinase), and there were no Grade 4 adverse events reported. These side effects were found to be reversible and manageable.</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420 mg/m2 was initially considered the RP2D because of anti-tumor activity observed at all dose levels in Part A, dose escalation was continued in Part B of this study an attempt to determine a MTD. Upon resumption of the dose-escalation portion in Part B of this trial, the dose escalation was split between two subgroups, based on body surface area, to account for the possibility that at dose levels of 530mg/m2 or higher there might be larger children that may exceed the adult MTD at a given dose level, while smaller children may not. Data from Part B of this study was presented in November of 2022. Thirty-five additional patients were enrolled in Part B PNOC014: 21 patients with gliomas bearing a KIAA1549:BRAF fusion, nine patients with tumors bearing a BRAFV600E mutation, four with a novel RAF- and one with an FGFR1-altered tumor. Histologically, the cohort included 30 LGGs, four high grade gliomas and one soft tissue sarcoma. There were six DLTs: three in each body surface area, or BSA, subgroup, all at 530 mg/m2/dose, all Grade 3, and five known side effects (two fatigue, three rash, one menorrhagia). Across these 35 patients, oral weekly tovorafenib was well tolerated. While the TITE-BOIN continuous reassessment model recommended 530 mg/m2/dose per os, or PO, weekly for patients with BSA &lt; 1.5m2 and 420 mg/m2/dose PO weekly for patients with BSA &gt;1.5m2, the probability of a DLT for patients with a BSA &lt; 1.5m2 was found to be nearly 20%. As such, 420 mg/m2/dose PO weekly was selected as the dose for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pivotal Phase 2 FIREFLY-1 and pivotal Phase 3 FIREFLY-2 studies.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data from the now-completed Part A, where the patients received up to two years of continuous treatment, supported by data from Part B, indicate that the tolerability profile of tovorafenib at 420mg/m2 supports the potential for chronic long-term usage of tovorafenib.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standard objective measure of efficacy accepted by the FDA for brain tumors is a set of radiographic measurement criteria called RANO. RANO criteria take into account various measures of tumor dimensions to track response to therapy or disease progression. Data from patients in Part A of PNOC014 were reviewed by an independent neuro-radiologist using RANO criteria. Eight of the nine patients had a pLGG with a RAF fusion (seven with a KIAA1549-BRAF fusion and one with an SRGAP3-CRAF fusion), while one patient had a loss-of-function mutation in the gene for neurofibromatosis 1, or NF1. As seen in Figure 6 below, five of the eight patients with a RAF fusion had either a complete response or a partial response per RANO criteria, defined as 50% decrease, compared with baseline; the sum of products of perpendicular diameters of all measurable enhancing lesions sustained for at least 4 weeks. Two of eight patients with a RAF fusion had prolonged stable disease. One patient with a RAF fusion did not respond to tovorafenib. The one patient with an NF1-associated pLGG did not respond to tovorafenib. Radiologic responses using exploratory imaging measures such as volumetric image analysis or the recently published, but clinically unvalidated, Response Assessment for Pediatric Neuro-Oncology, or RAPNO, Criteria, we believe were largely consistent with the RANO scores.</w:t>
      </w:r>
    </w:p>
    <w:p>
      <w:pPr>
        <w:pStyle w:val="TextBody"/>
        <w:bidi w:val="0"/>
        <w:spacing w:before="120" w:after="283"/>
        <w:jc w:val="left"/>
        <w:rPr/>
      </w:pPr>
      <w:r>
        <w:rPr/>
        <w:t> </w:t>
      </w:r>
    </w:p>
    <w:p>
      <w:pPr>
        <w:pStyle w:val="TextBody"/>
        <w:bidi w:val="0"/>
        <w:spacing w:before="120" w:after="283"/>
        <w:jc w:val="center"/>
        <w:rPr/>
      </w:pPr>
      <w:r>
        <w:rPr/>
        <w:drawing>
          <wp:inline distT="0" distB="0" distL="0" distR="0">
            <wp:extent cx="5943600" cy="2266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26695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5. Five of nine patients in the tovorafenib Phase 1 trial in pLGG had a complete (100% reduction) or partial response (&gt;50% reduction in the bi-dimensional measurement of the tumor).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evaluating responses on-treatment, target lesions were identified in each patient during screening and baseline growth kinetics calculated from prior radiologic images. For eight of the nine patients, there was a documented history of tumor growth prior to trial enrollment. As shown in Figure 7, shrinkage in lesion size was observed in six of nine patients in the first radiologic images obtained after initiation of tovorafenib dosing. The median time to response was 10.5 weeks, which is a notable observation given pLGG is an indolent, slow-growing tumor. Two patients achieved a complete response that was maintained throughout the dosing period of up to two years. Three patients had a partial response, two achieved prolonged stable disease, and two did not achieve a response. The trial allowed for treatment for maximum duration of two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5657850" cy="2752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57850" cy="275272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6. Individual patient responses in the tovorafenib Phase 1 trial in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results from Part A of PNOC014, tovorafenib was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Tovorafenib also received orphan drug designation from the FDA for the treatment of malignant glioma.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development plan for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enrollment of a pivotal Phase 2 FIREFLY-1 trial of tovorafenib in pediatric patients aged six months to 25 years with relapsed or refractory pLGGs harboring an activating BRAF alteration, such as a KIAA1549-BRAF fusion or a BRAF activating mutation, such as V600E. This is an open-label, global registrational, single-arm trial of oral tovorafenib administered once weekly at a dose of 420 mg/m2. Patients are allowed to continue on tovorafenib until radiographic evidence of disease progression by RANO criteria as determined by treating investigator, unacceptable toxicity, patient withdrawal of consent, or death. The first patient was dosed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in patients aged six months to 25 years with a relapsed or progressive extracranial solid tumor with an activating RAF fusion. This trial has generated a dataset that, in combination with the existing safety database, serves as the basis for regulatory approval. The primary endpoint is overall response rate, defined as the proportion of patients with best overall confirmed response rate (complete response and partial response based on the RANO criteria), as determined by independent review. Secondary and exploratory endpoints include the overall response rate based on RAPNO and volumetric analyses, event free survival, safety, functional outcomes, and quality of life measures.</w:t>
      </w:r>
    </w:p>
    <w:p>
      <w:pPr>
        <w:pStyle w:val="TextBody"/>
        <w:bidi w:val="0"/>
        <w:spacing w:before="120" w:after="283"/>
        <w:jc w:val="center"/>
        <w:rPr/>
      </w:pPr>
      <w:r>
        <w:rPr/>
        <w:drawing>
          <wp:inline distT="0" distB="0" distL="0" distR="0">
            <wp:extent cx="5943600" cy="1409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1409700"/>
                    </a:xfrm>
                    <a:prstGeom prst="rect">
                      <a:avLst/>
                    </a:prstGeom>
                  </pic:spPr>
                </pic:pic>
              </a:graphicData>
            </a:graphic>
          </wp:inline>
        </w:drawing>
      </w: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7. Design of the Phase 2 trial of tovorafenib in pLGG.</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Tovorafenib is currently dosed as immediate-release tablets. We have developed a pediatric formulation suitable for oral dosing of children as young as six months of age and have dosed patients with this pediatric formulation in our pivotal Phase 2 FIREFLY-1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genomic profiling of newly diagnosed or recurrent/progressive pLGG is standard practice within pediatric neuro-oncology programs across the United States, either utilizing CLIA/College of American Pathologists, or CAP, accredited hospital laboratories or third-party commercial vendors. In addition, the 2021 revision of the WHO Classification of Tumors of the Central Nervous System now includes assessment of BRAF mutation or fusion status as part of the diagnosis of LGGs. As a result, we expect that the vast majority of both patients with newly diagnosed and relapsed pLGG harboring a BRAF alteration will be identified. The technology platforms and solutions for the identification of the BRAF V600E mutation and BRAF wild-type fusions currently in use by individual investigators will be used to meet the clinical trial enrollment criteria, while we continue to work with regulatory authorities to ensure that any requirement for a companion diagnostic assay or device are met, for which we have entered into a collaboration with Foundation Medicine, Inc. to develop. </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initiated a pivotal Phase 3 FIREFLY-2 trial of tovorafenib as a front-line therapy in pLGG. The first patient was dosed in March 2023. We believe that treating patients before they have undergone multiple rounds of toxic chemotherapy has the potential to both improve the efficacy of tovorafenib and reduce the overall burden of therapy and associated toxicities associated with the use of currently-employed cytotoxic agents.</w:t>
      </w:r>
    </w:p>
    <w:p>
      <w:pPr>
        <w:pStyle w:val="TextBody"/>
        <w:bidi w:val="0"/>
        <w:spacing w:before="120" w:after="283"/>
        <w:jc w:val="center"/>
        <w:rPr/>
      </w:pPr>
      <w:r>
        <w:rPr/>
        <w:drawing>
          <wp:inline distT="0" distB="0" distL="0" distR="0">
            <wp:extent cx="5943600" cy="1285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128587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8. Design of the Phase 3 trial of tovorafenib in pLGG.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Potential market opportunity for tovorafenib in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Brain tumors are the most frequently occurring solid tumors in children. While pLGG is the most common brain tumor diagnosed, representing approximately 30% of all childhood brain tumors, the annual estimated incidence of pLGG is 1.3 to 2.1 per 100,000 in the United States. Given the incidence of this disease, our team recognized the market opportunity for developing tovorafenib in this patient population based on the following rationale: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for tovorafenib, a type-II RAF inhibitor, to be a high-impact targeted therapeutic in pLGG where approximately 70% of tumors are BRAF-altered pLGG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Premium reimbursement precedents for high impact therapeutics in rare diseases, oncology and pediatrics.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Chronic duration of treatment required over many years to address these slow-growing and relentless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unmet medical need with limited current treatment alternatives for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Strong value proposition for physicians, patients and families.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tovorafenib, if approved, could become the standard of care for the treatment of pLGG. Due to the need for chronic administration, potentially over many years, the standard of care should be an effective, long-term therapeutic while providing a tolerability profile that minimizes long-term morbidity and treatment-associated toxicity. We believe that tovorafenib has the potential to provide long-term benefit—similar to effective therapies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traditional chronic rare diseases—to patients with pLGG. We also believe that tovorafenib’s oral, once-weekly dosing regimen would appeal to physicians, patients and their parents.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Potential applications of tovorafenib in other MAPK-driven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expand on our initial clinical development efforts in pediatric patients, we plan to explore tovorafenib in additional indications for adolescent and adult patient populations where various MAPK pathway alterations are believed to play an important role in driving disease. This is supported by data from over 225 adult patients dosed with tovorafenib in two separate Phase 1 trials previously conducted by Takeda. These trials also informed the starting dose level and weekly dosing regimen for future clinical trials, including the ongoing pivotal Phase 2 trial in pLGG. Results from these trials demonstrated that tovorafenib was well-tolerated in patients with advanced cancers, both alone and in combination with other anti-cancer agents, but because patients were not enriched for RAF alterations expected to respond to tovorafenib monotherapy, or studied in combinations that are now known to be more likely to lead to anti-tumor activity, only modest signs of efficacy were observed.</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data from preclinical studies, and building on the initial data from the Takeda-led Phase 1 trials, we initiated an open-label, multicenter, Phase 1b/2a FIRELIGHT-1 umbrella master trial of tovorafenib monotherapy or combination therapy, which consisted of two substudies. Substudy 1 was a Phase 2 clinical trial of tovorafenib as monotherapy in patients 12 years and older with RAF-altered tumors; the first patient was dosed in November 2021. In November 2023, we announced that we concluded enrollment in Substudy 1 and the last patient last visit is expected to occur by June 2024. The substudy closure is expected to conclude by the end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Substudy 2 is a Phase 1b/2 combination trial of tovorafenib and pimasertib in patients 12 years and older with various MAPK-altered solid tumors.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and tumors driven by KRAS alterations. The first patient was dosed in May 2022 and patients are currently actively recruited in the combination dose-selection portion of the substudy. We anticipate defining a recommended phase 2 dose and schedule for use in the expansion cohorts within specific patient populations in the second half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may explore tovorafenib in combination with other selective inhibitors of key nodes in the MAPK signaling pathway. For example, a type II RAF inhibitor may provide synergistic benefit in combination with inhibitors of ERK or SHP2. We believe the ability of tovorafenib to inhibit multiple forms of RAF gene alterations, including wild-type RAF and RAF dimers, without triggering the liabilities of paradoxical activation observed with approved type I RAF inhibitors, enhance its profile as a potential backbone of combinations therapies designed to inhibit MAPK signaling in cancer.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Investigator-initiated trials of tovorafenib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leverage our relationships with academic investigators and pediatric oncology cooperative groups and consortia to explore the potential for tovorafenib in other rare pediatric tumor types.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Phase 2 trial in relapsed Langerhans cell histiocytosis was initiated in March 2022 by the Children’s Oncology Group, a National Cancer Institute-supported clinical trials group and the world’s largest organization devoted exclusively to childhood and adolescent cancer research. Pending feedback from the FDA as part of a Written Request application, this study is planned as a single-arm non-randomized trial which has an estimated enrollment of 43 participants, who will be administered tovorafenib to determine overall response rate for children and young adults with recurrent or progressive Langerhans cell histiocytosis.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second Phase 2 trial in craniopharyngioma was initiated in July 2022 by the Pacific Pediatric Neuro-Oncology Consortium. This study is a randomized multi-arm trial, which has an estimate enrollment of 56 patients, who will be administered nivolumab and tovorafenib in combination with nivolumab to assess the tolerability and efficacy of combination therapy with PD-1 (nivolumab) and pan-RAF-kinase (tovorafenib) inhibition for the treatment of children and young adults with craniopharyngioma.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Pimasertib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Pimasertib is an oral, highly selective allosteric small molecular inhibitor of MEK 1 and 2. Published preclinical studies indicated that pimasertib has higher CNS penetration than other MEK inhibitors. We obtained 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exclusive license to pimasertib from Merck KGaA, Darmstadt, Germany in February 2021, and initiated a Phase 1b/2 umbrella master trial in MAPK-altered tumors in March 2022 to study the potentially beneficial combination of tovorafenib and pimasertib in patients 12 years and older. Merck KGaA, Darmstadt, Germany previously undertook extensive non-clinical and clinical development work through Phase 2, including a solid tumor trial in Japan and combinations of pimasertib with other agents. Pimasertib showed monotherapy clinical activity, including an improvement in the objective response rate and progression free survival, but not overall survival, in patients NRAS-mutant melanoma when compared to dacarbazine in a prospective randomized Phase 2 trial. The main adverse events observed during the clinical development of pimasertib were typical for other in-class allosteric MEK inhibitors, including GI-related adverse events, elevation of CPK, skin rash, and visual disturbances.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MEK is a critical signaling node that lies downstream of RAS in the MAPK pathway, and is a unique dual-specificity kinase that phosphorylates both serine/threonine and tyrosine residues. MEK consists of two isoforms, MEK1 and MEK2, which in turn phosphorylate ERK1 and ERK2. Activated ERK1/2 control a diverse range of cellular processes through their many substrates (&gt;160) that are located in cellular membranes, the cytoplasm and nucleus. Many of these are transcription factors that are important in cellular proliferation, differentiation, survival, angiogenesis and migration. </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shown below in Figure 9, in cancers driven by elevated RAS or RAF signaling, inhibition of MEK releases the blockade on RAS and can contribute to increased RAS-mediated signaling and pathway activation, further desensitizing the cells to MEK inhibition. MEK inhibitors given as a monotherapy have demonstrated limited anti-tumor activity in preclinical tumor models of elevated RAS or RAF signaling. Most cancers that acquire resistance to MEK inhibitor and continue to proliferate do so through reactivation of the MAPK pathway and subsequent reactivation of ERK. ERK reactivation can occur through alterations or mutations to molecules upstream of ERK in the MAPK pathway such as RAS, RAF, NF1, or MEK. One approach to circumvent the overactivation of RAS signaling in such tumor models has been to combine a RAF inhibitor with a MEK inhibitor to inhibit the pathway at two different nodes which has been shown by multiple groups to result in synergistic effects on inhibiting cell and tumor model growth.</w:t>
      </w:r>
    </w:p>
    <w:p>
      <w:pPr>
        <w:pStyle w:val="TextBody"/>
        <w:bidi w:val="0"/>
        <w:spacing w:before="120" w:after="283"/>
        <w:jc w:val="center"/>
        <w:rPr/>
      </w:pPr>
      <w:r>
        <w:rPr/>
        <w:drawing>
          <wp:inline distT="0" distB="0" distL="0" distR="0">
            <wp:extent cx="3581400" cy="3238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581400" cy="323850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9: Dual inhibition of BRAF and MEK is an important strategy for addressing MAPK-driven tumors.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3638550" cy="2809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38550" cy="280987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10. Model of the proposed mechanism of induced RAF inhibitor sensitivity. Left panel: under basal conditions, the MAPK pathway has multiple feedback loops negatively regulating upstream pathway activation, including RAS-GTP levels and RAF activation, thereby ensuring optimal pathway signaling. Middle panel: upon MEK inhibitor treatment, these feedback loops are disabled resulting in RAS-GTP induction, BRAF/CRAF dimerization, and RAF kinase activation. Right panel: Combination treatment with a MEK inhibitor and a type II RAF inhibitor is expected to exhibit synergistic effects. Modified from Yen et al. Cancer Cell, 2018.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with this approach, preclinical experiments showed the combination of a type II RAF inhibitor and pimasertib indeed led to synergistic cell killing activity. Calu-6 cells, a human lung adenocarcinoma cell line containing a KRAS G12C mutation, was found to be sensitive to cell killing by both BGB-283, a type II RAF inhibitor, and pimasertib. Treatment of Calu-6 cells with a combination of these inhibitors resulted in greater cell killing, as the EC50 for a 3 µM dose of BGB-283 was lowered by approximately 60-fold in the presence of pimasertib. These results suggest treatment with a MEK inhibitor in the presence of a RAF inhibitor result in an added cell killing benefit than observed with either inhibitor alone.</w:t>
      </w:r>
    </w:p>
    <w:p>
      <w:pPr>
        <w:pStyle w:val="TextBody"/>
        <w:bidi w:val="0"/>
        <w:spacing w:before="120" w:after="283"/>
        <w:jc w:val="left"/>
        <w:rPr/>
      </w:pPr>
      <w:r>
        <w:rPr/>
        <w:t> </w:t>
      </w:r>
    </w:p>
    <w:p>
      <w:pPr>
        <w:pStyle w:val="TextBody"/>
        <w:bidi w:val="0"/>
        <w:spacing w:before="120" w:after="283"/>
        <w:jc w:val="center"/>
        <w:rPr/>
      </w:pPr>
      <w:r>
        <w:rPr/>
        <w:drawing>
          <wp:inline distT="0" distB="0" distL="0" distR="0">
            <wp:extent cx="2562225" cy="2085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562225" cy="208597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11. The sensitivity of Calu-6 cells to pimasertib was enhanced when cells were treated with BGB-283, a type II RAF inhibitor.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in experiments with Calu-6 cells as well as NCI-H1792 cells, which contain a KRAS G12C mutation, cell lines were shown to be sensitive to either tovorafenib or MEKi-1 as monotherapy, however a combination of these inhibitors resulted in greater cell killing than observed with either inhibitor alone. These data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support the potential added benefit of combining a MEK inhibitor, with a type II RAF inhibitor, such as DAY 101 as a strategy to address certain MAPK-driven adult solid tumors.</w:t>
      </w:r>
    </w:p>
    <w:p>
      <w:pPr>
        <w:pStyle w:val="TextBody"/>
        <w:bidi w:val="0"/>
        <w:spacing w:before="120" w:after="283"/>
        <w:jc w:val="center"/>
        <w:rPr/>
      </w:pPr>
      <w:r>
        <w:rPr/>
        <w:drawing>
          <wp:inline distT="0" distB="0" distL="0" distR="0">
            <wp:extent cx="2800350" cy="4210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800350" cy="421005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12. Synergy was observed with tovorafenib when combined with the MEK inhibitor in KRAS G12C or Q61 mutant tumor cell lines in vitro.</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Pimasertib has been dosed in over 850 cancer patients in trials sponsored by Merck KGaA, Darmstadt, Germany KGaA, both as monotherapy and in combination with standard of care therapies, such as gemcitabine, dacarbazine, and the colorectal cancer regimen FOLFIRI, as well as selected investigational agents (the HDM2 inhibitor SAR405838, the PI3K/mTOR inhibitor SAR245409). To date, there have been no clinical trials investigating the potential of pimasertib in combination with a RAF inhibitor.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initial Phase 1 trial of pimasertib was designed to evaluate different schedules and escalating doses of pimasertib monotherapy in patients with various solid tumors, including colorectal, melanoma, prostate, lung, and mesothelioma. The primary goal of this trial was to establish safety and pharmacokinetics to determine the most appropriate dose and schedule for further investigation. Preliminary efficacy was also assessed in terms of tumor response. While several examples of stable disease were observed across tumor types, multiple partial responses were observed in melanoma patients that triggered further investigations in this tumor type. In a dose expansion arm of this trial, 89 melanoma patients received pharmacologically active doses of pimasertib ranging from 28 mg to 255 mg/day across four dose regimens. The ORR was 12.4%, including one complete response, ten partial responses, and 46 patients with stable disease. In the Phase 1 monotherapy trial, dose limiting toxicities were mainly observed at doses of 120 mg/day or greater and included skin rash/acneiform dermatitis and ocular events, such as serous retinal detachment. The most common drug-related adverse events were consistent with effects observed with other MEK inhibitors, including diarrhea, skin disorders, ocular disorders, asthenia/fatigue, and peripheral edema. According to a publication of the results of the melanoma patients enrolled on the monotherapy Phase 1 clinical trial, TEAEs of Grade 3 or higher were experienced by eight out of the 69 patients enrolled. The TEAEs were skin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(n=4), ocular events (n=2) and diarrhea (n=2). All four skin events occurred in the continuous (R3) twice-daily group, whereas ocular and diarrhea events were reported in both the continuous twice-daily group and the discontinuous group. High doses of pimasertib were associated with cases of retinal detachment; however, this and all other toxicities were manageable with supportive care and treatment interruption or dose reduction.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Merck KGaA, Darmstadt, Germany also conducted a multicenter, open-label, randomized Phase 2 trial in 194 patients with NRAS-mutated locally advanced or metastatic cutaneous melanoma, which compared single-agent pimasertib dosed at 60 mg BID to dacarbazine. Median progression free survival, or PFS, in pimasertib treated patients was 13.0 weeks, which was significantly longer than the 6.9 weeks observed in dacarbazine treated patients.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development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initiated an open-label, multicenter, Phase 1b/2a FIRELIGHT-1 umbrella master trial of tovorafenib monotherapy or combination therapy, which consisted of two substudies. Substudy 1 was a Phase 2 clinical trial of tovorafenib as monotherapy in patients 12 years and older with RAF–altered tumors; the first patient was dosed in November 2021. The substudy was closed in November 2023 due to the rarity of eligible patients and the limited duration of responses observed in enrolled patients. Substudy 2 is a Phase 1b/2 combination trial of tovorafenib and pimasertib in patients 12 years and older with NRAS mutations, BRAFwt fusions and other BRAF mutations with the exception of V600E and V600K mutations; the first patient was dosed in May 2022. The combination substudy consists of a Phase 1b dose ranging trial to establish the Phase 2 dose of tovorafenib in combination with pimasertib. Once this dose is established, patients will be enrolled in the combination dose expansion portion of this trial in at least one cohort defined by a genetic alteration, such as NRAS mutation or BRAFwt fusion. The primary endpoint for the Phase 1b portion of the combination substudy is safety. The primary endpoint for the Phase 2 expansion cohort(s) will be overall response rate and duration of response.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 In addition, some pediatric tumors may also benefit from a synergistic inhibition on the MAPK pathway.</w:t>
      </w:r>
    </w:p>
    <w:p>
      <w:pPr>
        <w:pStyle w:val="TextBody"/>
        <w:bidi w:val="0"/>
        <w:spacing w:before="120" w:after="283"/>
        <w:jc w:val="center"/>
        <w:rPr/>
      </w:pPr>
      <w:r>
        <w:rPr/>
        <w:drawing>
          <wp:inline distT="0" distB="0" distL="0" distR="0">
            <wp:extent cx="5143500" cy="1019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143500" cy="101917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Figure 13. Umbrella master trial – DAY101-102 (main protocol) tovorafenib and MAPK pathway alteration, Substudy 2 MEK combo (DAY101-102b).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data from multiple groups suggest that the combination of a MEK inhibitor, such as pimasertib, and a type II RAF inhibitor will have beneficial activity in various MAPK-driven tumor contexts, meaning that potent cell killing activity was obtained at lower concentrations of pimasertib than expected from data generated from monotherapy treatment. We believe that appropriate dosing of pimasertib in combination with tovorafenib may limit frequency and severity of adverse events observed with pimasertib alone, dosed at the MTD, owing to the ability to define a biologically active dose combination. We anticipate exploring pediatric combination trials once additional dosing and safety data is collected in adult patients.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We also rely, and expect to continue to rely, on third parties to package, label, store and distribute our investigational product candidates, as well as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contracted to obtain active pharmaceutical ingredients, or API, drug product, and packaging services for our product candidates from STA Pharmaceutical Hong Kong Limited, Quotient Sciences – Philadelphia, LLC, Experic, LLC and Sharp Packaging Services, LLC, respectively, upon whom we currently rely as single-source contract manufacturing organizations, or CMOs. We have agreements under which third-party CMOs will generally provide us with necessary quantities of API, drug product and packaged product on an order by order basis, based on our development needs. For commercial supply of tovorafenib, we have negotiated supply agreements to meet the anticipated commercial demand of the product. As we advance our product candidates through development, we will explore adding backup suppliers for the API, drug product, packaging and formulation for each of our product candidates to protect against any potential supply disruptions.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expect to rely on third parties for the manufacture of any companion diagnostics we may develop.</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and biotechnology industries are characterized by rapidly advancing technologies, intense competition and a strong emphasis on proprietary products. While we believe that our technology, the expertise of our team, and our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potential could be reduced or eliminated if our competitors develop and commercialize products that are safer or more effective, have fewer or less severe side effects, and are more convenient or less expensive than products that we may develop. Our competitors also may obtain FDA or other regulatory approval for their products more rapidly than we can,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safety and patient convenience.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tovorafenib has the potential to be the first type II RAF inhibitor to be approved by the FDA, for use in the treatment of patients with pLGG, as we are not aware of competing product candidates that are further along in the development process. However, this does not indicate that tovorafenib will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Three BRAF inhibitors have been approved by the FDA for the treatment of tumors containing V600E or V600K mutations. These first-generation BRAF inhibitors, known more generally as type I RAF inhibitors, are vemurafenib, marketed as Zelboraf® by Genentech; dabrafenib, marketed as Tafinlar® by Novartis; and encorafenib, marketed as Braftovi® by Pfizer. Dabrafinib,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(approximately 10%-20%) of the greater RAF-altered pLGG clinical scope of the tovorafenib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Four MEK inhibitors have been approved by the FDA. Three have been approved for the treatment of tumors containing BRAF V600E or V600K mutations, including cobimetinib, marketed as Cotellic® by Genentech; trametinib, marketed as Mekinist® by Novartis; and binimetinib, marketed as Mektovi® by Pfizer. A fourth MEK inhibitor–selumetinib, marketed as Koselugo® by AstraZeneca, has been approved for the treatment of pediatric patients, 2 years of age and older, with neurofibromatosis type 1, or NF1, who have symptomatic, inoperable plexiform neurofibromas.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Erasca is developing the next-generation BRAF inhibitor naporafenib (LXH254) in combination with various agents, in planned Phase 1 and Phase 3 clinical trials. BeiGene has two next-generation BRAF programs: lifirafenib (BGB-283), which is currently in a Phase 1/2 trial in combination with mirdametinib, and BGB-3245 which is currently in a single agent in Phase 1 dose escalation study. Hanmi and Genentech are developing belvarafenib in combination with cobimetinib in a Phase 1b clinical trial. Fore Therapeutics (formelly NovellusDx) is developing the RAF dimer breaker plixorafenib (FORE-8394/PLX8394) in a Phase 1/2 trial in combination with cobicistat. Kinnate is developing KIN-2787 in monotherapy phase 1 clinical trial. Black Diamond Therapeutics have next-generation BRAF inhibitors in various stages of preclinical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the treatment of pLGG, dabrafenib, in combination with trametinib, has been evaluated in a Novartis-sponsored randomized Phase 2 clinical trial in newly diagnosed patients with BRAF V600 mutant pLGG. Novartis received full approval of the dabrafenib-trametinib combination in that indication in March 2023. Further, some MEK inhibitors and some type I RAF inhibitors and other targeted therapies are being studied in academic investigator-initiated clinical trials, and in some regions may be being used in an off-label manner. These agents may represent competition for tovorafenib when it enters the market.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Takeda asset agreement and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DOT Therapeutics-1, Inc., or DOT-1, our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that provides a new approach for treating patients with primary brain tumors or brain metastases of solid tumors. DOT-1 also received clinical inventory supplies to use in our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DOT-1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our common stock upon the effectiveness of the Conversion, on May 26, 2021. </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DOT-1 was merged with and into our company, with our company being the surviving corporation and assuming DOT-1’s obligations under the Takeda Assets Purchase Agreement.</w:t>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Viracta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DOT-1 paid $2.0 million upfront in cash to Viracta, which was recorded as research and development expenses as the technology does not have an alternative future use. As of December 31, 2023, we could be required to make additional milestone payments of up to $49.0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our obligation to pay royalties to Viracta with respect to such product in such country. DOT-1 has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DOT-1 was merged with and into our company, with our company being the surviving corporation and assuming DOT-1’s obligations under Viracta License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Merck KGaA, Darmstadt, Germany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our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MRKDG License Agreement, we have obligations to use commercially reasonable efforts to develop and commercialize at least two licensed products in at least two specified major market countries by the year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As of December 31, 2023, we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all licensed products and all countries under the MRKDG License Agreement.</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DOT-2 was merged with and into our company, with our company being the surviving corporation and assuming DOT-2’s obligations under the MRKDG License Agreement.</w:t>
        <w:b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$3.0 million upfront in cash to Sprint, which was recorded as research and development expenses as the technology does not have an alternative future use. As of December 31, 2023, we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proprietary or intellectual property protection for our drug candidates, technology and know-how, to operate without infringing the proprietary or intellectual property rights of others and to prevent others from infringing our proprietary or intellectual property rights. We expect that we will seek to protect our proprietary and intellectual property position by, among other methods, pursuing and obtaining patent protection in the United States and in jurisdictions outside of the United States related to our proprietary technology, inventions, improvements and drug candidates that are important to the development and implementation of our business. We also rely on trade secrets, know-how, trademarks, continuing technological innovation and licensing opportunities to develop and maintain our proprietary and intellectual property position. Presently, our patent portfolio includes issued patents and pending patent applications that are in-licensed, owned and/or co-owned by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and expect that we will continue to, own, co-own or in-license patent applications and issued patents related to our drug candidates, as well as their use in the treatment of various diseases such as pediatric cancers. For our drug candidates, we generally pursue multilayered patent protection covering compositions of matter, methods of use and methods of manufacture. We intend to strengthen the patent protection of our drug candidates and technologies through additional patent application filings.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2024, we owned or co-owned a patent portfolio consisting of eleven patent families, exclusively in-license three patent families from Merck KGaA, Darmstadt, Germany, and non-exclusively in-license one patent family from Takeda Pharmaceutical Company Limited. The eleven patent families that we own or co-own include patent applications and issued patents that cover compositions of matter, pharmaceutical compositions, methods of synthesis, synthetic intermediates, methods of treatment and combination therapies related to one of our product candidates: tovorafenib or pimasertib. The non-exclusively in-licensed patent family from Takeda Pharmaceutical Company Limited covers a catalyst that may be used in a preparation of our product candidate tovorafenib. The three exclusively in-licensed patent families from Merck KGaA, Darmstadt, Germany cover compositions of matter and methods of use for our product candidate pimasertib. Patent terms for our owned, co-owned or licensed patents discussed herein exclude any patent term extension that may be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or co-owned patent portfolio, as of January 1, 2024, includes a co-owned patent family that is directed to the compositions of matter and methods of use of tovorafenib with four issued U.S. patents and multiple foreign patents and applications including granted patents in Germany, France, United Kingdom, Belgium,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Switzerland, Denmark, Spain, Ireland, Italy, Netherlands, Australia, Brazil, Canada, China, India, Japan, Korea, Mexico, Singapore, South Africa, Taiwan, and Hong Kong, which are expected to expire between 2028 and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owned or co-owned patent portfolio includes a patent family that is directed to pharmaceutical formulations of tovorafenib with an issued U.S. patent and multiple foreign patents and applications including granted patents in Germany, France, United Kingdom, Belgium, Brazil, Canada, Switzerland, Spain, India, Ireland, Italy, Luxembourg, Monaco, Japan, and China, which are expected to expire in 2035. Our owned or co-owned patent portfolio includes an additional pharmaceutical formulation patent family that is directed to formulations of tovorafenib including pending applications in the United States, Europe, China, Hong Kong, and Japan that, if issued, are expected to expire in 2040. Our owned or co-owned patent portfolio includes a patent family directed to additional formulations of tovorafenib with a pending U.S. application that, if issued, is expected to expire in 2043, and a pending PCT application that, if nationalized and issued, is expected to expire in 2043. Our owned or co-owned patent portfolio also includes a patent family directed to methods of synthesizing tovorafenib including an issued U.S. patent, and granted patents in Australia, Eurasia, Israel, Japan, India, China, and Mexico which are expected to expire in 2038 as well as pending applications in the United States, Japan, China, Brazil, Korea, Europe, Canada, Hong Kong, and Singapore that, if issued, are expected to expire in 2038. Our owned or co-owned patent portfolio further includes a patent family directed to methods of treating cancer using tovorafenib in combination with docetaxel with multiple foreign patents including granted patents in China, Germany, France, United Kingdom, Belgium, Switzerland, Spain, Ireland, Italy, Luxembourg, and Monaco that are expected to expire in 2035. Our owned or co-owned patent portfolio includes a patent family directed to methods of treating pLGG including pending applications in the United States, Singapore, Mexico, Korea, Japan, Hong Kong, Europe, China, Canada, and Australia that, if issued, are expected to expire in 2041. Our owned or co-owned patent portfolio includes a patent family directed to methods of treating cancer using tovorafenib in combination with a MEK inhibitor such as pimasertib including pending applications in the United States, South Africa, Singapore, New Zealand, Mexico, Korea, Japan, Israel, Europe, China, Canada, Brazil, and Australia that, if issued, are expected to expire in 2042. Our owned or co-owned patent portfolio includes a patent family with a pending PCT application directed to methods of selecting patients for treatment with tovorafenib that, if nationalized and issued, is expected to expire in 2042. Our owned or co-owned patent portfolio includes a patent family with one U.S. provisional application directed to methods of treatment with a MEK inhibitor such as pimasertib that, if converted to a non-provisional application and issued, is expected to expire in 2044. Our owned or co-owned patent portfolio further includes an additional patent family with one U.S. provisional application directed to methods of treating pLGG that, if converted to a non-provisional application and issued, is expected to expire in 2044.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 portfolio, as of January 1, 2024, includes a patent family exclusively in-licensed from Merck KGaA, Darmstadt, Germany that covers the composition of matter and methods of use of pimasertib. This patent family includes four issued U.S. patents and multiple foreign patents and/or applications including granted patents in Argentina, Austria, Australia, Belgium, Bulgaria, Brazil, Canada, Switzerland, China, Cyprus, Czech Republic, Germany, Denmark, Eurasia, Estonia, Spain, Finland, France, United Kingdom, Greece, Hong Kong, Hungary, Ireland, Israel, India, Iceland, Italy, Japan, Korea, Lithuania, Luxembourg, Latvia, Monaco, Mexico, Netherlands, Norway, Poland, Portugal, Romania, Russian Federation, Sweden, Singapore, Slovenia, Slovakia, Turkey, Ukraine, and South Africa that are expected to expire between 2025 and 2028. Our patent portfolio includes a patent family exclusively in-licensed from Merck KGaA, Darmstadt, Germany that is directed to the solid state form of pimasertib. This patent family includes one issued U.S. patent and multiple foreign patents and/or applications, including granted patents in Austria, Australia, Belgium, Canada, Switzerland, Czech Republic, Germany, Denmark, Eurasia, Spain, France, United Kingdom, Italy, Japan, Luxembourg, Mexico, Netherlands, Poland, Portugal, Russian Federation, Sweden, Singapore, Taiwan, and South Africa, which are expected to expire in 2033. Our patent portfolio further includes a patent family exclusively in-licensed from Merck KGaA, Darmstadt, Germany that covers the composition of matter and methods of use of MSC2015103B with two issued U.S. patents and multiple foreign patents and/or applications, including granted patents in Argentina, Austria, Australia, Belgium, Brazil, Canada, Switzerland, China, Czech Republic, Germany, Denmark, Eurasia, Estonia, Spain, Finland, France, United Kingdom, Hong Kong, Croatia, Hungary, Ireland, Israel, India, Iceland, Italy, Korea, Lithuania, Luxembourg, Latvia, North Macedonia, Malta, Mexico, Netherlands, Norway, New Zealand, Philippines, Poland, Portugal, Romania, Russian Federation, Sweden, Singapore, Slovenia, Slovakia, Turkey, Ukraine, and South Africa, which are expected to expire in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individual patents depends upon the legal term for patents in the countries in which they are granted. In most countries in which we file, the patent term is generally 20 years from the earliest date of filing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non-provisional patent application. In the United States, the patent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Additionally, the Drug Price Competition and Patent Term Restoration Act of 1984, or the Hatch-Waxman Act, permits patent term extension of up to five years beyond the expiration date of a U.S. patent as partial compensation for the length of time a drug is under regulatory review while a patent that covers the drug is in force. The length of the patent term extension is related to the length of time the drug is under regulatory review.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provisions are available in the European Union and certain other foreign jurisdictions to extend the term of a patent that covers an approved drug. In the future, if and when our drug candidates receive approval by the FDA or foreign regulatory authorities, we expect to apply for patent term extensions on issued patents covering those products, if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the section titled “Risk Factors–Risks Related to Our Intellectual Property.” Expiration dates referred to above are without regard to potential patent term extension or other market exclusivity that may be available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biopharmaceutical companies like ours are generally uncertain and involve complex legal, scientific and factual questions. Our commercial success will also depend in part on not infringing upon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the section titled “Risk Factors–Risks Related to Our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 protection, we also rely on trade secrets, know-how, trademarks, other proprietary information and continuing technological innovation to develop and maintain our competitive position. Our trademark portfolio currently contains applications and/or registrations for Day One, Day One Biopharmaceuticals, and Cancer Drug Development Comes of Age in the United States as well as applications for OJEMDA, the marketing name for tovorafenib, in the United States, Canada, the European Union, Iceland, Liechtenstein, Norway, Switzerland and the United Kingdom.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Factors—Risks Related to Our Intellectual Property.”</w:t>
      </w:r>
    </w:p>
    <w:p>
      <w:pPr>
        <w:pStyle w:val="TextBody"/>
        <w:bidi w:val="0"/>
        <w:spacing w:before="12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and jurisdictions extensively regulate, among other things, the research, development, testing, manufacture, quality,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packaging, storage, recordkeeping, labeling, advertising, promotion, marketing, distribution, post-approval monitoring, studies, and reporting, sampling,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FDA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pharmaceutical products are subject to extensive regulation by the FDA, pursuant to the Federal Food, Drug, and Cosmetic Act, or FD&amp;C Act, and other federal and state statutes and regulations that govern, among other things, the research, development, testing, manufacture, quality, approval, packaging, storage, recordkeeping, labeling, advertising, promotion, marketing, distribution, post-approval monitoring, studies, and reporting, sampling, and import and export of pharmaceutical products. Failure to comply with applicable U.S. requirements may subject a company to a variety of administrative or judicial sanctions, such as clinical holds, FDA refusal to accept new marketing applications or approve pending applications, warning or untitled letters, product recalls, product seizures, total or partial suspension of production or distribution, injunctions, fines, civil monetary penalties, and criminal prosecution, penalties and fines.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pre-approval requirements typically takes many years and the actual time required may vary substantially based upon the type, complexity and novelty of the product or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new drug to healthy volunteers or patients under the supervision of a qualified investigator. Clinical trials must be conducted: (i) in compliance with federal statutory requirements and regulations; (ii) in compliance with Good Clinical Practices, or GCPs, international standards meant to protect the rights and health of study subjects and to define the roles of clinical trial sponsors, administrators and monitors; as well as (iii) under protocols detailing the objectives of the trial, the parameters to be used in monitoring safety, and the effectiveness criteria to be evaluated. Each protocol involving human clinical testing in the United States and subsequent protocol amendments must be submitted to the FDA as part of the IND.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study subjects. Imposition of a clinical hold may be full or partial. The study protocol and informed consent information for subjects in clinical trials must also be submitted to an institutional review board, or IRB, for approval. The IRB will also monitor the clinical trial until completed. An IRB may also require the clinical trial at the site to be halted, either temporarily or permanently, for failure to comply with the IRB’s requirements, or may impose other conditions. Additionally, certain clinical trials are overseen by an independent group of qualified experts organized by the clinical trial sponsor, known as Data Safety and Monitoring Boards or Data Monitoring Committees. These groups conduct safety assessments and make recommendations regarding whether a trial may move forward at designated checkpoints based on access to certain data from the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Phases may overlap or be combined. For example, a Phase 1/2 clinical trial may contain both a dose- 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manufacturer of an investigational drug in a Phase 2 or 3 clinical trial for a serious or life-threatening disease is required to make available, such as by posting on its website, its policy on evaluating and responding to requests for expanded access.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completion of the required clinical testing, an NDA is prepared and submitted to the FDA. The FDA approval of the NDA is required before marketing of the product may begin in the United States. The NDA must include the results of all preclinical, clinical and other testing and a compilation of data relating to the product’s pharmacology, chemistry, manufacture and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reviews each submitted NDA before it determines whether to file it, based on the agency’s threshold determination that it is sufficiently complete to permit substantive review, and the FDA may request additional information. The FDA must make a decision on whether to file an NDA within 60 days of receipt, and such decision could include a refusal to file by the FDA. If the submission is filed, the FDA begins an in-depth review of the NDA. The FDA has agreed to certain performance goals in the review of NDAs. Most applications for standard review drug products are reviewed within 10 to 12 months; most applications for priority review drugs are reviewed in six to eight months.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an NDA, the FDA will conduct a pre-approval inspection of the manufacturing facilities for the new product to determine whether they comply with current Good Manufacturing Practices, or cGMPs. The FDA will not approve the product unless it determines that the manufacturing processes and facilities are in compliance with cGMP requirements and adequate to assure consistent production of the product within required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specifications. The FDA also typically inspects one or more clinical trial sites to ensure compliance with GCP requirements and the integrity of the data supporting safety and efficacy.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FDA evaluates the NDA and the manufacturing facilities, it issues either an approval letter or a complete response letter, or CRL. A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the NDA does not satisfy the criteria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or when, the deficiencies identified in the CRL have been addressed to the FDA’s satisfaction in a resubmission of the NDA, the FDA will issue an approval letter. 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for and profitability of the drug. Moreover, product approval may require substantial post-approval testing and surveillance to monitor the drug’s safety or efficacy. Once granted, product approvals may be withdrawn if the FDA determines that the drug is not safe and effective under the approved conditions of use or if the sponsor fails to comply with certain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some of the conditions established in an approved application, including changes in indications, labeling, or manufacturing processes or facilities, require submission and FDA approval of an NDA supplement or, in some cases,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of clinical trial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Sponsors of certain clinical trials of FDA-regulated products, including drugs, are required to register and disclose certain clinical trial information on clinicaltrials.gov. Information related to the intervention (e.g., drug product), patient population, phase of investigation, study sites and investigators, and other aspects of the clinical trial, is then made public as part of the registration. Sponsors are also required to submit the results of their clinical trials no later than one year after the primary completion date of the trial. Disclosure of the results of these trials can be delayed in certain circumstances upon timely submission of a certification, but results must be submitted not later than 2 years after the certification’s submission. Extensions may be available for good cause. Competitors may use this publicly available information to gain knowledge regarding the progress of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Orphan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the disease or condition will be recovered from sales of the product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NDA applicant to receive FDA approval for a particular active moiety to treat a rare disease for which the FDA has granted orphan designation is entitled to a seven-year exclusivity period in the United States for the specific product and the specific indication for which orphan designation was granted. During the seven-year exclusivity period, the FDA may not approve any other sponsor’s application to market the same drug for the same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indication, except in limited circumstances, such as a showing of clinical superiority to the product with orphan drug exclusivity by means of greater effectiveness, greater safety, or providing a major contribution to patient care, or in instances of drug supply issues or consent by the exclusivity holder. Orphan drug exclusivity does not prevent the FDA from approving a different drug for the same indication, or the same drug for a different indication. Other benefits of orphan drug designation include tax credits for certain research and an exemption from the user fee required to submit an NDA, as long as the NDA does not seek approval of an indication that has not received orphan drug designation.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2021, the U.S. Court of Appeals for the Eleventh Circuit held in </w:t>
      </w:r>
      <w:r>
        <w:rPr>
          <w:rFonts w:ascii="Times New Roman" w:hAnsi="Times New Roman"/>
          <w:i/>
          <w:color w:val="000000"/>
          <w:sz w:val="20"/>
        </w:rPr>
        <w:t>Catalyst Pharmaceuticals, Inc. v. Becerra</w:t>
      </w:r>
      <w:r>
        <w:rPr>
          <w:rFonts w:ascii="Times New Roman" w:hAnsi="Times New Roman"/>
          <w:color w:val="000000"/>
          <w:sz w:val="20"/>
        </w:rPr>
        <w:t xml:space="preserve"> that the FDA had erred by limiting the scope of orphan drug exclusivity for FIRDAPSE® (amifampridine) to the product’s approved indication, an action that the FDA took in accordance with its regulations interpreting the Orphan Drug Act. The court held that under the Orphan Drug Act, FIRDAPSE®’s orphan drug exclusivity instead protected the rare disease or condition that received orphan drug designation. Following this court decision in the Catalyst case, the FDA announced in January 2023 that it would continue to apply the FDA’s regulations limiting the scope of orphan drug exclusivity to a product’s approved uses or indications. As a result of the FDA’s announcement, the scope of orphan drug exclusivity and other issues relating to the FDA’s implementation of the Orphan Drug Act with respect to previously approved and future products may be the subject of further litigation or legislation.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Breakthrough therapy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the FDA designate the product candidate for a specific indication as a breakthrough therapy concurrent with, or after, the filing of the IND for the product candidate. The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Accelerated approval of an NDA may be granted for a product that is intended to treat a serious or life-threatening disease or condition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Drugs granted accelerated approval generally provide a meaningful therapeutic advantage to patients over existing treatments.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accelerated approval pathway is often used in settings in which the course of a disease is relatively long, and an extended period of time is required to measure the intended clinical benefit of a product, even if the effect on the surrogate or intermediate clinical endpoint occurs rapidly. Accelerated approval is frequently used in the development and approval of products for treatment of a variety of cancers in which the ultimate goal of therapy is to improve overall survival or decrease serious long-term morbidity and the duration of the typical disease course requires lengthy and sometimes large studies to demonstrate a survival or long-term clinical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accelerated approval pathway generally requires a sponsor’s agreement to conduct an additional post-approval confirmatory study or studies to verify and describe the product’s clinical benefit. Any such confirmatory trial must be completed with due diligence and the FDA may require that the trial be underway prior to approval. Failure to conduct such required post-approval studies with due diligence, or to confirm a clinical benefit during such studies, would allow the FDA to withdraw the product from the market on an expedited basis. In addition, the FDA currently requires, as a condition of accelerated approval, the pre-submission of promotional materials, which can adversely impact the timing of the commercial launch of a product. The accelerated approval pathway does not always lead to a faster development or regulatory review or approval process, and receiving accelerated approval does not provide assurance of ultimate full FDA approval.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Pediatric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Pediatric Research Equity Act, or PREA, NDAs or supplements to NDAs must contain data adequate to assess the safety and effectiveness of the drug for the claimed indications in all relevant pediatric subpopulations and to support dosing and administration for each pediatric subpopulation for which the drug is safe and effective. Alternatively, for an original NDA for a new active ingredient, the application could instead be required to include reports on a molecularly targeted pediatric cancer investigation, if the drug is intended for the treatment of an adult cancer and directed at a molecular target that the FDA determines to be substantially relevant to the growth or progression of a pediatric cancer. The FDA may grant full or partial waivers, or deferrals, for either requirement. Unless otherwise required by regulation, PREA does not apply to any drug for an indication for which orphan designation has been granted. This exemption does not apply to an original NDA for a new active ingredient for an indication that is orphan-designated if the NDA is subject to the molecularly targeted pediatric cancer investigation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Best Pharmaceuticals for Children Act, or BPCA, provides a six-month extension of unexpired exclusivity if certain conditions are met. For NDAs, pediatric exclusivity will attach to unexpired nonpatent and patent exclusivity listed in the Approved Drug Products With Therapeutic Equivalence Evaluations for any drug containing same active moiety as the drug studied. Conditions for earning pediatric exclusivity include the FDA’s determination that information relating to the use of a new drug in the pediatric population may produce health benefits in that population, FDA making a written request for pediatric studies, the applicant agreeing to perform and completing those studies, and the applicant reporting on the requested studies within the statutory timeframe for pediatric exclusivity to be granted. Applications and supplements proposing a labeling change as a result of a pediatric study conducted under the BPCA are treated as priority applications, with all of the benefits that designation confers.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NDA is approved, a product will be subject to certain post-approval requirements. For instance, the FDA closely regulates the advertising, promotion, marketing, and communications relating to approved drugs, including direct-to-consumer advertising, off-label promotion, industry-sponsored scientific and educational activities, and communications on social media and on the Internet. Drugs may be marketed only for their approved indications and in a manner consistent with the FDA-approved labeling.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 reporting and submission of periodic reports are required following FDA approval of an NDA. The FDA also may require, or ask the sponsor to commit to, certain post-marketing surveillance, studies, and/or testing. These post-approval obligations are known as post-marketing requirements or post-marketing commitments depending on the authorities under which they are imposed. The FDA also may require enhanced safety surveillance to monitor potential adverse events relating to the approved product or impose a REMS to ensure that the benefits of the product outweigh the risks. Depending on the severity of the safety concern, a REMS may place conditions restricting the distribution or use of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quality control, drug manufacture, packaging and labeling procedures must continue to conform to cGMPs after approval. Drug manufacturers and certain subcontractors are required to register their establishments with the FDA and certain state agencies. Registration with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product approvals or request product recalls if a company fails to comply with certain post-approval obligations or regulatory standards.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Rare pediatric disease designation and priority review vouchers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Rare Pediatric Disease Priority Review Voucher Program, the FDA may award a priority review voucher to the sponsor of an approved marketing application for a product that treats or prevents a rare pediatric disease. A rare pediatric disease is a serious or life-threatening disease or condition that affects less than 200,000 persons in the United States; affects more than 200,000 persons in the United States with no reasonable expectation of recovering the cost of developing and making the drug available in the United States; or is an orphan subset of a disease or condition that otherwise affects 200,000 or more persons in the United States. A voucher may be awarded only upon approval of a rare pediatric disease product application. A rare pediatric disease product application is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application that meets the following criteria: the application is for a product that treats or prevents a rare pediatric disease; the application must be deemed eligible for priority review; the application must not seek approval for an adult indication; the product must not contain an active moiety or ingredient (as applicable) that has been previously approved by the FDA; the application must be submitted under section 505(b)(1) of the FD&amp;C Act; and the application must rely on clinical data derived from studies examining a pediatric population and dosages of the drug intended for that population such that the approved product can be adequately labeled for the pediatric population. At a sponsor’s request, the FDA may designate a product as a product for a rare pediatric disease and the application for the new product as a rare pediatric disease product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sponsor must notify the FDA, upon submission of the rare pediatric disease application, of its intent to request a voucher. The FDA may revoke a rare pediatric disease priority review voucher if the product for which it was awarded is not marketed in the United States within 365 days of the product’s approval. The voucher, which is transferable to another sponsor, may be submitted with a subsequent application and entitles the holder to priority review of that application. The sponsor using a rare pediatric disease priority review voucher must notify FDA of its intent to submit the voucher with the NDA at least 90 days prior to submission of the application and must pay a priority review user fee determined by the FDA in addition to any other required user fee. Under the FDA’s current performance goals, the FDA’s goal is to take action on a priority review application within six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Congress reauthorized the rare pediatric disease priority review voucher program. Under the terms of that reauthorization, after September 30, 2024, the FDA will be able to award vouchers only if the designations were granted on or before that date. Under current law, the FDA may not award rare pediatric disease priority review vouchers after September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Hatch-Waxman amendments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Orange Book 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commonly referred to as the HatchWaxman Amendments or Hatch-Waxman, NDA applicants are required to submit to the FDA information about each patent for which a patent infringement claim could reasonably be asserted if a person not licensed by the patent owner engaged in the manufacture, use, or sale of the drug, and that claims the applicant’s drug (i.e., and is a drug substance or drug product patent), or that claims a method of using the drug, or listing requirements, based on the proposed labeling. Upon approval of a drug, the applicant must again submit patent information to the FDA based on the approved labeling in a timely fashion regarding patents that satisfy the listing requirements for the drug, and information about each of these patents is then published in the FDA’s Approved Drug Products with Therapeutic Equivalence Evaluations, commonly known as the Orange Book.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drug listed in the Orange Book potentially may be identified by a generic manufacturer as a reference listed drug in an abbreviated new drug application, or ANDA. An ANDA provides for marketing of a drug product that has the same active ingredient(s), strength, route of administration, dosage form, and labeling as the reference listed drug, subject to certain exceptions, and is bioequivalent to the reference listed drug. An approved ANDA product generally is considered to be therapeutically equivalent to the reference listed drug. Other than any data submitted to show bioequivalence, ANDA applicants are not required to conduct, or submit results of, preclinical or clinical tests to prove the safety or effectiveness of their drug product. Drugs approved under the ANDA pathway are commonly referred to as “generic equivalents” to the reference listed drug and can often be substituted by pharmacists under prescriptions written for the reference listed drug pursuant to each state’s laws on drug substitution.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ANDA applicant is required to submit an appropriate certification or statement to the FDA concerning each patent identified in connection with the reference listed drug in the Orange Book. Specifically, the applicant may make one of the following four patent certifications: (i) the required patent information has not been filed; (ii) the listed patent has expired; (iii) the listed patent has not expired but will expire on a particular date and approval is sought after patent expiration; or (iv) the listed patent is invalid, unenforceable, or will not be infringed by the manufacture, use, or sale of the proposed product (a type of certification known as a Paragraph IV certification). For listed patents that claim an approved method of use, under certain circumstances the ANDA applicant may elect to submit a section viii statement, instead of a patent certification, certifying that the proposed ANDA labeling does not contain (or carves out)an indication or other condition of use that is covered by the method-of-use patent. By carving out relevant portions of the drug’s labeling, an ANDA applicant can avoid patent litigation with respect to the method-of-use patent, and the patent will not impact the ANDA applicant’s ability to secure FDA approval for its generic product. Otherwise, if the applicant does not challenge the listed patents through a Paragraph IV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certification, the ANDA will not be eligible for approval until all the listed patents for the reference listed drug have expired. If the ANDA applicant has submitted a Paragraph IV certification to the FDA, the applicant must also send notice of the Paragraph IV certification to the NDA 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if certain requirements are met, prevents the FDA from approving the ANDA until the earlier of 30 months from the date the notice letter is received, expiration of the patent, the date a settlement order or consent decree is signed and entered by the court stating that the patent that is the subject of the Paragraph IV certification is invalid or not infringed, or a decision in the patent litigation that the patent is invalid or not infringed.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ANDA application also will not be approved until any applicable non-patent exclusivity listed in the Orange Book for the reference listed drug has expired. In some instances, an ANDA applicant may receive approval prior to expiration of certain non-patent exclusivity if the applicant seeks, and the FDA permits, the omission of the exclusivity-protected information from the ANDA prescribing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NDA approval of a new chemical entity, or NCE, which is a drug that contains no active moiety that has been approved by the FDA in any other NDA, that drug receives five years of exclusivity during which the FDA cannot receive any ANDA seeking approval of a generic version of that drug unless the application contains a Paragraph IV certification, in which case an ANDA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changes to an approved drug for which new clinical investigations conducted or sponsored by the applicant are essential to approval, which may include, among other changes, the approval of a new indication, the approval of a new strength, or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prescribing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Patent term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Hatch-Waxman permits the extension of one patent further to the approval of a product as compensation for patent term lost during the FDA regulatory review process pertaining to that drug. Patent term extension, however, cannot extend the term of a patent beyond a date that provides the patent with 14 years of effective patent life from the product’s approval date. One or more patent term extension applications may be filed after NDA approval, but ultimately only one patent can be extended. The allowable patent term extension is calculated based on the post-patent issuance period that includes half of the drug’s testing phase (from the date the IND application became effective up to NDA submission) and all of the review phase (the time between NDA submission and approval), up to a maximum of five years. The time can be reduced for any time the FDA determines that the applicant did not pursue approval with due diligence.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in consultation with the FDA, reviews and approves the application for any patent term extension or restoration. However, the USPTO may decide not to grant an extension because of a failure to satisfy applicable requirements. Moreover, the applicable time period or the scope of patent protection afforded could be less than requested.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application for the extension must be submitted prior to the expiration of the patent, and for patents that might expire during the application phase, the patent owner may request an interim patent extension. If granted, an interim patent extension will increase the patent term by up to one year and may be renewed up to four times, depending on the amount of extension to which an applicant is entitled. Interim patent extensions are also available as to patents that may expire prior to NDA approval; however, such interim patent extension will only apply if an application for product approval has been submitted to the FDA.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FDA regulation of companion 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use of an in vitro diagnostic is essential to safe and effective use of a drug product, then the FDA generally will require approval or clearance of the diagnostic, known as a companion diagnostic, at the same time that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approves the drug product. With respect to cancer drugs specifically, the FDA has generally required companion diagnostics intended to select the patients who are likely to respond to a particular cancer treatment to obtain a pre-market approval, or PMA, simultaneously with approval of the drug, except in limited circumstances. The review of these companion diagnostics in conjunction with the review of a cancer therapeutic involves coordination of review by the FDA’s Center for Drug Evaluation and Research and by the FDA’s Center for Devices and Radiological Health. Approval of the drug and corresponding approval or clearance of a companion diagnostic also requires a high level of coordination between the drug manufacturer and device manufacturer, if different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PMA process, including the gathering of preclinical and 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any contract manufacturers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 Medical device manufacturers are also subject to requirements for reporting certain adverse events and malfunction associated with the device and for reporting certain corrections and removals of their devices.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healthcare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FDA regulation of pharmaceutical products, several other types of state and federal laws govern certain general business and marketing practices in the pharmaceutical industry. These laws include anti-kickback, false claims, transparency, health information privacy laws, and other healthcare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beneficiary’s selection of a provider, practitioner, or supplier of items or services reimbursed by these programs, and the additional federal criminal statutes created by the Health Insurance Portability and Accountability Act of 1996, or HIPAA, which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HIPAA, as amended by the Health Information Technology for Economic and Clinical Health Act of 2009, or HITECH, and their respective implementing regulations,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In addition, many state laws govern the privacy and security of health information in certain circumstances, many of which differ from each other in significant ways and may not have the same effect, and often are not preempted by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pursuant to the ACA, the Centers for Medicare &amp; Medicaid Services, or CMS, requires certain manufacturers of prescription drugs to collect and annually report information on certain payments or transfers of value to certain prescribers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subject to analogous state and foreign anti-kickback and false claims laws that may apply to sales or marketing arrangements and claims involving healthcare items or services reimbursed by non-governmental third-party payors, including private insurers, or that apply regardless of payor. In addition, several states require prescription drug companies to report certain expenses relating to the marketing and promotion of drug products and to report gifts and payments to individual healthcare practitioners in those states. Other states prohibit various marketing-related activities, such as the provision of certain kinds of gifts or meals.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Additionally, we may also be subject to state and foreign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 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in the United States since the ACA was enacted to reduce healthcare expenditures. U.S. federal government agencies also currently face potentially significant spending reductions, which may further impact healthcare expenditures. On August 2, 2011, the Budget Control Act of 2011, among other things, created measures for spending reductions, which triggered a 2% reduction in payments under certain government programs, including Medicare. This reduction will remain in effect for Medicare spending through fiscal year 2032.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FDA also released a final rule on September 24, 2020 providing guidance for states to build and submit importation plans for drugs from Canada. The Biden and Trump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on November 20, 2020, the U.S Department of Health and Human Services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to January 1, 2027 by the Bipartisan Safer Communities Act. The Inflation Reduction Act of 2022, or the IRA, further delayed implementation of this rule to January 1, 2032.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recently, in August 2022, President Biden signed into law the IRA, which, among other things, directs the U.S. Department of Health and Human Services, or HHS, to engage in price-capped negotiation for certain drugs and biologics that CMS reimburses under Medicare Part B and Part D. Specifically, the IRA’s Price Negotiation Program will apply to high-expenditure single-source drugs and biologics that have been approved for at least seven and 11 years, respectively, among other negotiation criteria, beginning with ten high-cost drugs paid for by Medicare Part D starting in 2026, followed by 15 Part D drugs in 2027, 15 Part B or Part D drugs in 2028, and 20 Part B or Part D drugs in 2029 and beyond. The negotiated prices will be capped at a statutory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 Beginning in October 2023,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governments have and continue to consider and pass legislation and implement regulations designed to control pharmaceutical and biological product pricing. Some of these measures include restricting price, reimbursement, discounts, product access, and marketing; imposing drug price, cost, and marketing disclosure and transparency requirements; permitting importation from other countries; and encouraging bulk purchasing. Furthermore, a growing number of state attorneys general are filing legal challenges (including use of state antitrust laws) related to drug pricing and reimbursement against various supply chain entities such as pharmacy benefit managers, and such litigation could involve drug manufacturers to a greater degree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particularly if more established or lower-cost therapeutic alternatives are available. Patients are unlikely to use our products unless reimbursement is adequate to cover all or a significant portion of the cost of our drug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for determining coverage and reimbursement is often time-consuming and costly—including requiring us to provide scientific, clinical, and economic support for the use of our products to each payor separately—with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for certain indications. We, or our collaborators, if any, will be required to obtain coverage and reimbursement for these tests separate and apart from the coverage and reimbursement we seek for our product candidates, once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drug on their formularies or otherwise restrict patient access to a drug when a less costly generic equivalent or other alternative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and implementation of government controls and measures could exclude or limit our products from coverage and limit payments for pharmaceuticals.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expect that the increased emphasis on managed care and cost containment measures in the United States by third-party payors and government authorities will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creating and maintaining a diverse, inclusive and safe work environment where our employees can bring their best selves to work each day. Our commitment to diversity extends through our recruitment, retention, learning and engagement and community partnerships. As part of our diversity, equity, inclusion and belonging strategy, we made an active decision to pursue opportunities for learning and engagement that bring people from different backgrounds together into conversation.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155 full-time employees. Of these employees, 44 held Ph.D., Pharm.D. or M.D. degrees, and 80 were engaged in research, development and technical operations. From time to time, we also retain independent contractors to support our organization. Approximately 30% of our employees are based at our headquarters in Brisbane, California, with the remaining others working remotely. We have never experienced a work stoppage, none of our employees are represented by a labor union or covered by collective bargaining agreements, and we strive to attract and retain qualified employees in order to foster long-term working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on employee development, engagement, and diversity and inclusion to identify, hire, develop, and retain the best talent. The principal purpose of our incentive share plan is to attract, retain and motivate selected employees, consultants and directors through the granting of incentive share-based compensation awards and cash-based performance bonus awards. We provide competitive compensation and benefits that are tailored specifically to the needs and requests of our employees and are designed to help us achieve our goals of attracting, hiring and retaining qualified personnel.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 is located in Brisbane, California, where we lease approximately 12,000 square feet of office space. The lease expires in December 2024. There is no option to extend the lease term nor is there an option to terminate the lease prior to its expiration. We believe these facilities are sufficient to meet our ongoing needs and that, if we require additional space, we will be able to obtain additional facilities on commercially reasonable terms.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formed as a limited liability company under the laws of the State of Delaware in November 2018, under the name Hero Therapeutics Holding Company, LLC. We subsequently changed our name to Day One Therapeutics Holding Company, LLC in December 2018 and to Day One Biopharmaceuticals Holding Company, LLC in March 2020. In connection with our initial public offering, we converted from a Delaware limited liability company to a Delaware corporation and changed our name to Day One Biopharmaceuticals, Inc, or the Conversion. Our principal executive offices are located at 2000 Sierra Point Parkway, Suite 501, Brisbane, CA 94005, and our telephone number is (650) 484-0899. Our website address is www.dayonebio.com. </w:t>
        <w:br/>
        <w:t> </w:t>
      </w:r>
    </w:p>
    <w:p>
      <w:pPr>
        <w:pStyle w:val="TextBody"/>
        <w:bidi w:val="0"/>
        <w:spacing w:before="120" w:after="283"/>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Internet website address is http://www.dayonebio.com. On our website, we make available, free of charge, our annual, quarterly, proxy statements and current reports, including amendments to such reports, as soon as reasonably practicable after we electronically file such material with, or furnish such material to, the Securities and Exchange Commission, or the SEC. The SEC maintains a website at www.sec.gov that contains reports as well as other information regarding us and other companies that file materials with the SEC electronically.</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available on our website is information relating to corporate governance at Day One and our board of directors, including our Corporate Governance Guidelines; our Code of Business Conduct and Ethics (for our directors, officers and employees), and our Board Committee Charters. We will provide any of the foregoing information without charge upon written request to our Corporate Secretary, Day One Biopharmaceuticals, Inc., 2000 Sierra Point Parkway, Suite 501, Brisbane, CA 94005.</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Investor Relations website (http://ir.dayonebio.com) as a means of disclosing material non-public information and for complying with our disclosure obligations under Regulation FD promulgated by the SEC. These disclosures are included in the “Press Releases” and “Events and Presentations” sections of our website. Accordingly, investors should monitor these portions of our website, in addition to following our press releases, SEC filings and public conference calls and webcasts.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 w:name="item_1a_risk_factors"/>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Before making your decision to invest in shares of our common stock, you should carefully consider the risks and uncertainties described below, together with the other information contained in this annual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pStyle w:val="TextBody"/>
        <w:bidi w:val="0"/>
        <w:spacing w:before="360" w:after="283"/>
        <w:jc w:val="left"/>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several risks and uncertainties, including those immediately following this summary. Some of these risks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not completed any clinical trials beyond Phase 2, have no products approved for commercial sale and have not generated any revenue, which may make it difficult for investors to evaluate our current business and likelihood of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since our inception and have not generated any revenue. We expect to incur continued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tovorafenib, for which the FDA accepted our NDAs and granted priority review. If the FDA does not approve our NDAs, or if tovorafenib is not commercially successful, our business, financial condition and results of operations would be materially adversely affected and the price of our common stock would likely decline.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our ability to achieve several objectives relating to the discovery or identification, development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marketing authorization. If we fail to demonstrate the safety and effectiveness of our product candidates, our reputation may be harmed and our business will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rely on data from investigator-initiated studies, as we did for the Phase 1 clinical trial, and we do not control the trial operations or reporting of the results of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pharmaceutical products are subject to extensive regulation, and we may not obtain marketing authorizations for tovorafenib, pimasertib or any future product candidates,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pharmaceutical products, including our product candidates, such as tovorafenib, is complex. Our third-party manufacturers may encounter difficulties in production, which could delay or entirely halt their ability to supply our product candidates for clinical trials or, if approved, our products for commercial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depends on our ability to retain our executive officers and key employees and to attract, retain and motivate qualified personnel and manage our human capital.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grow the size and capabilities of our organization, and we may experience difficulties in managing this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have not completed any clinical trials beyond Phase 2, have no products approved for commercial sale and have not generated any revenue, which may make it difficult for investors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focused substantially all of our efforts and financial resources on the clinical development of our lead product candidate, tovorafenib, initially for relapsed or refractory pediatric low-grade gliomas, or pLGGs, and our other current product candidate, pimasertib, which we are studying in combination with tovorafenib for the treatment of RAS- and RAF-dependent tumors. To date, we have financed our operations primarily through the sale and issuance of redeemable convertible preferred shares, convertible notes, the completion of our initial public offering, or IPO, and follow-on public offerings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demonstrated an ability to successfully complete any clinical trials beyond Phase 2, obtain marketing authorizations,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significant net losses since our inception and have not generated any revenue. We expect to incur continued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reporting period since our inception, have not generated any revenue to date and have financed our operations principally through private placements of our redeemable convertible preferred shares, our convertible notes, the completion of our IPO and follow-on offerings of our common stock. For the years ended December 31, 2023, 2022 and 2021, we reported a net loss of $188.9 million, $142.2 million and $72.8 million, respectively. We had an accumulated deficit of $458.6 million as of December 31, 2023. We expect to incur increasing levels of operating losses for the foreseeable future, particularly as we advance tovorafenib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FIREFLY-1 trial for tovorafenib, our ongoing pivotal Phase 3 FIREFLY-2 trial of tovorafenib as a potential front-line therapy in pLGG,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ongoing Phase 1b/2 FIRELIGHT-1 umbrella master trial of tovorafenib in adult RAS/RAF-altered solid tumors as a monotherapy and in combination with pimasertib, and development of and subsequent Investigational New Drug Applications, or INDs, for any future product candidates we may choose to pursue. In October 2023, the U.S. Food and Drug Administration, or FDA, accepted our New Drug Applications, or NDAs, and granted priority review for tovorafenib as a monotherapy in relapsed or refractory pLGG. If we obtain marketing authorization for tovorafenib, pimasertib or another product candidate, we will incur significant sales, marketing and outsourced manufacturing expenses in connection with the commercialization of tovorafenib, pimasertib or such other product candidate. We have also incurred, and will continue to incur, additional costs associated with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tovorafenib, for which the FDA accepted our NDAs and granted priority review. If the FDA does not approve our NDAs, or if tovorafenib is not commercially successful, our business, financial condition and results of operations would be materially adversely affected and the price of our common stock would likely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is highly dependent on our ability to timely complete successful clinical trials, obtain marketing authorization for, and then successfully commercialize, our product candidates. We are early in our development efforts and our lead product candidate, tovorafenib, is currently in pivotal Phase 2 and Phase 3 clinical trials. Our other current product candidate, pimasertib, is in an earlier stage of development. We currently have no products that are approved for sale in any jurisdiction. There can be no assurance that tovorafenib, pimasertib or any future product candidates we develop, if any, will achieve success in their clinical trials or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product revenue will depend heavily on the successful development and eventual commercialization of our lead product candidate, tovorafenib. If the launch or commercialization of tovorafenib is unsuccessful or perceived as disappointing, our stock price could decline significantly and the long-term success of the product candidate and our company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tovorafenib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current and future clinical trials resulting in attractive, competitive target product profiles, including our front-line pivotal Phase 3 FIREFLY-2 trial of tovorafenib as a front-line therapy for patients with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ongoing clinical trial for tovorafenib and Phase 1b/2 umbrella master trial of tovorafenib as a monotherapy and in combination with pimasertib meeting clinical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NDAs by the FDA, including the submission of our NDAs for tovorafenib, which was accepted for filing and granted priority review as a monotherapy in relapsed or refractory pLGG, by the FDA in October 2023, or other similar clinical trial applications from foreign regulatory authorities for our future clinical trials for our pipeline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and successful enrollment of patients in, and completion of, clinical trials with favorable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demonstration of safety, effectiveness and acceptable risk-benefit profiles of our product candidates to the satisfaction of the FDA and foreign regulatory agencies and attractiveness of our product candidates to physicians, patients, advocates, payors and caregivers;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that of our collaborators, to develop and obtain clearance or approval of complementary or companion diagnostics, if any, on a timely basis, or at all, and an adequate supply of these diagnostics and access to these diagnostics that outpaces demand;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related terms of marketing authorizations from applicable regulatory authorities, including potential restrictions or limitations on the conditions of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completion of any required or committed post-marketing studies and available funding to perform any such post-marketing requirements or post-marketing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and commercialize our product candidates, including tovorafenib;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statutory exclusivities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or establishing manufacturing capabilities, for both clinical and commercial supplies of our product candidates and ensuring a resilient, effective supply chain that produces supply that outpaces demand;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implementing marketing, pricing, and reimbursement strategies, as well as adequate demand forecasts for supply and sales planning;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in a market where promotional sales approaches are rapidly moving to digital platforms and access of sales representatives to major institutions remains uncertain;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products, if and when approved, by patients, physicians, the medical community and third-party payors underpinned by adequate health economic data and a meaningful value proposition;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payor coverage and adequate reimbursement in both public and private payor spaces across multiple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including those that have not yet entered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companies in the pharmaceutical and biotechnology industries, which are characterized by rapidly advancing technologies, intense competition and a strong emphasis on proprietary and novel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appropriate support from patient advocacy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shaping the market in the early years following launch to help providers understand a new way of thinking about treating these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delays in our ongoing and planned clinical trials resulting from factors related to any macroeconomic conditions, major natural disaster, public health epidemic or significant political event, including inflation, changes in interest rates, potential instability in the global banking system, uncertainty with respect to the federal debt ceiling and budget and potential government shutdowns related thereto and global regional conflicts, as well as any delays due to supply chain issues impacting the availability of certain standard-of-care chemotherapy drugs;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the products following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and if we cannot address any of them in a timely manner or at all, we could experience significant delays or an inability to successfully commercialize our product candidates, which would materially harm our business. It is also possible that some or all of our product candidates will never obtain marketing authorization even if we expend substantial time and resources seeking such approval.</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or identification,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successful discovery or identification, development and commercialization of product candidates. We have no products approved for commercial sale, and we do not expect to generate significant revenue unless and until we obtain marketing authorization for, and begin to sell, tovorafenib, pimasertib or another product candidate. Our ability to generate revenue and achieve profitability depends on several factors, including, but not limited to,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FDA approval of the pending NDAs for tovorafenib based on the pivotal Phase 2 FIREFLY-1 trial for the treatment of relapsed or refractory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pivotal Phase 3 FIREFLY-2 trial with tovorafenib that achieves a competitive, clinically meaningful and generally well-tolerated target product profile for the front-line treatment of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Phase 1b/2 FIRELIGHT-1 umbrella master trial of tovorafenib as a monotherapy and in combination with pimasertib in patients 12 years and older with tumors having activated RAF signaling;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successfully complete all safety, pharmacokinetic and other studies required to obtain U.S. and foreign marketing authorization for tovorafenib as a treatment for patients with pLGGs;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complete additional, successful late-stage clinical trials that meet their clinical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favorable results from our clinical trials and apply for and obtain marketing authorizations for tovorafenib and pimasertib from applicable regulatory authorities, including NDAs from the FDA, and maintaining such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licenses, collaborations or strategic partnerships that allow for the commercialization of our product candidates and/or may increase the value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commercialize tovorafenib, pimasertib and any future product candidates we may develop, if approved, by building a sales force and/or entering into collaborations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satisfy any post-marketing requirements imposed by, or post-marketing commitments made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demonstrate an acceptable safety profile of our product candidates, including tovorafenib and pimasertib, and continue to maintain a continued acceptable safety profile following marketing authorization,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assess and develop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patent and trade secret protection, statutory exclusivities and other intellectual property protections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defend our intellectual property portfolio, including any necessary licenses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tovorafenib or pimasertib and our other product candidates, if approved, with patients, the medical community and third-party payors, both in the United States and internationally;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must succeed in designing, developing and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authorization for our product candidates, obtaining and retaining patents, trade secrets, statutory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exclusivities, and other intellectual property protections and marketing and selling products for which we may obtain marketing authorization, if any. We are in the earlier stages of most of these activities. We may never succeed in these activities and, even if we do, may never generate revenues that are significant enough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tovorafenib, pimasertib and any future product candidates through clinical development. We expect increased expenses as we continue our research and development, initiate additional clinical trials, seek to expand our product pipeline, seek marketing authorization for our lead programs and future product candidates, if any, and invest in our organization. In addition, if we obtain marketing authorization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$366.3 million in cash, cash equivalents and short-term investments as of December 31, 2023. We believe that our existing cash, cash equivalents and short-term investments, will enable us to fund our operating expenses and capital expenditure requirements into 2026.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results of preclinical studies and clinical trials for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pipeline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current or future product candidates that we may pursue, and other indications for our current product candidates that we may pursue;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obtaining marketing authorization for our current or future product candidates or the modification of ongoing or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and marketing authorization for any complementary or companion diagnostics that may be useful to or necessary for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making arrangements with third-party manufacturers, or establishing manufacturing capabilities, for both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our organization to the size needed to allow for the research, development and potential commercialization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pursue strategic collaborations, including collaborations to commercialize tovorafenib, pimasertib or any of our future pipeline product candidates, if any, our ability to establish and maintain collaborations on favorable terms, if at all, as well as the timing and amount of any milestone or royalty payments we are required to make or are eligible to receive under such collaborations or our current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commercializing any approved product candidates, including establishing sales, marketing, market access and distribution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completing any post-marketing studies or trials requested or required by the FDA or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tovorafenib, pimasertib or any of our future product candidates, if any are approved, or any future pipeline product candidates that receive marketing authorization;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potential product liability claims, including the costs associated with obtaining insurance against such claims and with defending against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additional capital to complete our planned clinical development programs for our current product candidates to obtain marketing authorization, and we anticipate needing to raise additional capital to complete the development of and to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December 31, 2023.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volatility in, the credit and financial markets in the United States and worldwide resulting from inflation, changes in interest rates, potential instability in the global banking system, uncertainty with respect to the federal debt ceiling and budget and potential government shutdowns related thereto, global regional conflicts, public health epidemics, including the COVID-19 pandemic,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marketing authorization. If we fail to demonstrate the safety and effectiveness of our product candidates, our reputation may be harmed and our business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of failure for our product candidates is high. It is impossible to predict when or if any of our product candidates will prove effective or safe in humans or will receive marketing authorization. To obtain the requisite marketing authorizations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similar or desired safety and efficacy traits despite having progressed through preclinical and earlier stage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Tovorafenib has only been studied in a limited number of patients. Should the FDA grant approval for market authorization, tovorafenib will be available to a much larger number of patients, and we do not know whether the results of tovorafenib’s use in such larger number of patients will be consistent with the results from our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Tovorafenib has been administered only to a limited number of patients in clinical studies. While the FDA accepted our NDAs and granted priority review for tovorafenib, we do not know whether the FDA will approve tovorafenib and, if the FDA does, whether the real world safety and effectiveness of the product will be consistent with the safety and effectiveness profile seen in the clinical studies. New data relating to tovorafenib, including from adverse events reports and our post-marketing commitments in the United States, and from other ongoing clinical studies, may result in changes to the product label and may adversely affect sales, or result in withdrawal of tovorafenib from the market. The FDA and regulatory authorities in other jurisdictions may also consider the new data in reviewing tovorafenib’s marketing applications for additional indications and/or in other jurisdictions, or impose post-approval requirements. If any of these actions were to occur, it could result in significant expense and delay and/or limit our ability to generate sales revenues.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rely on data from investigator-initiated studies, as we did for the Phase 1 clinical trial, and we do not control the trial operations or reporting of the results of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rely on certain clinical data from investigator-sponsored clinical studies, and we do not control the trial operations or reporting of the results of such trials. This was the case for the initial Phase 1 study for our lead product candidate, tovorafenib, which was run as an investigator-initiated, multi-center trial in patients with relapsed or 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tovorafenib is a Day One-sponsored trial. Although we expect that our pivotal Phase 2 FIREFELY-1 trial in pLGG will provide a sufficient dataset to support approval based on preliminary discussions with regulatory agencies, we cannot assure you that the FDA will not require data from additional patients or additional follow-up data from existing patients on to support approval.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compassionate use programs could subject us to additional risks, including delays in our clinical trial programs, impacts to our supply capabilities, or adverse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patients receive access to investigational drugs outside of clinical trials through compassionate use programs, which refer to expanded access or right to try programs. These patients generally have life-threatening illnesses for which there are no alternative therapies or they have exhausted all other available therapies. There are a number of risks that we may face as a result of our compassionate use programs. For example, the risk for serious adverse events in this patient population is high, which, if those adverse events are determined to be drug-related, could have a negative impact on the safety profile of our drug candidates and/or cause significant delays, result in an inability to successfully commercialize our drug candidates and/or materially harm our business. Additionally, if we were to provide patients with any of our drug candidates under a compassionate use program, our supply capabilities may limit the number of patients who are able to enroll in the program. It also may become challenging to enroll patients in randomized trials if product candidates are being supplied to patients under expanded access programs. These factors may result in the need to restructure or pause any compassionate use program in order to enroll sufficient numbers of patients in our clinical trials required for marketing authorization and successful commercialization of our drug candidates. If we were to restructure or pause our compassionate use programs, we could face adverse publicity or disruptions related to current or potential participants in our programs.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trials may be suspended, delayed or fail to adequately demonstrate the safety and effectiveness of any of our product candidates, which would prevent or delay development, marketing authorization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authorization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challenges and unforeseen events during, or as a result of, clinical trials that could delay or prevent receipt of marketing authorization or our ability to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regulators refusing to permit our clinical studies to proceed or placing studies on hold before or after the studies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to demonstrate that the dose for a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product candidates in clinical trials to demonstrate important functional, quality, or patient-reported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landscape causing clinical trial enrollment challenges or preventing or delaying marketing authorization in one or several subsets studied in our programs, including in relapsed or front-line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that may require us to conduct additional clinical trials or abandon certain research and/or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delays in our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including Good Clinical Practice, or GCP, regulations,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or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clinical trials to demonstrate the safety or effectiveness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feedback from regulatory authorities that would require us to include data from additional patients or longer term efficacy and safety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the FDA, which may require that additional U.S. data be generated.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product candidates are initially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predict the outcome of our clinical trials, nor can we guarantee that the data we generate from our clinical trials will be acceptable to regulatory authorities so as to support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drug development and/or commercialization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or unable to obtain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may have contraindications, limitations of use or other restrictions that affect the market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authorization with labeling that includes safety warnings, a risk evaluation and mitigation strategy, or REMS, and/or other restrictions on distribution or use that could affect market access;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 or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drug or impose post-marketing safety labeling changes or a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civil or criminal investigations and litigation;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enrolling patients in our ongoing or planned clinical trials, we may be delayed in or prevented from obtaining necessary marketing authorization for any or all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tovorafenib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of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and prevalence of our target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awareness of, and perceptions as to, the potential advantages and risks of our product candidates in relation to other available therapies, including any new drugs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expertise and selection of contract research organizations, or CROs, to manage operations related to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studies or trials with similar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invasive procedures that may be required to enroll patients and to obtain evidence of the product candidate’s performance during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shortages of chemotherapy standard of care, which may be used in the control arm of certain of our clinical trials, including FIREFLY-2;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defined in the protocol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subject to a partial or full clinical hold on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reluctance of physicians or patient advocacy organizations to encourage patient participation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in clinical trials for tovorafenib.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pStyle w:val="TextBody"/>
        <w:bidi w:val="0"/>
        <w:spacing w:before="360" w:after="283"/>
        <w:jc w:val="left"/>
        <w:rPr>
          <w:rFonts w:ascii="Times New Roman" w:hAnsi="Times New Roman"/>
          <w:sz w:val="20"/>
        </w:rPr>
      </w:pPr>
      <w:r>
        <w:rPr>
          <w:rFonts w:ascii="Times New Roman" w:hAnsi="Times New Roman"/>
          <w:b/>
          <w:i/>
          <w:color w:val="000000"/>
          <w:sz w:val="20"/>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have structured the primary endpoint in our FIREFLY-2/LOGGIC trial to be assessed using the Response Assessment for Neuro-Oncology-Low Grade Glioma, or RANO-LGG, and have included RANO-LGG as an exploratory endpoint in FIREFLY-1.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including tovorafenib, may compete with existing therapies and new therapies that may become available in the future. We believe that a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pStyle w:val="TextBody"/>
        <w:bidi w:val="0"/>
        <w:spacing w:before="120" w:after="283"/>
        <w:jc w:val="left"/>
        <w:rPr>
          <w:rFonts w:ascii="Times New Roman" w:hAnsi="Times New Roman"/>
          <w:sz w:val="20"/>
        </w:rPr>
      </w:pPr>
      <w:r>
        <w:rPr>
          <w:rFonts w:ascii="Times New Roman" w:hAnsi="Times New Roman"/>
          <w:color w:val="000000"/>
          <w:sz w:val="20"/>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hAnsi="Times New Roman"/>
          <w:color w:val="000000"/>
          <w:sz w:val="12"/>
        </w:rPr>
        <w:t>®</w:t>
      </w:r>
      <w:r>
        <w:rPr>
          <w:rFonts w:ascii="Times New Roman" w:hAnsi="Times New Roman"/>
          <w:color w:val="000000"/>
          <w:sz w:val="20"/>
        </w:rPr>
        <w:t xml:space="preserve"> by Genentech; dabrafenib, marketed as Tafinlar</w:t>
      </w:r>
      <w:r>
        <w:rPr>
          <w:rFonts w:ascii="Times New Roman" w:hAnsi="Times New Roman"/>
          <w:color w:val="000000"/>
          <w:sz w:val="12"/>
        </w:rPr>
        <w:t>®</w:t>
      </w:r>
      <w:r>
        <w:rPr>
          <w:rFonts w:ascii="Times New Roman" w:hAnsi="Times New Roman"/>
          <w:color w:val="000000"/>
          <w:sz w:val="20"/>
        </w:rPr>
        <w:t xml:space="preserve"> by Novartis; and encorafenib, marketed as Braftovi</w:t>
      </w:r>
      <w:r>
        <w:rPr>
          <w:rFonts w:ascii="Times New Roman" w:hAnsi="Times New Roman"/>
          <w:color w:val="000000"/>
          <w:sz w:val="12"/>
        </w:rPr>
        <w:t>®</w:t>
      </w:r>
      <w:r>
        <w:rPr>
          <w:rFonts w:ascii="Times New Roman" w:hAnsi="Times New Roman"/>
          <w:color w:val="000000"/>
          <w:sz w:val="20"/>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tovorafenib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pStyle w:val="TextBody"/>
        <w:bidi w:val="0"/>
        <w:spacing w:before="120" w:after="283"/>
        <w:jc w:val="left"/>
        <w:rPr>
          <w:rFonts w:ascii="Times New Roman" w:hAnsi="Times New Roman"/>
          <w:sz w:val="20"/>
        </w:rPr>
      </w:pPr>
      <w:r>
        <w:rPr>
          <w:rFonts w:ascii="Times New Roman" w:hAnsi="Times New Roman"/>
          <w:color w:val="000000"/>
          <w:sz w:val="20"/>
        </w:rPr>
        <w:t>Four MEK inhibitors have been approved by the FDA. Three have been approved for the treatment of tumors containing BRAF V600E or V600K mutations, including cobimetinib, marketed as Cotellic</w:t>
      </w:r>
      <w:r>
        <w:rPr>
          <w:rFonts w:ascii="Times New Roman" w:hAnsi="Times New Roman"/>
          <w:color w:val="000000"/>
          <w:sz w:val="12"/>
        </w:rPr>
        <w:t>®</w:t>
      </w:r>
      <w:r>
        <w:rPr>
          <w:rFonts w:ascii="Times New Roman" w:hAnsi="Times New Roman"/>
          <w:color w:val="000000"/>
          <w:sz w:val="20"/>
        </w:rPr>
        <w:t xml:space="preserve"> by Genentech; trametinib, marketed as Mekinist</w:t>
      </w:r>
      <w:r>
        <w:rPr>
          <w:rFonts w:ascii="Times New Roman" w:hAnsi="Times New Roman"/>
          <w:color w:val="000000"/>
          <w:sz w:val="12"/>
        </w:rPr>
        <w:t>®</w:t>
      </w:r>
      <w:r>
        <w:rPr>
          <w:rFonts w:ascii="Times New Roman" w:hAnsi="Times New Roman"/>
          <w:color w:val="000000"/>
          <w:sz w:val="20"/>
        </w:rPr>
        <w:t xml:space="preserve"> by Novartis; and binimetinib, marketed as Mektovi</w:t>
      </w:r>
      <w:r>
        <w:rPr>
          <w:rFonts w:ascii="Times New Roman" w:hAnsi="Times New Roman"/>
          <w:color w:val="000000"/>
          <w:sz w:val="12"/>
        </w:rPr>
        <w:t>®</w:t>
      </w:r>
      <w:r>
        <w:rPr>
          <w:rFonts w:ascii="Times New Roman" w:hAnsi="Times New Roman"/>
          <w:color w:val="000000"/>
          <w:sz w:val="20"/>
        </w:rPr>
        <w:t xml:space="preserve"> by Pfizer. A fourth MEK inhibitor—selumetinib, marketed as Koselugo</w:t>
      </w:r>
      <w:r>
        <w:rPr>
          <w:rFonts w:ascii="Times New Roman" w:hAnsi="Times New Roman"/>
          <w:color w:val="000000"/>
          <w:sz w:val="12"/>
        </w:rPr>
        <w:t>®</w:t>
      </w:r>
      <w:r>
        <w:rPr>
          <w:rFonts w:ascii="Times New Roman" w:hAnsi="Times New Roman"/>
          <w:color w:val="000000"/>
          <w:sz w:val="20"/>
        </w:rPr>
        <w:t xml:space="preserve"> by AstraZeneca—has been approved for the treatment of pediatric patients two years of age and older with neurofibromatosis type 1, or NF1, who have symptomatic, inoperable plexiform neurofibromas. While MEK inhibitors as monotherapy have been shown to be active in BRAF altered pLGG (both BRAF V600E mutant pLGG and BRAF fusion-driven pLGG), no MEK inhibitors have been approved by the FDA as a monotherapy for the treatment of patients with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Hanmi/Genentech are developing belvarafenib in combination with cobimetinib in a Phase 1b clinical trial. Fore Therapeutics (formerly NovellusDx) is developing the RAF dimer breaker PLX8394 in a Phase 1/2 trial in combination with cobicistat. Kinnate is developing KIN-2787 in a monotherapy Phase 1 clinical trial as well as in combination with the MEK inhibitor binimetinib in a Phase 1b clinical trial. Black Diamond Therapeutics have next-generation BRAF inhibitors in various stages of preclinical development. Jazz Pharmaceuticals and Redx have announced that the pan-RAF inhibitor JZP815 has entered clinical development in a Phase 1 trial. Erasca recently announced that it has entered into an exclusive worldwide license agreement with Novartis for naporafenib, a Phase 2 pivotal-ready pan-RAF inhibitor with a potential first-in-class and best-in-class profile in NRAS mutant melanoma and other RAS/MAPK pathway-driven tumors.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regard to the treatment of pLGG, some MEK inhibitors’ and some type I RAF inhibitors’ other targeted therapies have been studied, or are being studied, in academic investigator-initiated clinical trials, and in some regions may be being used in an off-label manner. The off-label use of these agents may represent competition for tovorafenib if it is approved and enters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competitors, either alone or with their collaborators, have significantly greater financial resources, established presence in the market and expertise in research and development, manufacturing, preclinical and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obtaining marketing authorizations and reimbursement and marketing approved products than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could make our development more complicated.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tovorafenib or our other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the product candidates we may develop, if approved,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Safety risks or other side effects associated with tovorafenib, pimasertib or any future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pharmaceuticals generally, we have observed side effects and adverse events associated with our lead product candidate, tovorafenib, and our other product candidates. The most common side effects (adverse events) observed to date with tovorafenib included maculopapular rash, anemia, headache, elevation in blood creatinine phosphokinase, or CPK, nausea, skin and hair discoloration and fatigue.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patients treated with our product candidates have undergone, or may also be undergoing, medical,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tovorafenib, pimasertib or our other product candidates. If we elect or are required to delay, suspend or terminate any clinical trial, the commercial prospects of our product candidates will be harmed and our ability to generate product revenues from such product candidate will be delayed or eliminated. Serious adverse events, or SAEs, observed in clinical trials could hinder or prevent market acceptance of any approved products or reduce the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duration of time that physicians expect to use our product in particular patients. Any of these occurrences may significantly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as we test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receive marketing authorization, and we or others later identify undesirable side effects caused by treatment with such drug,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the drug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in the labeling, such as a contraindication or a boxed warning, or issue safety alerts, Dear Healthcare Provider letters, press releases or other communications containing warnings or other safety information about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impose additional restrictions on the marketing or promotion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regulatory investigations and government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drug could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authorization or acceptance of our product candidates, if approved, and could significantly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opportunities for any product candidates we develop, if approved, may be limited to certain smaller patient subsets and may be smaller than we estimate them to be.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seek approval of tovorafenib as a treatment for relapsed or refractory pLGG and, subsequently, in the front-line setting. In October 2023, the FDA accepted our NDAs and granted priority review for tovorafenib as a monotherapy in relapsed or refractory pLGG. However, there is no guarantee that tovorafenib or our other product candidates will be approved for either line of treatment, and prior to any such approvals we may have to conduct additional clinical trials that may be costly, time-consuming and subject to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and/or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marketing authorization for additional indications,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development activities are primarily focused on the development of targeted therapeutics for patients with genomically defined cancers, which is a rapidly evolving area of science, and the approach we are taking to discover and develop drugs is novel and may never lead to approved or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tovorafenib program, we may never successfully identify additional oncogenic alterations sensitive to tovorafenib in other MAPK-driven tumors. Therefore, we do not know if our approach of treating patients with genomically defined cancers will be successful, and if our approach is unsuccessful, our business will suffer.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including tovorafenib, may not achieve adequate market acceptance among physicians, healthcare professionals, patients or their families,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product candidates receive marketing authorization, they may not gain adequate market acceptance among physicians, patients or their families, third-party payors and others in the medical community. The degree of market acceptance of any of our approved product candidates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durability and safety profile as demonstrated in clinical trials compared to alternative treatments, in addition to functional, quality or patient-reported outcomes;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and of any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use of product candidates in the labeling approved by regulatory authorities, such as boxed warnings or contraindications in labeling, or REMS, which may not be required of alternative treatments and competitor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and the cost/benefit ratios of each;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by third-party payors, including government authorities, and timing of relevant formulary decision-making resulting in this coverage and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in relation to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(which may include willingness of our pediatric patients’ parents) to try new therapies and undergo required diagnostic screening to determine treatment eligibility and of physicians to prescribe these therapies and diagnostic tests;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and market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publicity relating to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 With respect to tovorafenib specifically, successful commercialization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tovorafenib)—the outcomes of which we cannot predict.</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candidates we develop may become subject to unfavorable third-party coverage and reimbursement practices, as well as price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including tovorafenib, that receive marketing authorization will depend substantially, both in the United States and internationally, on the extent to which the costs of such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our product candidates. Even if coverage is provided, the approved reimbursement amount may not be high enough to allow us to establish or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pricing sufficient to realize an adequate return on our investment. Coverage and reimbursement may impact the demand for, or the price of, any product candidate for which we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or sustain coverage and adequate reimbursement for any products from third-party payors, the adoption of those products and sales revenue will be adversely affected, which, in turn, could adversely affect the ability to market or sell those product, if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exposes us to significant product liability risks inherent in the development, testing, manufacturing and commercialization of tovorafenib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development and commercialization of pharmaceutical products are subject to extensive regulation, and we may not obtain marketing authorizations for tovorafenib, pimasertib or any future product candidates,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tovorafenib and pimasertib, currently our only product candidates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refer any application we submit to an advisory committee. An advisory committee is a panel of independent experts, including clinicians and other scientific experts, which reviews, evaluates and provides advice and recommendations to the FDA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approval of an NDA is not guaranteed, and the review and approval process is an expensive and uncertain process over which the FDA has substantial discretion. The FDA approval process may also take several years.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The FDA accepted our NDAs and granted priority review for tovorafenib as a monotherapy in relapsed or refractory pLGG. However, there can be no assurance that tovorafenib or any of our other product candidates will receive marketing authorization in the United States or in other jurisdictions. Additionally, if the FDA approves tovorafenib or our other product candidates, the FDA may impose restrictions, post-marketing requirements or post-marketing commitments that may limit our ability to commercialize tovorafenib or any other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If we fail to comply with FDA-mandated requirements or if the results of certain required post-marketing studies are negative, the FDA could withdraw approval, add warnings or narrow approved indications, which could affect the commercial success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deem our product candidate to be safe and effective;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that the product candidate does not have an acceptable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in the case of an NDA seeking accelerated approval that the NDA does not provide evidence that the product candidate represents a meaningful advantage over available therapies and, therefore, may deny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ORR as the primary endpoint, complemented by key secondary endpoints, is insufficient to reliably define clinical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adverse events experienced by participants in our clinical trials represent an unacceptable level of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accept clinical data from trials, which are conducted at clinical facilities or in countries where the standard of care is potentially different from that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 regarding the formulation, labeling and/or the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approve the manufacturing processes associated with our product candidate or may determine that a manufacturing facility does not have an acceptable compliance status;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approval policies or adopt new regulations;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file a submission due to, among other reasons, the content or formatting of the submission.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obtained FDA approval for any product candidate. This lack of experience may impede our ability to obtain FDA approval in a timely manner, if at all, for our clinical product candidates. Furthermore, even if we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FDA approval, there is no assurance that we will receive similar approval from comparable regulatory authorities in foreign jurisdictions, which may limit our addressable market and could adversely affect our business, prospects,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tovorafenib or pimasertib, or our future product candidates, if any, our commercial prospects will be harmed and our ability to generate revenues will be materially impaired, which would adversely affect our business, prospects,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avail ourselves of one or more of the FDA’s expedited programs. For example, we may seek Fast Track Designation for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 candidates designated as breakthrough therapies by the FDA are also eligible for priority review if supported by clinical data at the time of the submission of the NDA. The FDA may withdraw breakthrough therapy designations if it determines that the criteria for the designation is no longer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FDA accepted our NDAs and granted priority review for tovorafenib as a monotherapy in relapsed or refractory pLGG. 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 drug submitted with a priority review voucher. We cannot assure you that the FDA would decide to grant priority review of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accelerated approval for one or more of our product candidates on the basis of a surrogate endpoint that we believe is reasonably likely to predict clinical benefit, such as ORR.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which could delay or preclude accelerated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Congress recently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 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also has the authority to withdraw products approved under the accelerated approval pathway using expedited withdrawal procedures. Circumstances that may lead to such withdrawal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conduct any required post-approval study of a product candidate with due diligence, including with respect to conditions specified by the FDA;</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study required to verify and describe the predicted clinical benefit of a product candidate fails to verify and describe such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evidence demonstrates that the product candidate is not shown to be safe or effective under the conditions of use;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sponsor's dissemination of false or misleading promotional materials relating to the relevant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Even though we have received breakthrough therapy designation by the FDA for tovorafenib in treating pLGG, such designation may not lead to a faster development or regulatory review or approval process, it does not increase the likelihood that tovorafenib will receive marketing authorization and we may not receive breakthrough therapy designation for other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breakthrough therapy designation from the FDA for the use of tovorafenib in patients with advanced pLGG. Although we have received this designation,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the submission or review of an application for marketing authorization, regardless of whether a product qualifies for breakthrough therapy designation or access to any other expedited program. Access to an expedited program may also be withdrawn by the FDA if it believes that the designation is no longer supported by data from our clinical development program. Additionally, qualification for any breakthrough therapy designation or any of the FDA’s other expedited programs does not ensure that we will ultimately obtain marketing authorization for such product candidate. In addition, receiving breakthrough therapy designation for one product candidate does not increase the likelihood that we would receive breakthrough therapy designation for any other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 maintain orphan drug designation or exclusivity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obtained orphan drug designation in the United States and in the EU for use of tovorafenib in treating malignant glioma and glioma, respectively. We may seek orphan drug designation for tovorafenib in additional geographies or indications, or for pimasertib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for which the orphan product has exclusivity. Orphan drug designation also entitles a party to financial incentives, such as opportunities for grant funding towards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if a medicinal product is granted marketing authorization as an orphan medicinal product, it benefits from a period of orphan market exclusivity during which the European Medicines Agency, or the EMA, or a national regulator may not accept a marketing authorization application for a similar medicinal product in the same orphan 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Moreover, a recent Eleventh Circuit decision in </w:t>
      </w:r>
      <w:r>
        <w:rPr>
          <w:rFonts w:ascii="Times New Roman" w:hAnsi="Times New Roman"/>
          <w:i/>
          <w:color w:val="000000"/>
          <w:sz w:val="20"/>
        </w:rPr>
        <w:t>Catalyst Pharmaceuticals, Inc. vs. FDA</w:t>
      </w:r>
      <w:r>
        <w:rPr>
          <w:rFonts w:ascii="Times New Roman" w:hAnsi="Times New Roman"/>
          <w:color w:val="000000"/>
          <w:sz w:val="20"/>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Catalyst decision beyond the facts at issue in that case, Catalyst could serve as a precedent for future challenges to the FDA’s orphan drug-related decisions, and, accordingly, could fundamentally change how companies rely on, or seek to work around, orphan drug exclusivity in the United States. Legislation has also been introduced that may reverse the Catalyst decision, but such legislation has not yet been passed.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Tovorafenib was granted rare pediatric designation by the FDA in May 2021 for tovorafenib in the treatment of LGGs harboring an activating RAF alteration that disproportionately affects children. We submitted the tovorafenib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under the current statutory sunset provisions, the FDA generally may not award rare pediatric disease priority review vouchers after September 30, 2024. However, if the sponsor has received rare pediatric disease designation for a drug no later than September 30, 2024, the FDA may award a rare pediatric disease priority review voucher if the drug is approved by September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companion diagnostic is needed for a therapeutic product, the companion diagnostic is generally developed in conjunction with the clinical program for an associated therapeutic product. To date, the FDA has required premarket approval of the vast majority of companion diagnostics for cancer therapies. Generally, when a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marketing authorization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marketing authorization of a product candidate, such as tovorafenib, is granted, an approved product and the marketing authorization holder are subject to ongoing regulation by the FDA and other regulators. Regulators may impose post-marketing requirements and elicit post-marketing commitments, which may be onerous and subject us to ongoing review and extensive regulation. For example, the FDA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 epidemiologic surveillance to monitor the safety of our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approved products in order to assess a known risk related to the product, assess signals of serious risks related to the product or identify an unexpected serious risk when available data indicates the potential for a serious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product surveillance and quality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 for which we obtain marketing authorization, including tovorafenib,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 for which we obtain marketing authorization, such as tovorafenib,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and later discovery of previously unknown adverse events or other problems with our products, manufacturers or manufacturing processes,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patients taking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authorizations;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relationships with any potential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media coverage and damage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our product candidates, including tovorafenib, limit our sales and marketing efforts, conduct further post-approval studies and/or discontinue or change any other ongoing clinical studies, which in turn could result in significant expense and delay and/or limit our ability to generate sales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obtain marketing authorization in foreign jurisdictions would prevent our product candidates from being marketed in those jurisdictions, and any approval we are granted for our product candidates in the United States would not assure approval of product candidates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The time required to obtain approval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authorizations and may not receive necessary approvals to commercialize our products in any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Beginning January 1, 2021, manufacturers are required to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Existing, recently enacted and future legislation may increase the difficulty and cost for us to obtain marketing authorization of and commercialize our product candidates and decrease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the provisions of the ACA of importance to our potential product candidates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fees and taxes on manufacturers of certain branded prescription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annual, nondeductible fee on any entity that manufactures or imports specified branded prescription drugs and biologic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methodology by which rebates owed by manufacturers under the Medicaid Drug Rebate Program are calculated for drugs that are inhaled, infused, instilled, implanted or injected;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the statutory minimum rebates a manufacturer must pay under the Medicaid Drug Rebate Program and extended the rebate program to individuals enrolled in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healthcare fraud and abuse laws, including the False Claims Act and the federal Anti-Kickback Statute, new government investigative powers and enhanced penalties for noncompliance;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extension of manufacturers’ Medicaid rebate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eligibility criteria for Medicaid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the entities eligible for discounts under the Public Health Service pharmaceutical pricing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report financial arrangements with physicians, as defined by such law, and teaching hospitals;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annually report drug samples that manufacturers and distributors provide to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Patient-Centered Outcomes Research Institute to oversee, identify priorities in and conduct comparative clinical effectiveness research, along with funding for such research.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repeal or replace certain aspects of the ACA, including measures taken during the Trump administration. The Trump administration released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U.S. Supreme Court held oral arguments on the U.S. Court of Appeals for the Fifth Circuit’s decision that held that the individual mandate is unconstitutional. On February 10, 2021, the Biden administration withdrew the federal government’s support for overturning the ACA. In June 2021, the U.S. Supreme Court remanded the case with instructions to dismiss for lack of standing. However, the U.S. Supreme Court did not decide the ultimate issue of the validity of the individual mandate. Thus, there may be other efforts to challenge the individual mandate or to challenge, repeal or replace the ACA. It is unclear how the U.S. Supreme Court ruling, other such litigation and the healthcare reform measures of the current presidential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last presidential administration used several means to propose or implement drug pricing reform, including through federal budget proposals, executive orders and policy initiatives. The current presidential administration is also focused on drug pricing.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will take effect progressively starting in 2023, although the drug negotiation provisions of the IRA are currently the subject of legal challenges. In addition, the Secretary of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including potentially significant additional changes to current drug pricing and reimbursement structures, will be adopted in the future, particularly if there is a change in presidential administration.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revenue, attain profitability or commercialize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Governments outside of the United States tend to impose strict price controls, which may adversely affect our revenues,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in which corruption is a recognized problem. In addition, the FCPA presents particular challenges in the pharmaceutical industry, because, in many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hospitals are operated by the government, and doctors and other hospital employees are considered foreign officials.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developing our current product candidates, and may continue to develop future product candidates, in combination with other therapies, which would expose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our current product candidates in combination with one or more currently approved cancer therapies or therapies in development. Even if any of our current or future product candidates were to receive marketing authorization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commercialized a product candidate as a company before and currently lack the comprehensive, fully staffed expertise, personnel and resources to successfully commercialize any products on our own or together with suitable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authorization, we will have to develop our own sales, marketing, market access, commercial planning and supply organization or outsource these activities to a third-party. We are planning on finding collaborations to secure marketing authorizations and commercialize our products outside of the United States. We cannot assure that any collaboration(s) will result in short-term or long-term benefit to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all aspects of our clinical trials ourselves. As a result, we are dependent on third parties to conduct our ongoing and planned clinical trials of tovorafenib and pimasertib, and any preclinical studies and clinical trials of any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candidates produced under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tovorafenib, pimasertib or any future product candidates and will not be able to, or may be delayed in our efforts to, successfully commercialize our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manufacture of pharmaceutical products, including our product candidates, such as tovorafenib, is complex. Our third-party manufacturers may encounter difficulties in production, which could delay or entirely halt their ability to supply our product candidates for clinical trials or, if approved, for commercial sale.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authorization.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and public health epidemics, such as the COVID-19 pandemic, may impact our ability to procure sufficient supplies for the development of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manufacturing and supply agreement with Quotient for drug manufacturing of tovorafenib and a packaging agreement with Sharp Corporation, or Sharp, for the packaging and serialization of tovorafenib. Supply chain issues, such as those related to certain packaging material, may negatively impact our ability to package and deliver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enter into additional agreements with third-party manufacturers or suppliers or do so on favorable terms. Our anticipated reliance on a limited number of third party-manufacturers or suppliers exposes us to the following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product development, analytical testing and data generation to support regulatory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carrier disruptions or increased costs that are beyond our control;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deliver our drugs under specified storage conditions and in a timely manner.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prepare for later-stage clinical trials and potential commercialization, we will need to take steps to increase the scale of production of our product candidates. We have not yet scaled up the manufacturing process for any of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apart from tovorafenib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authorization.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 candidates or products may adversely affect our future profit margins and our ability to commercialize any products that obtain marketing authorization on a timely and competitive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a limited number of suppliers for raw materials and any disruptions arising from our sole suppliers could result in delays in our clinical trials or otherwise adversely affect our business and results of operations.</w:t>
        <w:br/>
      </w:r>
      <w:r>
        <w:rPr>
          <w:rFonts w:ascii="Times New Roman" w:hAnsi="Times New Roman"/>
          <w:color w:val="000000"/>
          <w:sz w:val="20"/>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potential instability in the global banking system, uncertainty with respect to the federal debt ceiling and budget and potential government shutdowns related thereto, natural disasters, fire, acts of terrorism, pandemics, such as the COVID-19 pandemic,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enter into collaborations with third parties for the development and commercialization of our product candidates. If those collaborations are not successful, we may not be able to capitalize on the market potential of these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with future collaborators involving our product candidates would pose numerous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products or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future collaborator of ours were to be involved in a business combination, the continued pursuit and emphasis on our product development or commercialization program could be delayed, diminished or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establish one or more collaborations, all of the risks relating to product development, marketing authorization and commercialization described herein would also apply to the activities of any such future collaborators.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and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our executive officers and key employees and to attract, retain and motivate qualified personnel and manage our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and Samuel Blackman, M.D., Ph.D., our Head of Research and Development, as well as the other members of our management team, other key employees and advisors. We currently do not maintain key person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insurance on these individuals. Although we have entered into employment agreements with our executive officers, each of them may terminate their employment with us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commercial and management skills and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155 full-time employees as of December 31, 2023. We expect significant growth in the number of our employees and the scope of our operations, particularly in the areas of clinical development, clinical operations, manufacturing, regulatory affairs and, if any of our product candidates receives marketing authorization,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tovorafenib,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tovorafenib, pimasertib or any future product candidates or otherwise advance our business. We cannot assure you that we will be able to properly manage our existing vendors or consultants or find other competent outside vendors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manage growth and expand our organization, we may not be able to successfully implement the tasks necessary to further develop and commercialize tovorafenib, pimasertib, our other pipeline product candidates or any future product candidates and, accordingly, may not achieve our research, development and commercialization goals.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clinical trial investigators, CROs, CMOs, consultants, vendors and any potential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and third parties that we rely on, including,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cGMP) and clinical practice (e.g., GCP)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increase of “work from home” in recent years has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increase of remote work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tovorafenib,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as amended by the California Privacy Rights Act, or the CPRA, imposes a private right of action for security breaches that could lead to some form of remedy including regulatory scrutiny, fines, private right of action settlements, and other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mitigate the impact of such an event, and to develop and implement protections to prevent future events of this nature from occurring.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tovorafenib, pimasertib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or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 parties who we work with are or may become subject to numerous domestic and foreign data protection laws and regulations (i.e., laws and regulations that address privacy and data security), the scopes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Washington state recently passed the My Health My Data Act, which is focused on the collection of consumer health data. The My Health My Data Act has a broader scope than HIPAA and includes a private right of action. There may be substantial regulatory action and litigation associated with the My Health Data Act once it becomes effective in early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 of California recently enacted the CCPA, which creates new individual privacy rights for California consumers and places increased privacy and data security obligations on entities handling personal information of consumers or households. The CCPA, in effect since January 1, 2020, and most recently amended by the CPRA, is now in effect as of January 1, 2023 and enforced as of July 1, 2023, subject to the regulations promulgated through a newly created enforcement agency called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(effective as of January 1, 2023), and Colorado, which enacted the Colorado Privacy Act, or CoPA (effective as of July 1, 2023). The VCDPA, CoPA and other such proposed legislation, if enacted, could increase our potential liability and compliance costs,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Effective July 10, 2023, the new EU-U.S. Data Privacy Framework, or the DPF, has been recognized as adequate under EU law to allow transfers of personal data from the EU to certified companies in the United States. However, the DPF is subject to further legal challenges which could cause the legal requirements for personal data transfers from the EU to the United States to become uncertain once again. While the DPF does not apply to the UK, on October 12, 2023, the UK government adopted an adequacy decision concluding that the United States ensures an adequate level of protection transferred from the UK to the United States under the UK Extension to the EU-U.S. Data Privacy Framework, or the UK DPF. We anticipate a similar adequacy decision from the Swiss government, or Swiss DPF. Both the UK DPF and the Swiss DPF could also be contested or otherwise affected by any challenges to the EU-U.S. DPF. If we cannot implement a valid compliance mechanism for cross-border data transfers, we may face increased exposure to regulatory actions, substantial fines, and injunctions against processing or transferring personal data from Europe or other foreign jurisdictions. In the EU and other markets, potential new rules and restrictions on the flow of data across borders could increase the cost and complexity of doing business in those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if any, and operating our business. These obligations may be interpreted and applied in a manner that is inconsistent from one jurisdiction to another and may conflict with other requirements or our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on July 26, 2023, the SEC adopted new cybersecurity disclosure rules for public companies that require disclosure regarding cybersecurity risk management (including the board’s role in overseeing cybersecurity risks, management’s role and expertise in assessing and managing cybersecurity risks and processes for assessing, identifying and managing cybersecurity risks) in annual reports on Form 10-K. These new cybersecurity disclosure rules also require the disclosure of material cybersecurity incidents by Form 8-K, within four business days of determining an incident is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 may become subject to the terms of external and internal privacy and security policies, representations, certifications and publications related to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engaged, and will continue to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strategic transactions,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in order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the operations, systems and personnel of any acquired businesses with our operations, systems and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retain key employees of any acquired businesses.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applications and those of our licensors may not result in patents being issued which protect our product candidates or which effectively prevent others from commercializing competitive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hAnsi="Times New Roman"/>
          <w:i/>
          <w:color w:val="000000"/>
          <w:sz w:val="20"/>
        </w:rPr>
        <w:t>inter partes</w:t>
      </w:r>
      <w:r>
        <w:rPr>
          <w:rFonts w:ascii="Times New Roman" w:hAnsi="Times New Roman"/>
          <w:color w:val="000000"/>
          <w:sz w:val="20"/>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develop products that are similar to our product candidates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make the inventions covered by the issued patents or patent application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 pending patent applications we own or license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license may be held invalid or unenforceable, as a result of legal challenges by our competitors;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police our trademarks and trade secrets;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it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hAnsi="Times New Roman"/>
          <w:i/>
          <w:color w:val="000000"/>
          <w:sz w:val="20"/>
        </w:rPr>
        <w:t>inter partes</w:t>
      </w:r>
      <w:r>
        <w:rPr>
          <w:rFonts w:ascii="Times New Roman" w:hAnsi="Times New Roman"/>
          <w:color w:val="000000"/>
          <w:sz w:val="20"/>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 in costly litigation that may cause negative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 us from commercializing any of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develop non-infringing technology, which may not be possible on a cost-effective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us to significant liability to third parties;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enter into royalty or licensing agreements, which may not be available on commercially reasonable terms, or at all, or which might be non-exclusive, which could result in our competitors gaining access to the same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no third party has asserted a claim of patent infringement against us as of December 31, 2023,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our rights to develop and market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patent or trade secret protection for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significant delays in the development or commercialization of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able to obtain any other licenses on acceptable terms, if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liability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any of the foregoing, it could have a materially adverse effect on our business and could force us to cease operations which could cause you to lose all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our license agreements, it could have a material adverse effect on our commercialization efforts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lead product candidates are protected by, among other intellectual property rights, patents and patent applications we co-own and exclusively in-license from Viracta Therapeutics, Inc. (f/k/a Sunesis Pharmaceuticals, Inc.). Our current lead product candidates and pipeline and our anticipated near-term pipeline may include technologies, licensed from other third parties, including, for example, Merck KGaA, Darmstadt, Germany.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Disputes may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intellectual property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inventors are able to contest the assignment of their rights to our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pursue or enforce the licensed patent rights may be jeopardized. If we or our licensors fail to adequately protect this intellectual property, our ability to commercialize our products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also raise similar invalidity claims before the USPTO or patent offices abroad, even outside the context of litigation. Such mechanisms include re-examination, </w:t>
      </w:r>
      <w:r>
        <w:rPr>
          <w:rFonts w:ascii="Times New Roman" w:hAnsi="Times New Roman"/>
          <w:i/>
          <w:color w:val="000000"/>
          <w:sz w:val="20"/>
        </w:rPr>
        <w:t xml:space="preserve">inter partes </w:t>
      </w:r>
      <w:r>
        <w:rPr>
          <w:rFonts w:ascii="Times New Roman" w:hAnsi="Times New Roman"/>
          <w:color w:val="000000"/>
          <w:sz w:val="20"/>
        </w:rPr>
        <w:t xml:space="preserve">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of the expense and uncertainty of litigation, we may not be in a position to enforce our intellectual property rights against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patent reform legislation could increase the uncertainties and costs surrounding the prosecution of our patent applications and/or those of our licensors and the enforcement or defense of our issued patents and/or those of our licensors.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An adverse determination in any such submission or proceeding could reduce the scope or enforceability of, or invalidate, our patent rights, which could adversely affect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laws in other countries,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either narrowing the scope of patent protection available in certain circumstances or weakening the rights of patent owners in certain situations. The Federal Circuit recently issued a decision that involves the interaction of patent term adjustment, or PTA, terminal disclaimers, and obviousness-type double patenting. This decision creates uncertainty to the patent terms of certain U.S. patents that share the same priority claim where one expires later than another due to accrued PTA.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patent term extension for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authorization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or our employees have wrongfully used or disclosed alleged confidential information or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defending against these claims, litigation could result in substantial costs and be a distraction to our management team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patent protection and patent prosecution for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our intellectual property protection includes patents and patent applications that we have in-licensed from, among others,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domestic manufacture is not commercially feasible. This preference for U.S. industry may limit our ability to contract with non-U.S. product manufacturers for products covered by such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pStyle w:val="TextBody"/>
        <w:bidi w:val="0"/>
        <w:spacing w:before="120" w:after="283"/>
        <w:jc w:val="left"/>
        <w:rPr>
          <w:rFonts w:ascii="Times New Roman" w:hAnsi="Times New Roman"/>
          <w:sz w:val="20"/>
        </w:rPr>
      </w:pPr>
      <w:r>
        <w:rPr>
          <w:rFonts w:ascii="Times New Roman" w:hAnsi="Times New Roman"/>
          <w:color w:val="000000"/>
          <w:sz w:val="20"/>
        </w:rPr>
        <w:t>Certain geo-political actions in the United States or other countries may increase the uncertainties and costs related to the prosecution or maintenance of our patent applications, or those of our current or future licensors, as mess and the maintenance, enforcement and defense of our issued patents or those of our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Additionally, we are closely monitoring the unfolding events of the armed conflict in Israel which began in October 2023. While this conflict is still evolving, to date, the conflict has not had an adverse impact on our business and results of operations. However, should these conflicts worsen or intensify, our competitive position may be impaired, and our business, financial condition, results of operations and prospects may be adversely affected.</w:t>
      </w:r>
      <w:r>
        <w:rPr>
          <w:rFonts w:ascii="Times New Roman" w:hAnsi="Times New Roman"/>
          <w:b/>
          <w:color w:val="000000"/>
          <w:sz w:val="20"/>
        </w:rPr>
        <w:br/>
      </w:r>
      <w:r>
        <w:rPr>
          <w:rFonts w:ascii="Times New Roman" w:hAnsi="Times New Roman"/>
          <w:color w:val="000000"/>
          <w:sz w:val="20"/>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An active and liquid trading market for our common stock may never be sustained. As a result, you may not be able to resell your shares of common stock at or above the purchase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current or future development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status of enrollment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clinical trials or funding support by us or potential future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potential future arrangements or the termination or modification of any such potential future arrangements;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misappropriation or violation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product candidate we may develop receives marketing authorization, the timing and terms of such approval and market acceptance and demand for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to establish a sales, marketing and distribution infrastructure to commercialize any products for which we may obtain marketing authorization and intend to commercialize on our own or jointly with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current or future product candidates or products, if any,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expense or gain associated with the change in value of the success payments and contingent consideration;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 such as due to rising interest rates, inflation, potential instability in the global banking system, uncertainty with respect to the federal debt ceiling and budget and potential government shutdowns related thereto, global regional conflicts and public health epidemics, such as the COVID-19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development activities, such as additional program in-licensing, which could result in up-front payments or increased development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our common stock is likely to be highly volatile, which could result in substantial losses for purchasers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or clinical trials by us or those of our competitors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enrollment status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development status of our product candidates, including variations in the level of expense related to the development of our programs or funding support by us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especially changes in laws or regulations applicable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introductions and announcements of new product candidates by us, our future collaboration partners, or our competitors, and the timing of these introductions or announcements;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acquire or in-license additional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announced or completed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our intellectual property and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fluctuations of 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interest rate increases on the overall stock market and the market for biopharmaceutical company stocks;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shares of our common stock by us, insiders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raise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inflation, potential instability in the global banking system and uncertainty with respect to the federal debt ceiling and budget and potential government shutdowns related thereto, many of which are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global pandemics, such as the COVID-19 pandemic, or war, incidents of terrorism or responses to these events, including global regional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A sale of a substantial number of shares of our common stock may cause the price of our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an aggregate of 87,227,132 shares of our outstanding common stock as of December 31, 2023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December 31, 2023, our executive officers, directors, holders of 5% or more of our capital stock and their respective affiliates beneficially owned 49.5%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only the board of directors to establish the number of directors and fill vacancies on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voting to amend some provisions in our restated certificate of incorporation and restated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could use to implement a stockholder rights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cumulative voting;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company, our common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br/>
        <w:t>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stock price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as well as the possibility of a recession or further economic downturn. Moreover, there have been recent concerns with respect to the stability of the global banking system. For example, on March 10, 2023, Silicon Valley Bank, or SVB, one of our banking partners, was closed by the California Department of Financial Protection and Innovation, which appointed the Federal Deposit Insurance Corporation, or the FDIC, as receiver. While we only had a minimal amount of our cash directly at SVB and, since that date, the FDIC has stated that all depositors of SVB will be made whole, there is no guarantee that the federal government would guarantee all depositors as they did with SVB depositors in the event of further bank closures and continued instability in the global banking system may adversely impact our business and financial condition. Likewise, the capital and credit markets may be adversely affected by global regional conflicts, and the possibility of wider or additional global conflicts,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pStyle w:val="TextBody"/>
        <w:bidi w:val="0"/>
        <w:spacing w:before="36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of directors, or the Board, recognizes the critical importance of maintaining the trust and confidence of our patients, investors, business partners and employees. The Board is actively involved in oversight of the Company’s risk management program, and cybersecurity represents an important component of the Company’s overall approach to enterprise risk management, or ERM. The Company’s cybersecurity policies, standards, processes and practices are fully integrated into the Company’s ERM program and are based on recognized frameworks established by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the information that the Company collects and stores by identifying, preventing, mitigating and remediating cybersecurity threats and effectively responding to cybersecurity incidents when they occur.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one of the critical elements of the Company’s overall ERM approach, the Company’s cybersecurity program is focused on the following key areas:</w:t>
      </w:r>
    </w:p>
    <w:p>
      <w:pPr>
        <w:pStyle w:val="TextBody"/>
        <w:bidi w:val="0"/>
        <w:spacing w:before="120" w:after="283"/>
        <w:jc w:val="left"/>
        <w:rPr>
          <w:rFonts w:ascii="Times New Roman" w:hAnsi="Times New Roman"/>
          <w:sz w:val="20"/>
        </w:rPr>
      </w:pPr>
      <w:r>
        <w:rPr>
          <w:rFonts w:ascii="Times New Roman" w:hAnsi="Times New Roman"/>
          <w:b/>
          <w:color w:val="000000"/>
          <w:sz w:val="20"/>
        </w:rPr>
        <w:t>Governance</w:t>
      </w:r>
      <w:r>
        <w:rPr>
          <w:rFonts w:ascii="Times New Roman" w:hAnsi="Times New Roman"/>
          <w:color w:val="000000"/>
          <w:sz w:val="20"/>
        </w:rPr>
        <w:t>: As discussed in more detail under the heading “Governance,” the Board's oversight of cybersecurity risk management is supported by the Audit Committee of the Board, or the Audit Committee, which regularly interacts with the Company’s Head of Information Technology and other members of management, including members of management’s Data Privacy and Security Committee.</w:t>
      </w:r>
    </w:p>
    <w:p>
      <w:pPr>
        <w:pStyle w:val="TextBody"/>
        <w:bidi w:val="0"/>
        <w:spacing w:before="120" w:after="283"/>
        <w:jc w:val="left"/>
        <w:rPr>
          <w:rFonts w:ascii="Times New Roman" w:hAnsi="Times New Roman"/>
          <w:sz w:val="20"/>
        </w:rPr>
      </w:pPr>
      <w:r>
        <w:rPr>
          <w:rFonts w:ascii="Times New Roman" w:hAnsi="Times New Roman"/>
          <w:b/>
          <w:color w:val="000000"/>
          <w:sz w:val="20"/>
        </w:rPr>
        <w:t>Collaborative Approach</w:t>
      </w:r>
      <w:r>
        <w:rPr>
          <w:rFonts w:ascii="Times New Roman" w:hAnsi="Times New Roman"/>
          <w:color w:val="000000"/>
          <w:sz w:val="20"/>
        </w:rPr>
        <w:t xml:space="preserve">: The Company has implemented a comprehensive, cross-functional approach to identifying, preventing and mitigating cybersecurity threats and incidents, while also implementing controls and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processes that provide for the prompt escalation of certain cybersecurity incidents so that decisions regarding the public disclosure and reporting of such incidents can be made by management in a timely manner.</w:t>
      </w:r>
    </w:p>
    <w:p>
      <w:pPr>
        <w:pStyle w:val="TextBody"/>
        <w:bidi w:val="0"/>
        <w:spacing w:before="120" w:after="283"/>
        <w:jc w:val="left"/>
        <w:rPr>
          <w:rFonts w:ascii="Times New Roman" w:hAnsi="Times New Roman"/>
          <w:sz w:val="20"/>
        </w:rPr>
      </w:pPr>
      <w:r>
        <w:rPr>
          <w:rFonts w:ascii="Times New Roman" w:hAnsi="Times New Roman"/>
          <w:b/>
          <w:color w:val="000000"/>
          <w:sz w:val="20"/>
        </w:rPr>
        <w:t>Information Security</w:t>
      </w:r>
      <w:r>
        <w:rPr>
          <w:rFonts w:ascii="Times New Roman" w:hAnsi="Times New Roman"/>
          <w:color w:val="000000"/>
          <w:sz w:val="20"/>
        </w:rPr>
        <w:t>: We implement organizational, administrative and technical measures based on commercially reasonable procedures using (i) industry standard information security measures prescribed for use by National Institute of Standards and Technology, (ii) security measures aligned with the ISO/IEC 27000 series of standards, (iii) the Sarbanes-Oxley Act and SSAE 18/ISAE 3402, (iv) privacy regulations such as the European Union’s General Data Protection Regulation and the California Consumer Privacy Act,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Technical Safeguards</w:t>
      </w:r>
      <w:r>
        <w:rPr>
          <w:rFonts w:ascii="Times New Roman" w:hAnsi="Times New Roman"/>
          <w:color w:val="000000"/>
          <w:sz w:val="20"/>
        </w:rPr>
        <w:t>: The Company deploys technical safeguards that are designed to protect the Company’s information systems from cybersecurity threats, including firewalls, intrusion prevention and detection systems, anti-malware functionality and access controls, which are evaluated and improved through vulnerability assessments and cybersecurity threat intelligence.</w:t>
      </w:r>
    </w:p>
    <w:p>
      <w:pPr>
        <w:pStyle w:val="TextBody"/>
        <w:bidi w:val="0"/>
        <w:spacing w:before="120" w:after="283"/>
        <w:jc w:val="left"/>
        <w:rPr>
          <w:rFonts w:ascii="Times New Roman" w:hAnsi="Times New Roman"/>
          <w:sz w:val="20"/>
        </w:rPr>
      </w:pPr>
      <w:r>
        <w:rPr>
          <w:rFonts w:ascii="Times New Roman" w:hAnsi="Times New Roman"/>
          <w:b/>
          <w:color w:val="000000"/>
          <w:sz w:val="20"/>
        </w:rPr>
        <w:t>Incident Response and Recovery Planning</w:t>
      </w:r>
      <w:r>
        <w:rPr>
          <w:rFonts w:ascii="Times New Roman" w:hAnsi="Times New Roman"/>
          <w:color w:val="000000"/>
          <w:sz w:val="20"/>
        </w:rPr>
        <w:t>: The Company has established and maintains comprehensive incident response and recovery plans that fully address the Company’s response to a cybersecurity incident, and such plans are tested and evaluated on a regular basis.</w:t>
      </w:r>
    </w:p>
    <w:p>
      <w:pPr>
        <w:pStyle w:val="TextBody"/>
        <w:bidi w:val="0"/>
        <w:spacing w:before="120" w:after="283"/>
        <w:jc w:val="left"/>
        <w:rPr>
          <w:rFonts w:ascii="Times New Roman" w:hAnsi="Times New Roman"/>
          <w:sz w:val="20"/>
        </w:rPr>
      </w:pPr>
      <w:r>
        <w:rPr>
          <w:rFonts w:ascii="Times New Roman" w:hAnsi="Times New Roman"/>
          <w:b/>
          <w:color w:val="000000"/>
          <w:sz w:val="20"/>
        </w:rPr>
        <w:t>Third-Party Risk Management</w:t>
      </w:r>
      <w:r>
        <w:rPr>
          <w:rFonts w:ascii="Times New Roman" w:hAnsi="Times New Roman"/>
          <w:color w:val="000000"/>
          <w:sz w:val="20"/>
        </w:rPr>
        <w:t xml:space="preserve">: The Company maintains a comprehensive, risk-based approach to identifying and overseeing cybersecurity risks presented by third parties, including vendors, service providers and other external users of the Company’s systems, as well as the systems of third parties that could adversely impact our business in the event of a cybersecurity incident affecting those third-party systems. </w:t>
      </w:r>
    </w:p>
    <w:p>
      <w:pPr>
        <w:pStyle w:val="TextBody"/>
        <w:bidi w:val="0"/>
        <w:spacing w:before="120" w:after="283"/>
        <w:jc w:val="left"/>
        <w:rPr>
          <w:rFonts w:ascii="Times New Roman" w:hAnsi="Times New Roman"/>
          <w:sz w:val="20"/>
        </w:rPr>
      </w:pPr>
      <w:r>
        <w:rPr>
          <w:rFonts w:ascii="Times New Roman" w:hAnsi="Times New Roman"/>
          <w:b/>
          <w:color w:val="000000"/>
          <w:sz w:val="20"/>
        </w:rPr>
        <w:t>Education and Awareness</w:t>
      </w:r>
      <w:r>
        <w:rPr>
          <w:rFonts w:ascii="Times New Roman" w:hAnsi="Times New Roman"/>
          <w:color w:val="000000"/>
          <w:sz w:val="20"/>
        </w:rPr>
        <w:t>: The Company provides regular, mandatory training for personnel and contractors regarding cybersecurity threats as a means to equip the Company’s personnel with effective tools to address cybersecurity threats, and to communicate the Company’s evolving information security policies, standards, processes and practices.</w:t>
      </w:r>
    </w:p>
    <w:p>
      <w:pPr>
        <w:pStyle w:val="TextBody"/>
        <w:bidi w:val="0"/>
        <w:spacing w:before="120" w:after="283"/>
        <w:jc w:val="left"/>
        <w:rPr>
          <w:rFonts w:ascii="Times New Roman" w:hAnsi="Times New Roman"/>
          <w:sz w:val="20"/>
        </w:rPr>
      </w:pPr>
      <w:r>
        <w:rPr>
          <w:rFonts w:ascii="Times New Roman" w:hAnsi="Times New Roman"/>
          <w:b/>
          <w:color w:val="000000"/>
          <w:sz w:val="20"/>
        </w:rPr>
        <w:t>Risk and Readiness Assessments</w:t>
      </w:r>
      <w:r>
        <w:rPr>
          <w:rFonts w:ascii="Times New Roman" w:hAnsi="Times New Roman"/>
          <w:color w:val="000000"/>
          <w:sz w:val="20"/>
        </w:rPr>
        <w:t>: 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Company regularly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Audit Committee and the Board, and the Company adjusts its cybersecurity policies, standards, processes and practices as necessary based on the information provided by these assessments, audits and reviews.</w:t>
      </w:r>
    </w:p>
    <w:p>
      <w:pPr>
        <w:pStyle w:val="TextBody"/>
        <w:bidi w:val="0"/>
        <w:spacing w:before="120" w:after="283"/>
        <w:jc w:val="left"/>
        <w:rPr>
          <w:rFonts w:ascii="Times New Roman" w:hAnsi="Times New Roman"/>
          <w:sz w:val="20"/>
        </w:rPr>
      </w:pPr>
      <w:r>
        <w:rPr>
          <w:rFonts w:ascii="Times New Roman" w:hAnsi="Times New Roman"/>
          <w:b/>
          <w:color w:val="000000"/>
          <w:sz w:val="20"/>
        </w:rPr>
        <w:t>Insurance</w:t>
      </w:r>
      <w:r>
        <w:rPr>
          <w:rFonts w:ascii="Times New Roman" w:hAnsi="Times New Roman"/>
          <w:color w:val="000000"/>
          <w:sz w:val="20"/>
        </w:rPr>
        <w:t>: We maintain information security risk insurance coverage.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in coordination with the Audit Committee, oversees the Company’s ERM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members of the Data Privacy and Security Committee, which includes the Company’s Head of Information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Head of Information Technology, in coordination with the Data Privacy and Security Committee, which includes our Chief Executive Officer, or CEO, Chief Operating and Financial Officer, or COO and CFO, and General Counsel, works collaboratively across the Company to implement a program designed to protect the Company’s information systems from cybersecurity threats and to promptly respond to any cybersecurity incidents in accordance with the Company’s incident response and recovery plans. To facilitate the success of the Company’s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risk management program, multidisciplinary teams throughout the Company are deployed to address cybersecurity threats and to respond to cybersecurity incidents. Through ongoing communications with these teams, the Head of Information Technology and the Data Privacy and Security Committee monitor the prevention, detection, mitigation and remediation of cybersecurity threats and incidents in real time, and report such threats and incidents to the Audit Committee when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Head of Information Technology has served in various roles in information technology and information security for over 20 years, including serving as Vice President, Information Technology at three public companies. The Head of Information Technology holds an undergraduate degree in Business Administration, Management Information Systems. The Company’s CEO, COO and CFO, and General Counsel each hold undergraduate and graduate degrees in their respective fields, and have extensive experience managing risks at the Company and at similar companies, including risks arising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If we were to experience a material cybersecurity incident in the future, such incidents may have a material effect, including on our operations, business strategy, results of operations or financial condition. For more information regarding cybersecurity risks that we face and potential impacts on our business related thereto, see the risk factor titled “If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 is located in Brisbane, California, where we lease approximately 12,000 square feet of office space. The lease expires in December 2024. There is no option to extend the lease term nor is there an option to terminate the lease prior to its expiration. We believe these facilities are sufficient to meet our ongoing needs and that, if we require additional space, we will be able to obtain additional facilities on commercially reasonable terms.</w:t>
      </w:r>
    </w:p>
    <w:p>
      <w:pPr>
        <w:pStyle w:val="TextBody"/>
        <w:bidi w:val="0"/>
        <w:spacing w:before="36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pStyle w:val="TextBody"/>
        <w:bidi w:val="0"/>
        <w:spacing w:before="36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became a public company on May 26, 2021. Our Common Stock is listed for trading on the NASDAQ Capital Market under the symbol “DAWN.”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21, 2024, there were approximately 87,384,856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an amendment to this Annual Report on Form 10-K or incorporated by reference from our definitive proxy statement to be filed pursuant to Regulation 14A within 120 days of the end of the fiscal year covered by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performance graph shall not be deemed “soliciting material” or “filed” with the SEC for purposes of Section 18 of the Exchange Act, or incorporated by reference into any of our filings under the Securities Act or the Exchange Act generally, except as shall be expressly set forth by specific reference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graph shows the cumulative total return to our stockholders between May 27, 2021 (the date our common stock commenced trading on the Nasdaq Global Select Market) and December 31, 2023, in comparison to the Nasdaq Biotechnology Index, the Nasdaq Composite Index, and the Standard &amp; Poor’s 500 Index. An initial investment of $100 and reinvestment of dividends is assumed to have been made in our common stock and in each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index. The historical stock price performance of our common stock shown in the performance graph is not necessarily indicative of, or intended to forecast, future stock price performance.</w:t>
      </w:r>
    </w:p>
    <w:p>
      <w:pPr>
        <w:pStyle w:val="TextBody"/>
        <w:bidi w:val="0"/>
        <w:spacing w:before="120" w:after="283"/>
        <w:jc w:val="center"/>
        <w:rPr/>
      </w:pPr>
      <w:r>
        <w:rPr/>
        <w:drawing>
          <wp:inline distT="0" distB="0" distL="0" distR="0">
            <wp:extent cx="5943600" cy="3267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267075"/>
                    </a:xfrm>
                    <a:prstGeom prst="rect">
                      <a:avLst/>
                    </a:prstGeom>
                  </pic:spPr>
                </pic:pic>
              </a:graphicData>
            </a:graphic>
          </wp:inline>
        </w:drawing>
      </w: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r>
        <w:rPr>
          <w:rFonts w:ascii="Times New Roman" w:hAnsi="Times New Roman"/>
          <w:b/>
          <w:color w:val="000000"/>
          <w:sz w:val="20"/>
        </w:rPr>
        <w:t>Use of Proceeds from Registered Securities</w:t>
        <w:br/>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color w:val="000000"/>
          <w:sz w:val="20"/>
        </w:rPr>
        <w:t>None.</w:t>
      </w:r>
      <w:r>
        <w:rPr>
          <w:rFonts w:ascii="Times New Roman" w:hAnsi="Times New Roman"/>
          <w:b/>
          <w:color w:val="000000"/>
          <w:sz w:val="20"/>
        </w:rPr>
        <w:br/>
      </w:r>
      <w:r>
        <w:rPr>
          <w:rFonts w:ascii="Times New Roman" w:hAnsi="Times New Roman"/>
          <w:color w:val="000000"/>
          <w:sz w:val="20"/>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0" w:name="item_6_selected_financial_data"/>
      <w:bookmarkEnd w:id="10"/>
      <w:r>
        <w:rPr>
          <w:rFonts w:ascii="Times New Roman" w:hAnsi="Times New Roman"/>
          <w:b/>
          <w:color w:val="000000"/>
          <w:sz w:val="20"/>
        </w:rPr>
        <w:t>Item 6. Reserved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appearing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For the comparison of the financial results for the fiscal years ended December 31, 2022 and 2021, see Item 7, Management’s Discussion and Analysis of Financial Condition and Results of Operations, in our Annual Report on Form 10-K for the fiscal year ended December 31, 2022, filed with the SEC on March 6, 2023. As used in this report, unless the context suggests otherwise, “we,” “us,” “our,” “the Company” or “Day One” refer to Day One Biopharmaceuticals, Inc.</w:t>
        <w:br/>
      </w:r>
      <w:r>
        <w:rPr>
          <w:rFonts w:ascii="Times New Roman" w:hAnsi="Times New Roman"/>
          <w:color w:val="000000"/>
          <w:sz w:val="20"/>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was founded to address a critical unmet need: the dire lack of therapeutic development in pediatric cancer.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dedicated to developing and commercializing targeted therapies for people of all ages with life threatening diseases. We focus our initial clinical development efforts on pediatric patients living with cancer, a vulnerable population that has been underserved in the recent revolution in targeted therapeutics and immuno-oncology.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candidate, tovorafenib, is an oral, brain-penetrant, highly selective type II rapidly accelerated fibrosarcoma, or RAF, kinase inhibitor. Tovorafenib has been studied in over 450 patients and has been shown to be generally well-tolerated as a monotherapy. Tovorafenib has demonstrated encouraging anti-tumor activity in pediatric and adult populations with specific genetic alterations that result in the over-activation of the mitogen-activated protein kinase, or MAPK, pathway leading to uncontrolled cell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We received orphan drug designation for the treatment of malignant glioma from the FDA in September 2020 and from the EU Commission for the treatment of glioma in May 2021. Additionally, the FDA granted rare pediatric disease designation to tovorafenib for treatment of low-grade gliomas, or LGGs, harboring an activating RAF alteration in July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initiated and fully enrolled a pivotal Phase 2 trial, or FIREFLY-1, of tovorafenib as a monotherapy for pediatric patients with relapsed or refractory low-grade glioma harboring an activating BRAF alteration. The first patient was dosed in FIREFLY-1 in May 2021, and we completed enrollment in the registrational arm in May 2022. The FIREFLY-1 trial has also been expanded to: (a) include two additional study arms to enable expanded access for eligible patients once the primary cohort completed enrollment, and (b) evaluate the preliminary efficacy of tovorafenib in patients aged six months to 25 years with a relapsed or progressive extracranial solid tumor with an activating RAF fusion.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reported new data from the registrational arm of the Phase 2 FIREFLY-1 trial at the American Society of Clinical Oncology annual meeting in June 2023. In addition, we submitted an updated clinical study report with an additional six months of safety and efficacy data to the FDA. The data demonstrated an overall response rate, or ORR, of 67% according to the Response Assessment for Neuro-Oncology-High Grade Glioma, or RANO-HGG (primary endpoint of the trial), in the 69 evaluable patients, comprising 12 confirmed complete responses, or CR,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34 partial responses, or PR. We observed an additional 18 patients with a best response of stable disease, or SD, resulting in a clinical benefit rate of 93% (CR + PR + unconfirmed PR + SD of any duration).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secondary analysis and exploratory endpoint analyses included the evaluation of responses according to the Response Assessment in Pediatric Neuro-Oncology Low-Grade Glioma, or RAPNO-LGG, and to the Response Assessment in Neuro-Oncology Low-Grade Glioma, or RANO-LGG. RAPNO-LGG data demonstrated an ORR of 51% in the 76 RAPNO-LGG-evaluable patients, comprising 28 PRs and 11 minor responses, or MR. We observed an additional 23 patients with a best response of SD, resulting in a clinical benefit rate of 82% (PR + unconfirmed PR + MR + unconfirmed MR + SD of any duration).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RANO-LGG data demonstrated an ORR of 53% in the 76 RANO-LGG-evaluable patients, comprising 20 PRs and 20 MRs. We observed an additional 23 patients with a best response of SD, resulting in a clinical benefit rate of 83% (PR + unconfirmed PR + MR + unconfirmed MR + SD of any duration). Safety data, based on 137 treated patients, indicated monotherapy tovorafenib to be generally well-tolerated. The vast majority of adverse events were Grade 1 or Grade 2, with the most common side effects reported related to tovorafenib being change in hair color (76%), anemia (59%), elevated creatine phosphokinase, or CPK, (58%), fatigue (55%) and vomiting (50%).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tumor reduction is a key objective of any anticancer treatment, tumor stabilization is equally clinically meaningful for patients with pLGG, as both decrease the risk of immediate and long-term sequels in a disease that otherwise has a reasonable survival rate. A key therapeutic goal with a chronic, often inoperable tumor such as pLGG, is to achieve at least disease stabilization over a number of years, thus preventing unreversible damages to neighboring brain structures, until the tumor enters a state of spontaneous senescence, which usually occurs in young adulthood. In this particular context of achieving tumor control over several years, targeted therapies are perceived as beneficial given the lack of approved therapies for most patients with pLGG. We completed the rolling New Drug Application, or NDA, submissions for the tablet formulation and for the powder solution formulation of tovorafenib for the treatment of patients with relapsed or refractory pLGG in September 2023. The NDAs were accepted for filing and granted priority review by the FDA in October 2023, with a Prescription Drug User Fee Act, or PDUFA, target action date of April 30, 2024. The FDA indicated it does not plan to hold an advisory committee meeting to discuss the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a pivotal Phase 3 trial, or FIREFLY-2, evaluating tovorafenib as a front-line therapy in patients aged 6 months to 25 years with pLGG in June 2022. The first patient was dosed in FIREFLY-2 in March 2023. To date, patients continue to enroll in the United States, Canada, Europe, Australia and Asia, with approximately 80 sites activated.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product candidate, pimasertib, is an oral, highly selective small molecule inhibitor of mitogen-activated protein kinase kinases 1 and 2, or MEK, a well-characterized key signaling node in the MAPK pathway. Pimasertib has been studied in more than 10 Phase 1/2 clinical trials in over 850 patients with various tumor types, both as a monotherapy and in combination with standard of care therapies. Published preclinical studies indicated that pimasertib has higher central nervous system penetration than other MEK inhibitors.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initiated an open-label, multicenter, Phase 1b/2a umbrella master trial, or FIRELIGHT-1, of tovorafenib as a monotherapy or in combination, which consists of two substudies. Substudy 1 is a Phase 2a trial of tovorafenib as a monotherapy in patients 12 years and older with relapsed, progressive, or refractory solid tumors harboring a MAPK pathway alteration. Despite observing responses with a generally well tolerated therapy, a limited duration of response in this rare patient population was observed. We decided in November 2023 to discontinue this monotherapy substudy and re-direct resources to other programs. Results from the substudy will be shared for presentation or publication after the final dataset becomes available. Substudy 2 is a Phase 1b/2 combination trial of tovorafenib and pimasertib in patients 12 years and older with various MAPK-altered solid tumors.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 In addition, some pediatric tumors may also benefit from a synergistic inhibition on the MAPK pathway. The first patient was dosed in May 2022 and patients are currently actively recruited in the combination dose-selection portion of the substudy. We anticipate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defining a recommended phase 2 dose and schedule for use in the expansion cohorts within specific patient populations in the second half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program are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tovorafenib and to pimasertib for all therapeutic areas subject to certain milestone and royalty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product candidate pipeline.</w:t>
      </w:r>
    </w:p>
    <w:p>
      <w:pPr>
        <w:pStyle w:val="TextBody"/>
        <w:bidi w:val="0"/>
        <w:spacing w:before="120" w:after="283"/>
        <w:jc w:val="center"/>
        <w:rPr/>
      </w:pPr>
      <w:r>
        <w:rPr/>
        <w:drawing>
          <wp:inline distT="0" distB="0" distL="0" distR="0">
            <wp:extent cx="5943600" cy="3429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42900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preparing for commercial launch; and providing general and administrative support for these operations. We do not have any products approved for commercial sale and have not generated any revenues from product sales or any other source and have incurred net losses since commencement of our operations. For the years ended December 31, 2023 and 2022, we reported a net loss of $188.9 million and $142.2 million, respectively. We had an accumulated deficit of $458.6 million and $269.7 million as of December 31, 2023 and 2022, respectively. We expect a significant increase in expenses and substantial losses for the foreseeable future as we continue our development of, and seek regulatory approvals for our product candidates, commercialize any approved products, and seek to expand our product pipeline and invest in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funded our operations through the sale of our redeemable convertible preferred shares, convertible notes and common stock in our initial public offering and subsequent public offerings.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and short-term investments totaled $366.3 million as of December 31, 2023. Based on our current operating plan, management believes we have sufficient capital resources to fund anticipated operations into 2026.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Active Pharmaceutical Ingredients, or API, drug product, packaging and formulation for each of our product candidates to protect against any potential supply disruptions.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Reduction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16, 2022, President Biden signed into law the Inflation Reduction Act of 2022, which includes an Alternative Minimum Tax based on the Adjusted Financial Statement Income of Applicable Corporations. We do not believe the Inflation Reduction Act will have a material impact on our income tax provision and cash taxes. We continue to monitor the changes in tax laws and regulations to evaluate their potential impact on our business.</w:t>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16, 2019, DOT Therapeutics-1, Inc., or DOT-1, our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that provides a new approach for treating patients with primary brain tumors or brain metastases of solid tumors. DOT-1 also received clinical inventory supplies to use in our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DOT-1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our common stock upon the effectiveness of the Conversion, on May 26,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Takeda Asset Agreement will expire on a country-by-country basis upon expiration of all assigned patent rights and all licensed patent rights in such country. Takeda may terminate the Takeda Asset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DOT-1 was merged with and into our company, with our company being the surviving corporation and assuming DOT-1’s obligations under the Takeda Assets Purchase Agreement.</w:t>
      </w:r>
    </w:p>
    <w:p>
      <w:pPr>
        <w:pStyle w:val="TextBody"/>
        <w:bidi w:val="0"/>
        <w:spacing w:before="360" w:after="283"/>
        <w:jc w:val="left"/>
        <w:rPr>
          <w:rFonts w:ascii="Times New Roman" w:hAnsi="Times New Roman"/>
          <w:sz w:val="20"/>
        </w:rPr>
      </w:pPr>
      <w:r>
        <w:rPr>
          <w:rFonts w:ascii="Times New Roman" w:hAnsi="Times New Roman"/>
          <w:b/>
          <w:i/>
          <w:color w:val="000000"/>
          <w:sz w:val="20"/>
        </w:rPr>
        <w:t>Viracta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DOT-1 paid $2.0 million upfront in cash to Viracta, which was recorded as research and development expenses as the technology does not have an alternative future use. As of December 31, 2023, we could be required to make additional milestone payments of up to $49.0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December 31, 2023. </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DOT-1 was merged with and into our company, with our company being the surviving corporation and assuming DOT-1’s obligations under Viracta License Agreement.</w:t>
        <w:br/>
        <w:t> </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its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MRKDG License Agreement, we have obligations to use commercially reasonable efforts to develop and commercialize at least two licensed products in at least two specified major market countries by the year 2029. </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As of December 31, 2023, we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DOT-2 was merged with and into our company, with our company being the surviving corporation and assuming DOT-2’s obligations under the MRKDG License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$3.0 million upfront in cash to Sprint, which was recorded as research and development expenses as the technology does not have an alternative future use. As of December 31, 2023, we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external and internal expenses incurred for our research activities, including our discovery and in-licensing undertakings, and the development of our product candidates, tovorafenib, pimasertib and the VRK1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under agreements with third-party contract research organizations, or CROs, contract manufacturing organizations, or CMOs, and other third parties that conduct clinical trials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acquiring technology and intellectual property licenses that have no alternative future uses; and</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operational costs not allocable to a specific product, including expenses for rent and facilities maintenance, travel and information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costs, including salaries, bonuses, benefits and share-based compensation expense, for our research and development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as incurred. We track external costs by program, which currently consist of expenses for our tovorafenib, pimasertib and VRK1 programs. We do not track indirect costs on a program specific basis because these costs are deployed across multiple programs and, as such, are not separately classified.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substantially for the foreseeable future as we continue to implement our business strategy; advance tovorafenib, pimasertib and VRK1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 Item 1A “Risk Factors” in this Annual Report on Form 10-K.</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employee-related costs, professional services and other operational costs. Employee-related costs include salaries, bonuses, benefits and share-based compensation expense for our general and administrative personnel. Professional service expenses include legal fees; professional fees for accounting, auditing, tax, human resources, business development, and other consulting services. Other operational costs include expenses for rent and facilities maintenance, travel, insurance and information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substantially for the foreseeable future as we anticipate an increase in our personnel headcount to support expansion of research and development efforts for our product candidates and buildout of commercial capabilities, as well as to support our operations generally. We also expect continued expenses associated with being a public company, including costs related to compliance with the requirements of the Nasdaq Global Select Market, or Nasdaq, and the Securities and Exchange Commission, or the SEC; and investor and public relations costs.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year ended December 31,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2023 and 2022:</w:t>
      </w:r>
    </w:p>
    <w:tbl>
      <w:tblPr>
        <w:tblW w:w="9636" w:type="dxa"/>
        <w:jc w:val="left"/>
        <w:tblInd w:w="0" w:type="dxa"/>
        <w:tblLayout w:type="fixed"/>
        <w:tblCellMar>
          <w:top w:w="28" w:type="dxa"/>
          <w:left w:w="28" w:type="dxa"/>
          <w:bottom w:w="28" w:type="dxa"/>
          <w:right w:w="28" w:type="dxa"/>
        </w:tblCellMar>
      </w:tblPr>
      <w:tblGrid>
        <w:gridCol w:w="3916"/>
        <w:gridCol w:w="146"/>
        <w:gridCol w:w="211"/>
        <w:gridCol w:w="841"/>
        <w:gridCol w:w="166"/>
        <w:gridCol w:w="146"/>
        <w:gridCol w:w="211"/>
        <w:gridCol w:w="841"/>
        <w:gridCol w:w="166"/>
        <w:gridCol w:w="146"/>
        <w:gridCol w:w="211"/>
        <w:gridCol w:w="736"/>
        <w:gridCol w:w="166"/>
        <w:gridCol w:w="146"/>
        <w:gridCol w:w="207"/>
        <w:gridCol w:w="664"/>
        <w:gridCol w:w="7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jc w:val="righ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Amount and/or percentage not meaningful</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$44.9 million, from $85.6 million for the year ended December 31, 2022, to $130.5 million for the year ended December 31, 2023. In the year ended December 31, 2023, as compared to December 31, 2022, third-party expenses increased by $21.1 million, primarily due to an increase in clinical trial, manufacturing and other product development expenses, personnel related expenses, including share-based compensation, increased by $13.4 million resulting from additional headcount, and upfront and milestone expenses increased by $5.5 million due to the timing of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research and development expenses for the years ended December 31, 2023 and 2022:</w:t>
      </w:r>
    </w:p>
    <w:tbl>
      <w:tblPr>
        <w:tblW w:w="8029" w:type="dxa"/>
        <w:jc w:val="left"/>
        <w:tblInd w:w="0" w:type="dxa"/>
        <w:tblLayout w:type="fixed"/>
        <w:tblCellMar>
          <w:top w:w="28" w:type="dxa"/>
          <w:left w:w="28" w:type="dxa"/>
          <w:bottom w:w="28" w:type="dxa"/>
          <w:right w:w="28" w:type="dxa"/>
        </w:tblCellMar>
      </w:tblPr>
      <w:tblGrid>
        <w:gridCol w:w="5521"/>
        <w:gridCol w:w="146"/>
        <w:gridCol w:w="211"/>
        <w:gridCol w:w="781"/>
        <w:gridCol w:w="146"/>
        <w:gridCol w:w="146"/>
        <w:gridCol w:w="211"/>
        <w:gridCol w:w="676"/>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50,175</w:t>
            </w:r>
          </w:p>
        </w:tc>
        <w:tc>
          <w:tcPr>
            <w:tcW w:w="191" w:type="dxa"/>
            <w:tcBorders/>
            <w:shd w:fill="FFFFFF" w:val="cle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payment related to the Viracta License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payment related to the MRKDG License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1" w:type="dxa"/>
            <w:tcBorders/>
            <w:shd w:fill="FFFFFF" w:val="cle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Upfront payment related to the Sprint License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191" w:type="dxa"/>
            <w:tcBorders/>
            <w:shd w:fill="FFFFFF" w:val="cle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Third-party CRO, CMO and other clinical trial costs for the tovorafenib (DAY 101) program, the pimasertib program, and the VRK1 program were $65.5 million, $4.1 million, and $1.8 million, respectively, for year ended December 31, 2023, compared to $43.2 million, $6.9 million, and $0, respectively, for the year ended December 31, 2022.</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$14.2 million, from $61.3 million for the year ended December 31, 2022 to $75.5 million for the year ended December 31, 2023. In the year ended December 31, 2023, as compared to December 31, 2022, personnel related expenses, including share-based compensation, increased by $14.0 million resulting from additional headcount and professional services, legal and insurance expenses increased by $1.0 million driven by the build out of commercial capabilities and continued expansion of business operations.</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we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2021, we completed our initial public offering, or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million.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an accumulated deficit of $458.6 million and $366.3 million in cash, cash equivalents and short-term investments. We believe our cash, cash equivalents and short-term investments will be sufficient to satisfy our cash requirements over the next 12 months and into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 of cash is to fund operating expenses, which consist of research and development expenditures and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 operating lease obligation for office space. As of December 31, 2023, we had fixed lease payment obligations of approximately $0.4 million, which are payable within 12 months.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Research Organizations and Contract Manufacturing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December 31, 2023, there were no amounts accrued related to termination and cancellation charges as these are not probable.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licensing agreements which require us to pay milestones contingent upon meeting of specific events. We made milestone payments of $5.0 million to Viracta related to the acceptance of our NDAs by the FDA in the year ended December 31, 2023 and $2.5 million to Merck related to the first dosing of a patient in a first clinical trial of a product containing pimasertib in the year ended December 31, 2022. We are required to pay royalties on sales of products developed under these license agreements. All our products are in development as of December 31, 2023 and no such royalties are due. As of December 31, 2023, we do not have any contingent payment obligations since the amount, timing and likelihood of such payments are not known.</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the periods presented:</w:t>
      </w:r>
    </w:p>
    <w:p>
      <w:pPr>
        <w:pStyle w:val="TextBody"/>
        <w:bidi w:val="0"/>
        <w:jc w:val="left"/>
        <w:rPr/>
      </w:pPr>
      <w:r>
        <w:rPr/>
        <w:t> </w:t>
      </w:r>
    </w:p>
    <w:tbl>
      <w:tblPr>
        <w:tblW w:w="7094" w:type="dxa"/>
        <w:jc w:val="left"/>
        <w:tblInd w:w="0" w:type="dxa"/>
        <w:tblLayout w:type="fixed"/>
        <w:tblCellMar>
          <w:top w:w="28" w:type="dxa"/>
          <w:left w:w="28" w:type="dxa"/>
          <w:bottom w:w="28" w:type="dxa"/>
          <w:right w:w="28" w:type="dxa"/>
        </w:tblCellMar>
      </w:tblPr>
      <w:tblGrid>
        <w:gridCol w:w="4321"/>
        <w:gridCol w:w="146"/>
        <w:gridCol w:w="211"/>
        <w:gridCol w:w="841"/>
        <w:gridCol w:w="166"/>
        <w:gridCol w:w="146"/>
        <w:gridCol w:w="211"/>
        <w:gridCol w:w="84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2023 was $146.9 million, consisting of our net loss of $188.9 million, changes of approximately $9.5 million in net operating assets and liabilities and by non-cash charges of $32.6 million, which is primarily comprised of share-based compensation expense of $39.3 million. Changes in operating assets and liabilities were primarily related to an increase in accrued expenses and other current liabilities of $10.6 million and accounts payable of $2.3 million and a decrease in deposits and other long-term assets of $0.3 million. This was partially offset by an increase of prepaid expenses and other current assets of $3.3 million and a decrease of operating lease liabilities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2022 was $109.9 million, consisting of our net loss of $142.2 million, changes of approximately $6.6 million in net operating assets and liabilities and by non-cash charges of $25.7 million, which is primarily comprised of share-based compensation expense of $27.2 million. Changes in operating assets and liabilities were primarily related to an increase in accrued expenses and other current liabilities of $9.2 million. This was partially offset by a decrease of accounts payable of $1.5 million, an increase to operating lease liabilities of $0.3 million, an increase to deposits and other long-term assets of $0.3 million, and an increase to prepaid expenses and other current assets of $0.5 million.</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year ended December 31, 2023 was $128.4 million attributable to the proceeds from the maturity of short-term investments of $575.4 million. This was partially offset by the purchase of short-term investments of $443.8 million, cash paid for acquired in-process research and development assets of $3.0 million, and cash paid for the purchase of property and equipment of $0.2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year ended December 31, 2022 was $255.1 million attributable to the purchase of short-term investments and property and equipment expenditures of $0.4 million. This was partially offset by the proceeds from the maturity of short-term investments of $0.1 million. </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2023 was $164.0 million, primarily attributable to the net proceeds from the issuance of common stock in connection with our June 2023 follow-on offering of common stock. Additionally, there was $2.6 million of net cash provided by financing activities related to proceeds from the issuance of common stock upon stock option exercises and purchases made under our 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2022 was $165.9 million, primarily attributable to the net proceeds from the issuance of common stock in connection with our follow-on offering of common stock. Additionally, there was $4.3 million of net cash provided by financing activities related to proceeds from the issuance of common stock upon stock option exercises and purchases made under our 2021 Employee Stock Purchase Plan.</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We expect to continue to incur significant expenses and increasing operating losses for the foreseeable future in connection with our ongoing activities. </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existing cash, cash equivalents and short-term investments will enable us to fund our operating expenses and capital expenditure requirements into 2026. We have based this estimate on assumptions that may prove to be imprecise, and we could use our available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anticipated expenditures, we will need to obtain substantial additional financing in connection with our continuing operations. Until such time that we can generate substantial revenue,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raise additional funds may be adversely impacted by potential worsening global economic conditions, and disruptions to and volatility in the credit and financial markets in the United States and worldwide resulting from inflation, changing interest rates, potential instability in the global banking system, uncertainty with respect to the federal debt ceiling and budget and potential government shutdowns related thereto with respect to the federal budget,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consolidated financial statements, which have been prepared in accordance with generally accepted accounting principles in the United States, or GAAP. The preparation of consolidated financial statements in conformity with GAAP requires management to make estimates and assumptions that affect the reported amounts of assets, liabilities and disclosure of contingent assets and liabilities at the date of the consolidated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the Notes to our Consolidated Financial Statements appearing within Item 8 of this Annual Report, we believe that the following accounting policy is the most critical to the judgments and estimates used in the preparation of our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Accrued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accrued liabilities for estimated costs of our clinical trials conducted by third-party service providers. We record the estimated costs of the clinical trials as research and development expense based upon the estimated amount of services provided but not yet invoiced. We accrue for these costs based on factors such as estimates of the work completed and in accordance with terms established with our third-party service providers under the service agreements.</w:t>
      </w:r>
    </w:p>
    <w:p>
      <w:pPr>
        <w:pStyle w:val="TextBody"/>
        <w:bidi w:val="0"/>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payments in connection with the clinical trials under contracts with CROs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identify costs that have begun to be incurred or if we under- or over-estimate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w:t>
      </w:r>
    </w:p>
    <w:p>
      <w:pPr>
        <w:pStyle w:val="TextBody"/>
        <w:bidi w:val="0"/>
        <w:spacing w:before="360" w:after="283"/>
        <w:jc w:val="left"/>
        <w:rPr>
          <w:rFonts w:ascii="Times New Roman" w:hAnsi="Times New Roman"/>
          <w:sz w:val="20"/>
        </w:rPr>
      </w:pPr>
      <w:r>
        <w:rPr>
          <w:rFonts w:ascii="Times New Roman" w:hAnsi="Times New Roman"/>
          <w:b/>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2 of the Notes to our Consolidated Financial Statements included elsewhere in this Annual Report on Form 10-K for a summary of recently issued and adopted accounting pronouncements. </w:t>
      </w:r>
    </w:p>
    <w:p>
      <w:pPr>
        <w:pStyle w:val="TextBody"/>
        <w:bidi w:val="0"/>
        <w:spacing w:before="360" w:after="283"/>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we had cash, cash equivalents and short-term investments of $366.3 million, and $342.3 million, respectively. This consisted of interest-bearing money market funds and investments in U.S. treasury securities and U.S. government agency securities, which create an exposure to interest rate risk. A hypothetical 100 basis point increase or decrease in interest rates as of December 31, 2023 and 2022 would not have resulted in a material effect on the fair market value of our cash, cash equivalents and short-term investments. We do not enter into investments for trading or speculative purposes and have not used any derivative financial instruments to manage our interest rate risk exposure.</w:t>
      </w:r>
    </w:p>
    <w:p>
      <w:pPr>
        <w:pStyle w:val="TextBody"/>
        <w:bidi w:val="0"/>
        <w:spacing w:before="360" w:after="283"/>
        <w:jc w:val="left"/>
        <w:rPr>
          <w:rFonts w:ascii="Times New Roman" w:hAnsi="Times New Roman"/>
          <w:b/>
          <w:color w:val="000000"/>
          <w:sz w:val="20"/>
        </w:rPr>
      </w:pPr>
      <w:bookmarkStart w:id="13" w:name="item_8_financial_statements"/>
      <w:bookmarkEnd w:id="13"/>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set forth in the consolidated financial statements and notes thereto beginning at page F-1 of this Annual Report on Form 10-K.</w:t>
      </w:r>
    </w:p>
    <w:p>
      <w:pPr>
        <w:pStyle w:val="TextBody"/>
        <w:bidi w:val="0"/>
        <w:spacing w:before="360" w:after="283"/>
        <w:jc w:val="left"/>
        <w:rPr>
          <w:rFonts w:ascii="Times New Roman" w:hAnsi="Times New Roman"/>
          <w:b/>
          <w:color w:val="000000"/>
          <w:sz w:val="20"/>
        </w:rPr>
      </w:pPr>
      <w:bookmarkStart w:id="14" w:name="item_9_changes_in_and_disagreements"/>
      <w:bookmarkEnd w:id="14"/>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9a_controls_and_procedures"/>
      <w:bookmarkEnd w:id="15"/>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President and our Chief Operating Officer and Chief Financial Officer, our principal executive officer and principal financial officer, respectively, have evaluated our disclosure controls and procedures (as defined in Rules 13a-15(e) and 15d-15(e) under the Securities Exchange Act of 1934, as amended) as of December 31, 2023. Based on this evaluation, our Chief Executive Officer and our Chief Financial Officer have concluded that, as of December 31, 2023, our disclosure controls and procedures were effective.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is responsible for establishing and maintaining adequate internal control over financial reporting, as is defined in Exchange Act Rules 13a-15(f) and 15d-15(f). Our internal control over financial reporting is </w:t>
      </w:r>
    </w:p>
    <w:p>
      <w:pPr>
        <w:pStyle w:val="TextBody"/>
        <w:bidi w:val="0"/>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Management has assessed the effectiveness of our internal control over financial reporting based on the framework set forth by the Committee of Sponsoring Organizations of the Treadway Commission, or COSO, in </w:t>
      </w:r>
      <w:r>
        <w:rPr>
          <w:rFonts w:ascii="Times New Roman" w:hAnsi="Times New Roman"/>
          <w:i/>
          <w:color w:val="000000"/>
          <w:sz w:val="20"/>
        </w:rPr>
        <w:t>Internal Control-Integrated Framework (2013 framework)</w:t>
      </w:r>
      <w:r>
        <w:rPr>
          <w:rFonts w:ascii="Times New Roman" w:hAnsi="Times New Roman"/>
          <w:color w:val="000000"/>
          <w:sz w:val="20"/>
        </w:rPr>
        <w:t>. Based on our evaluation, management has concluded that our internal control over financial reporting was effective at the reasonable assurance level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2023 has been audited by PricewaterhouseCoopers LLP, an independent registered public accounting firm, as stated in their report which appears herein.</w:t>
      </w:r>
    </w:p>
    <w:p>
      <w:pPr>
        <w:pStyle w:val="TextBody"/>
        <w:bidi w:val="0"/>
        <w:spacing w:before="120" w:after="283"/>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most recent quarter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bookmarkStart w:id="16" w:name="item_9b_other_information"/>
      <w:bookmarkEnd w:id="16"/>
      <w:r>
        <w:rPr>
          <w:rFonts w:ascii="Times New Roman" w:hAnsi="Times New Roman"/>
          <w:b/>
          <w:color w:val="000000"/>
          <w:sz w:val="20"/>
        </w:rPr>
        <w:t>Item 9B.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Policies and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directors and Section 16 officers (as defined in Rule 16a-1(f) under the Exchange Act) are only permitted to trade in the Company’s securities pursuant to a prearranged trading plan intended to satisfy the affirmative defense of Rule 10b5-1(c) under the Exchange Act (a “Rule 10b5-1 Plan”). During the three months ended December 31, 2023, three of the Company’s Section 16 officers, including the Company’s Chief Executive Officer, who also serves as a member of the Company’s board of directors, adopted new Rule 10b5-1 Plans. The Plans (as defined below) were entered into during an open trading window in accordance with the Company’s Insider Trading Policy and Trading Plan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2023, Jeremy Bender, our Chief Executive Officer and a member of our board of directors, entered into a pre-arranged written stock sale plan in accordance with Rule 10b5-1 (the “Bender Rule 10b5-1 Plan”) under the Exchange Act for the sale of shares of our common stock. The Bender Rule 10b5-1 Plan was entered into during an open trading window in accordance with our policies regarding transactions in our securities and is intended to satisfy the affirmative defense of Rule 10b5-1(c) under the Exchange Act. The Bender Rule 10b5-1 Plan provides for the potential sale of shares of our common stock, including upon the vesting and settlement of restricted stock units/vesting and exercise of stock options, so long as the market price of our common stock is higher than certain minimum threshold prices specified in the Bender Rule 10b5-1 Plan, between January 2, 2024 and October 5, 2024. The aggregate number of shares of common stock that will be available for sale under the Bender Rule 10b5-1 Plan is not yet determinable because the shares available will be net of shares sold to satisfy tax withholding obligations that arise in connection with the vesting and settlement of such restricted stock unit awards. As such, for purposes of this disclosure, the aggregate number of shares of common stock available for sale is approximately 496,250, which reflects the aggregate maximum number of shares underlying Jeremy Bender’s restricted stock units which may be sold, without excluding the shares that will be sold to satisfy the tax withholding obligations. The Bender Rule 10b5-1 Plan expires on October 5,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10, 2023, Samuel Blackman, our Head of Research and Development, entered into a pre-arranged written stock sale plan in accordance with Rule 10b5-1 (the “Blackman Rule 10b5-1 Plan”) under the Exchange Act for the sale of shares of our common stock. The Blackman Rule 10b5-1 Plan was entered into during an open trading window in accordance with our policies regarding transactions in our securities and is intended to satisfy the affirmative defense of Rule 10b5-1(c) under the Exchange Act. The Blackman Rule 10b5-1 Plan provides for the potential sale of shares of our common stock, including upon the vesting and settlement of restricted stock units, so long as the market price of our common stock is higher than certain minimum threshold prices specified in </w:t>
      </w:r>
    </w:p>
    <w:p>
      <w:pPr>
        <w:pStyle w:val="TextBody"/>
        <w:bidi w:val="0"/>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Blackman Rule 10b5-1 Plan, between January 9, 2024 and December 31, 2024. As such, for purposes of this disclosure, the aggregate number of shares of common stock available for sale is approximately 360,000. The Blackman Rule 10b5-1 Plan expires on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6, 2023, Charles York, our Chief Financial Officer, entered into a pre-arranged written stock sale plan in accordance with Rule 10b5-1 (the “York Rule 10b5-1 Plan” and collectively with the Bender Rule 10b5-1 Plan and Blackman Rule 10b5-1 Plan, the “Plans”) under the Exchange Act for the sale of shares of our common stock. The York Rule 10b5-1 Plan was entered into during an open trading window in accordance with our policies regarding transactions in our securities and is intended to satisfy the affirmative defense of Rule 10b5-1(c) under the Exchange Act. The York Rule 10b5-1 Plan provides for the potential sale of shares of our common stock, including upon the vesting and settlement of restricted stock units/vesting and exercise of stock options, so long as the market price of our common stock is higher than certain minimum threshold prices specified in the York Rule 10b5-1 Plan, between January 5, 2024 and October 10, 2024. The aggregate number of shares of common stock that will be available for sale under the York Rule 10b5-1 Plan is not yet determinable because the shares available will be net of shares sold to satisfy tax withholding obligations that arise in connection with the vesting and settlement of such restricted stock unit awards. As such, for purposes of this disclosure, the aggregate number of shares of common stock available for sale is approximately 228,743, which reflects the aggregate maximum number of shares underlying Charles York’s restricted stock units which may be sold, without excluding the shares that will be sold to satisfy the tax withholding obligations. The York Rule 10b5-1 Plan expires on October 10, 2024. </w:t>
      </w:r>
    </w:p>
    <w:p>
      <w:pPr>
        <w:pStyle w:val="TextBody"/>
        <w:bidi w:val="0"/>
        <w:spacing w:before="360" w:after="283"/>
        <w:jc w:val="left"/>
        <w:rPr>
          <w:rFonts w:ascii="Times New Roman" w:hAnsi="Times New Roman"/>
          <w:b/>
          <w:color w:val="000000"/>
          <w:sz w:val="20"/>
        </w:rPr>
      </w:pPr>
      <w:bookmarkStart w:id="17" w:name="item_9c_disclosure_regarding_foreign"/>
      <w:bookmarkEnd w:id="17"/>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360" w:after="283"/>
        <w:jc w:val="left"/>
        <w:rPr>
          <w:rFonts w:ascii="Times New Roman" w:hAnsi="Times New Roman"/>
          <w:b/>
          <w:color w:val="000000"/>
          <w:sz w:val="20"/>
        </w:rPr>
      </w:pPr>
      <w:bookmarkStart w:id="18" w:name="item_10_directors_executive_officers"/>
      <w:bookmarkEnd w:id="18"/>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pStyle w:val="TextBody"/>
        <w:bidi w:val="0"/>
        <w:spacing w:before="360" w:after="283"/>
        <w:jc w:val="left"/>
        <w:rPr>
          <w:rFonts w:ascii="Times New Roman" w:hAnsi="Times New Roman"/>
          <w:b/>
          <w:color w:val="000000"/>
          <w:sz w:val="20"/>
        </w:rPr>
      </w:pPr>
      <w:bookmarkStart w:id="19" w:name="item_11_executive_compensation"/>
      <w:bookmarkEnd w:id="1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pStyle w:val="TextBody"/>
        <w:bidi w:val="0"/>
        <w:spacing w:before="360" w:after="283"/>
        <w:jc w:val="left"/>
        <w:rPr>
          <w:rFonts w:ascii="Times New Roman" w:hAnsi="Times New Roman"/>
          <w:b/>
          <w:color w:val="000000"/>
          <w:sz w:val="20"/>
        </w:rPr>
      </w:pPr>
      <w:bookmarkStart w:id="20" w:name="item_12_security_ownership"/>
      <w:bookmarkEnd w:id="2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pStyle w:val="TextBody"/>
        <w:bidi w:val="0"/>
        <w:spacing w:before="360" w:after="283"/>
        <w:jc w:val="left"/>
        <w:rPr>
          <w:rFonts w:ascii="Times New Roman" w:hAnsi="Times New Roman"/>
          <w:b/>
          <w:color w:val="000000"/>
          <w:sz w:val="20"/>
        </w:rPr>
      </w:pPr>
      <w:bookmarkStart w:id="21" w:name="item_13_certain_relationships"/>
      <w:bookmarkEnd w:id="21"/>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pStyle w:val="TextBody"/>
        <w:bidi w:val="0"/>
        <w:spacing w:before="360" w:after="283"/>
        <w:jc w:val="left"/>
        <w:rPr>
          <w:rFonts w:ascii="Times New Roman" w:hAnsi="Times New Roman"/>
          <w:b/>
          <w:color w:val="000000"/>
          <w:sz w:val="20"/>
        </w:rPr>
      </w:pPr>
      <w:bookmarkStart w:id="22" w:name="item_14_principal_accounting_fees"/>
      <w:bookmarkEnd w:id="22"/>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pStyle w:val="TextBody"/>
        <w:bidi w:val="0"/>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23" w:name="item_15_exhibits_financial_statement"/>
      <w:bookmarkEnd w:id="23"/>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required by Item 15(a) are filed as part of this Annual Report on Form 10-K under Item 8 “Consolidated Financial Statements and Supplementary Data.”</w:t>
        <w:br/>
        <w:t> </w:t>
      </w:r>
    </w:p>
    <w:p>
      <w:pPr>
        <w:pStyle w:val="TextBody"/>
        <w:bidi w:val="0"/>
        <w:spacing w:before="120" w:after="283"/>
        <w:jc w:val="left"/>
        <w:rPr>
          <w:rFonts w:ascii="Times New Roman" w:hAnsi="Times New Roman"/>
          <w:sz w:val="20"/>
        </w:rPr>
      </w:pPr>
      <w:r>
        <w:rPr>
          <w:rFonts w:ascii="Times New Roman" w:hAnsi="Times New Roman"/>
          <w:i/>
          <w:color w:val="000000"/>
          <w:sz w:val="20"/>
        </w:rPr>
        <w:t>(2) Consolidated Financial Statement Schedules</w:t>
      </w:r>
      <w:r>
        <w:rPr>
          <w:rFonts w:ascii="Times New Roman" w:hAnsi="Times New Roman"/>
          <w:color w:val="000000"/>
          <w:sz w:val="20"/>
        </w:rP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 schedules required by Item 15(a) are omitted because they are not applicable, not required or the required information is included in the consolidated financial statements or notes thereto as filed in Item 8 of this Annual Report on Form 10-K.</w:t>
        <w:br/>
        <w:t> </w:t>
      </w:r>
    </w:p>
    <w:p>
      <w:pPr>
        <w:pStyle w:val="TextBody"/>
        <w:bidi w:val="0"/>
        <w:spacing w:before="120" w:after="283"/>
        <w:jc w:val="left"/>
        <w:rPr>
          <w:rFonts w:ascii="Times New Roman" w:hAnsi="Times New Roman"/>
          <w:sz w:val="20"/>
        </w:rPr>
      </w:pPr>
      <w:r>
        <w:rPr>
          <w:rFonts w:ascii="Times New Roman" w:hAnsi="Times New Roman"/>
          <w:i/>
          <w:color w:val="000000"/>
          <w:sz w:val="20"/>
        </w:rPr>
        <w:t>(3) Exhibits.</w:t>
      </w:r>
      <w:r>
        <w:rPr>
          <w:rFonts w:ascii="Times New Roman" w:hAnsi="Times New Roman"/>
          <w:color w:val="000000"/>
          <w:sz w:val="20"/>
        </w:rPr>
        <w:br/>
        <w:br/>
        <w:t> </w:t>
      </w:r>
    </w:p>
    <w:tbl>
      <w:tblPr>
        <w:tblW w:w="10205" w:type="dxa"/>
        <w:jc w:val="left"/>
        <w:tblInd w:w="0" w:type="dxa"/>
        <w:tblLayout w:type="fixed"/>
        <w:tblCellMar>
          <w:top w:w="28" w:type="dxa"/>
          <w:left w:w="28" w:type="dxa"/>
          <w:bottom w:w="28" w:type="dxa"/>
          <w:right w:w="28" w:type="dxa"/>
        </w:tblCellMar>
      </w:tblPr>
      <w:tblGrid>
        <w:gridCol w:w="811"/>
        <w:gridCol w:w="146"/>
        <w:gridCol w:w="5119"/>
        <w:gridCol w:w="146"/>
        <w:gridCol w:w="586"/>
        <w:gridCol w:w="146"/>
        <w:gridCol w:w="835"/>
        <w:gridCol w:w="146"/>
        <w:gridCol w:w="1029"/>
        <w:gridCol w:w="146"/>
        <w:gridCol w:w="1095"/>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Exhibit</w:t>
              <w:br/>
              <w:t>Number</w:t>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Description</w:t>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Form</w:t>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File No.</w:t>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Exhibit</w:t>
              <w:br/>
              <w:t>Filing</w:t>
              <w:br/>
              <w:t>Date</w:t>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Filed/ Furnished</w:t>
              <w:br/>
              <w:t>Herewith</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Restated Certificate of Incorporation, dated June 1, 2021, as amended June 22, 2023.</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001-40431</w:t>
            </w:r>
          </w:p>
        </w:tc>
        <w:tc>
          <w:tcPr>
            <w:tcW w:w="146"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2023</w:t>
            </w:r>
          </w:p>
        </w:tc>
        <w:tc>
          <w:tcPr>
            <w:tcW w:w="146"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Amended and Restated Bylaws, dated February 17, 2023.</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001-40431</w:t>
            </w:r>
          </w:p>
        </w:tc>
        <w:tc>
          <w:tcPr>
            <w:tcW w:w="146"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2023</w:t>
            </w:r>
          </w:p>
        </w:tc>
        <w:tc>
          <w:tcPr>
            <w:tcW w:w="146"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Certificate of Ownership and Merger, dated December 23, 2021</w:t>
              </w:r>
            </w:hyperlink>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001-40431</w:t>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7, 2022</w:t>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Common Stock Certificate</w:t>
              </w:r>
            </w:hyperlink>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333-255754</w:t>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24, 2021</w:t>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Amended and Restated Investors’ Rights Agreement, dated February 1, 2021, by and among Day One Biopharmaceuticals Holding Company, LLC and certain of its stockholders.</w:t>
              </w:r>
            </w:hyperlink>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333-255754</w:t>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2021</w:t>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Description of Registrant’s Securities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001-40431 </w:t>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7, 2022 </w:t>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Indemnification Agreement with directors and officers</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333-255754</w:t>
            </w:r>
          </w:p>
        </w:tc>
        <w:tc>
          <w:tcPr>
            <w:tcW w:w="146"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2021</w:t>
            </w:r>
          </w:p>
        </w:tc>
        <w:tc>
          <w:tcPr>
            <w:tcW w:w="146"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Change in Control and Severance Agreement</w:t>
              </w:r>
            </w:hyperlink>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001-40431</w:t>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7, 2022 </w:t>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2021 Equity Incentive Plan and forms of award agreements</w:t>
              </w:r>
            </w:hyperlink>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333-276372</w:t>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4, 2024</w:t>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2021 Employee Stock Purchase Plan and forms of award agreements</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333-276372</w:t>
            </w:r>
          </w:p>
        </w:tc>
        <w:tc>
          <w:tcPr>
            <w:tcW w:w="146"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4, 2024</w:t>
            </w:r>
          </w:p>
        </w:tc>
        <w:tc>
          <w:tcPr>
            <w:tcW w:w="146"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
        <w:gridCol w:w="146"/>
        <w:gridCol w:w="6313"/>
        <w:gridCol w:w="146"/>
        <w:gridCol w:w="417"/>
        <w:gridCol w:w="146"/>
        <w:gridCol w:w="851"/>
        <w:gridCol w:w="146"/>
        <w:gridCol w:w="987"/>
        <w:gridCol w:w="146"/>
        <w:gridCol w:w="289"/>
      </w:tblGrid>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6313"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2022 Equity Inducement Plan and forms of agreement</w:t>
              </w:r>
            </w:hyperlink>
          </w:p>
        </w:tc>
        <w:tc>
          <w:tcPr>
            <w:tcW w:w="146"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333-268071</w:t>
            </w:r>
          </w:p>
        </w:tc>
        <w:tc>
          <w:tcPr>
            <w:tcW w:w="146"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31, 2022</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r>
      <w:tr>
        <w:trPr/>
        <w:tc>
          <w:tcPr>
            <w:tcW w:w="6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Office Lease, dated April 1, 2022, by and between Aircraft Technical Publishers, a California corporation, and Day One Biopharmaceuticals, Inc.</w:t>
              </w:r>
            </w:hyperlink>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001-40431</w:t>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2022</w:t>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Asset Transfer and License Agreement, effective as of December 16, 2019, by and between DOT Therapeutics-1, Inc. and Millennium Pharmaceuticals, Inc.</w:t>
              </w:r>
            </w:hyperlink>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333-255754</w:t>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2021</w:t>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License Agreement for RAF, effective as of December 16, 2019, by and between Sunesis Pharmaceuticals, Inc. and DOT Therapeutics-1, Inc.</w:t>
              </w:r>
            </w:hyperlink>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333-255754</w:t>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2021</w:t>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License Agreement, dated February 10, 2021, by and between Merck KGaA, Darmstadt, Germany and Day One Biopharmaceuticals, Inc.</w:t>
              </w:r>
            </w:hyperlink>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333-255754</w:t>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2021</w:t>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6313"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Stock Exchange Agreement, dated May 4, 2021, by and between Day One Biopharmaceuticals Holding Co., LLC and Millennium Pharmaceuticals, Inc.</w:t>
              </w:r>
            </w:hyperlink>
          </w:p>
        </w:tc>
        <w:tc>
          <w:tcPr>
            <w:tcW w:w="146"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333-255754</w:t>
            </w:r>
          </w:p>
        </w:tc>
        <w:tc>
          <w:tcPr>
            <w:tcW w:w="146"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2021</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pPr>
            <w:hyperlink w:anchor="dawn-ex21_1.htm">
              <w:r>
                <w:rPr>
                  <w:rStyle w:val="InternetLink"/>
                  <w:rFonts w:ascii="Times New Roman" w:hAnsi="Times New Roman"/>
                  <w:color w:val="0000FF"/>
                  <w:sz w:val="20"/>
                  <w:u w:val="single"/>
                </w:rPr>
                <w:t>Subsidiaries of the Registrant</w:t>
              </w:r>
            </w:hyperlink>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pPr>
            <w:hyperlink w:anchor="dawn-ex23_1.htm">
              <w:r>
                <w:rPr>
                  <w:rStyle w:val="InternetLink"/>
                  <w:rFonts w:ascii="Times New Roman" w:hAnsi="Times New Roman"/>
                  <w:color w:val="0000FF"/>
                  <w:sz w:val="20"/>
                  <w:u w:val="single"/>
                </w:rPr>
                <w:t>Consent of Pricewaterhouse Coopers LLP, Independent Registered Public Accounting Firm</w:t>
              </w:r>
            </w:hyperlink>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vAlign w:val="center"/>
          </w:tcPr>
          <w:p>
            <w:pPr>
              <w:pStyle w:val="TableContents"/>
              <w:bidi w:val="0"/>
              <w:spacing w:before="0" w:after="283"/>
              <w:jc w:val="left"/>
              <w:rPr/>
            </w:pPr>
            <w:r>
              <w:rPr/>
              <w:t> </w:t>
            </w:r>
          </w:p>
        </w:tc>
        <w:tc>
          <w:tcPr>
            <w:tcW w:w="6313" w:type="dxa"/>
            <w:tcBorders/>
            <w:vAlign w:val="center"/>
          </w:tcPr>
          <w:p>
            <w:pPr>
              <w:pStyle w:val="TableContents"/>
              <w:bidi w:val="0"/>
              <w:spacing w:before="0" w:after="283"/>
              <w:jc w:val="left"/>
              <w:rPr/>
            </w:pPr>
            <w:hyperlink w:anchor="dawn-ex23_2.htm">
              <w:r>
                <w:rPr>
                  <w:rStyle w:val="InternetLink"/>
                  <w:rFonts w:ascii="Times New Roman" w:hAnsi="Times New Roman"/>
                  <w:color w:val="0000FF"/>
                  <w:sz w:val="20"/>
                  <w:u w:val="single"/>
                </w:rPr>
                <w:t>Consent of Ernst &amp; Young LLP, Independent Registered Public Accounting Firm</w:t>
              </w:r>
            </w:hyperlink>
          </w:p>
        </w:tc>
        <w:tc>
          <w:tcPr>
            <w:tcW w:w="146"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center"/>
              <w:rPr/>
            </w:pPr>
            <w:r>
              <w:rPr/>
              <w:t> </w:t>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pPr>
            <w:hyperlink w:anchor="daw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6313" w:type="dxa"/>
            <w:tcBorders/>
            <w:vAlign w:val="center"/>
          </w:tcPr>
          <w:p>
            <w:pPr>
              <w:pStyle w:val="TableContents"/>
              <w:bidi w:val="0"/>
              <w:spacing w:before="0" w:after="283"/>
              <w:jc w:val="left"/>
              <w:rPr/>
            </w:pPr>
            <w:hyperlink w:anchor="daw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pPr>
            <w:hyperlink w:anchor="dawn-ex32_1.htm">
              <w:r>
                <w:rPr>
                  <w:rStyle w:val="InternetLink"/>
                  <w:rFonts w:ascii="Times New Roman" w:hAnsi="Times New Roman"/>
                  <w:color w:val="0000FF"/>
                  <w:sz w:val="20"/>
                  <w:u w:val="single"/>
                </w:rPr>
                <w:t>Certification of Principal Executive Officer and Principal Financial Officer Pursuant to 18 U.S.C. Section 1350, as</w:t>
              </w:r>
            </w:hyperlink>
            <w:hyperlink w:anchor="dawn-ex32_1.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3"/>
        <w:gridCol w:w="146"/>
        <w:gridCol w:w="7927"/>
        <w:gridCol w:w="146"/>
        <w:gridCol w:w="146"/>
        <w:gridCol w:w="146"/>
        <w:gridCol w:w="146"/>
        <w:gridCol w:w="146"/>
        <w:gridCol w:w="146"/>
        <w:gridCol w:w="146"/>
        <w:gridCol w:w="287"/>
      </w:tblGrid>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Adopted Pursuant to Section 906 of the Sarbanes-Oxley Act of 2002.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center"/>
              <w:rPr/>
            </w:pPr>
            <w:r>
              <w:rPr/>
              <w:t> </w:t>
            </w:r>
          </w:p>
        </w:tc>
      </w:tr>
      <w:tr>
        <w:trPr/>
        <w:tc>
          <w:tcPr>
            <w:tcW w:w="8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left"/>
              <w:rPr/>
            </w:pPr>
            <w:hyperlink w:anchor="dawn-ex97_1.htm">
              <w:r>
                <w:rPr>
                  <w:rStyle w:val="InternetLink"/>
                  <w:rFonts w:ascii="Times New Roman" w:hAnsi="Times New Roman"/>
                  <w:color w:val="0000FF"/>
                  <w:sz w:val="20"/>
                  <w:u w:val="single"/>
                </w:rPr>
                <w:t>Compensation Recovery Policy</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center"/>
              <w:rPr/>
            </w:pPr>
            <w:r>
              <w:rPr/>
              <w:t> </w:t>
            </w:r>
          </w:p>
        </w:tc>
      </w:tr>
      <w:tr>
        <w:trPr/>
        <w:tc>
          <w:tcPr>
            <w:tcW w:w="8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Registrant has omitted portions of the exhibit as permitted under Item 601(b)(10) of Regulations S-K.</w:t>
        <w:br/>
        <w:br/>
        <w:t>^ Indicates management contract or compensatory plan.</w:t>
        <w:br/>
        <w:b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360" w:after="283"/>
        <w:jc w:val="left"/>
        <w:rPr>
          <w:rFonts w:ascii="Times New Roman" w:hAnsi="Times New Roman"/>
          <w:sz w:val="20"/>
        </w:rPr>
      </w:pPr>
      <w:bookmarkStart w:id="24" w:name="item_16_form_10_k_summary"/>
      <w:bookmarkEnd w:id="24"/>
      <w:r>
        <w:rPr>
          <w:rFonts w:ascii="Times New Roman" w:hAnsi="Times New Roman"/>
          <w:color w:val="000000"/>
          <w:sz w:val="20"/>
        </w:rPr>
        <w:br/>
        <w:br/>
      </w:r>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915" w:type="dxa"/>
        <w:jc w:val="left"/>
        <w:tblInd w:w="0" w:type="dxa"/>
        <w:tblLayout w:type="fixed"/>
        <w:tblCellMar>
          <w:top w:w="28" w:type="dxa"/>
          <w:left w:w="28" w:type="dxa"/>
          <w:bottom w:w="28" w:type="dxa"/>
          <w:right w:w="28" w:type="dxa"/>
        </w:tblCellMar>
      </w:tblPr>
      <w:tblGrid>
        <w:gridCol w:w="2086"/>
        <w:gridCol w:w="109"/>
        <w:gridCol w:w="412"/>
        <w:gridCol w:w="3308"/>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DAY ONE BIOPHARMACEUTICALS,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0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Bender, Ph.D., M.B.A.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Jeremy Bender, Ph.D., M.B.A.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and President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907" w:type="dxa"/>
        <w:jc w:val="left"/>
        <w:tblInd w:w="0" w:type="dxa"/>
        <w:tblLayout w:type="fixed"/>
        <w:tblCellMar>
          <w:top w:w="28" w:type="dxa"/>
          <w:left w:w="28" w:type="dxa"/>
          <w:bottom w:w="28" w:type="dxa"/>
          <w:right w:w="28" w:type="dxa"/>
        </w:tblCellMar>
      </w:tblPr>
      <w:tblGrid>
        <w:gridCol w:w="2086"/>
        <w:gridCol w:w="109"/>
        <w:gridCol w:w="406"/>
        <w:gridCol w:w="430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DAY ONE BIOPHARMACEUTICALS,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Charles N. York II, M.B.A.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Charles N. York II, M.B.A.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Operating Officer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br/>
        <w:t>KNOW ALL PERSONS BY THESE PRESENTS, that each person whose signature appears below hereby constitutes and appoints Jeremy Bender, Ph. D., M.B.A and Charles N. York II, M.B.A.,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9085" w:type="dxa"/>
        <w:jc w:val="left"/>
        <w:tblInd w:w="0" w:type="dxa"/>
        <w:tblLayout w:type="fixed"/>
        <w:tblCellMar>
          <w:top w:w="28" w:type="dxa"/>
          <w:left w:w="28" w:type="dxa"/>
          <w:bottom w:w="28" w:type="dxa"/>
          <w:right w:w="28" w:type="dxa"/>
        </w:tblCellMar>
      </w:tblPr>
      <w:tblGrid>
        <w:gridCol w:w="2896"/>
        <w:gridCol w:w="146"/>
        <w:gridCol w:w="4261"/>
        <w:gridCol w:w="146"/>
        <w:gridCol w:w="163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Bender, Ph.D., M.B.A.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and President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Jeremy Bender, Ph.D.,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Charles N. York II, M.B.A.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Operating Officer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Charles N. York II,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Garry Nicholson, M.B.A.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Garry Nicholson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 Becker, M.D., Ph.D.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 Becker,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Habib Dable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Habib Dable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Garland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Garland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Gladstone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Gladstone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Grossman, M.D., Ph.D.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Grossman,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Natalie Holles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Natalie Holles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A. Josey, Ph.D., M.B.A.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A. Josey, Ph.D.,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Saira Ramasastry, M.S., M.Phil.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Saira Ramasastry, M.S., M.Phil.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719"/>
        <w:gridCol w:w="486"/>
      </w:tblGrid>
      <w:tr>
        <w:trPr/>
        <w:tc>
          <w:tcPr>
            <w:tcW w:w="971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7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dit_opinion_pwc">
              <w:r>
                <w:rPr>
                  <w:rStyle w:val="InternetLink"/>
                  <w:rFonts w:ascii="Times New Roman" w:hAnsi="Times New Roman"/>
                  <w:color w:val="0000FF"/>
                  <w:sz w:val="20"/>
                  <w:u w:val="single"/>
                </w:rPr>
                <w:t>Report of Independent Registered Public Accounting Firm (PCAOB ID: 238)</w:t>
              </w:r>
            </w:hyperlink>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7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dit_opinion_ey">
              <w:r>
                <w:rPr>
                  <w:rStyle w:val="InternetLink"/>
                  <w:rFonts w:ascii="Times New Roman" w:hAnsi="Times New Roman"/>
                  <w:color w:val="0000FF"/>
                  <w:sz w:val="20"/>
                  <w:u w:val="single"/>
                </w:rPr>
                <w:t>Report of Independent Registered Public Accounting Firm (PCAOB ID: 42)</w:t>
              </w:r>
            </w:hyperlink>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7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consolidated">
              <w:r>
                <w:rPr>
                  <w:rStyle w:val="InternetLink"/>
                  <w:rFonts w:ascii="Times New Roman" w:hAnsi="Times New Roman"/>
                  <w:color w:val="0000FF"/>
                  <w:sz w:val="20"/>
                  <w:u w:val="single"/>
                </w:rPr>
                <w:t>Consolidated Balance Sheets</w:t>
              </w:r>
            </w:hyperlink>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7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consolidated">
              <w:r>
                <w:rPr>
                  <w:rStyle w:val="InternetLink"/>
                  <w:rFonts w:ascii="Times New Roman" w:hAnsi="Times New Roman"/>
                  <w:color w:val="0000FF"/>
                  <w:sz w:val="20"/>
                  <w:u w:val="single"/>
                </w:rPr>
                <w:t>Consolidated Statements of Operations</w:t>
              </w:r>
            </w:hyperlink>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7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loss_consolidated">
              <w:r>
                <w:rPr>
                  <w:rStyle w:val="InternetLink"/>
                  <w:rFonts w:ascii="Times New Roman" w:hAnsi="Times New Roman"/>
                  <w:color w:val="0000FF"/>
                  <w:sz w:val="20"/>
                  <w:u w:val="single"/>
                </w:rPr>
                <w:t>Consolidated Statements of Comprehensive Loss</w:t>
              </w:r>
            </w:hyperlink>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97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consolidated">
              <w:r>
                <w:rPr>
                  <w:rStyle w:val="InternetLink"/>
                  <w:rFonts w:ascii="Times New Roman" w:hAnsi="Times New Roman"/>
                  <w:color w:val="0000FF"/>
                  <w:sz w:val="20"/>
                  <w:u w:val="single"/>
                </w:rPr>
                <w:t>Consolidated Statements of Redeemable Convertible Preferred Shares, Redeemable Noncontrolling Interest and Stockholders' Equity/Members' (Deficit)</w:t>
              </w:r>
            </w:hyperlink>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r>
        <w:trPr/>
        <w:tc>
          <w:tcPr>
            <w:tcW w:w="97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consolidated">
              <w:r>
                <w:rPr>
                  <w:rStyle w:val="InternetLink"/>
                  <w:rFonts w:ascii="Times New Roman" w:hAnsi="Times New Roman"/>
                  <w:color w:val="0000FF"/>
                  <w:sz w:val="20"/>
                  <w:u w:val="single"/>
                </w:rPr>
                <w:t>Consolidated Statements of Cash Flows</w:t>
              </w:r>
            </w:hyperlink>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r>
        <w:trPr/>
        <w:tc>
          <w:tcPr>
            <w:tcW w:w="97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s">
              <w:r>
                <w:rPr>
                  <w:rStyle w:val="InternetLink"/>
                  <w:rFonts w:ascii="Times New Roman" w:hAnsi="Times New Roman"/>
                  <w:color w:val="0000FF"/>
                  <w:sz w:val="20"/>
                  <w:u w:val="single"/>
                </w:rPr>
                <w:t>Notes to Consolidated Financial Statements</w:t>
              </w:r>
            </w:hyperlink>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F-10</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Georgia;serif" w:hAnsi="Georgia;serif"/>
          <w:b/>
          <w:color w:val="000000"/>
          <w:sz w:val="19"/>
        </w:rPr>
      </w:pPr>
      <w:bookmarkStart w:id="25" w:name="audit_opinion_pwc"/>
      <w:bookmarkEnd w:id="25"/>
      <w:r>
        <w:rPr>
          <w:rFonts w:ascii="Georgia;serif" w:hAnsi="Georgia;serif"/>
          <w:b/>
          <w:color w:val="000000"/>
          <w:sz w:val="19"/>
        </w:rPr>
        <w:t>Report of Independent Registered Public Accounting Firm</w:t>
      </w:r>
    </w:p>
    <w:p>
      <w:pPr>
        <w:pStyle w:val="TextBody"/>
        <w:bidi w:val="0"/>
        <w:spacing w:before="0" w:after="200"/>
        <w:jc w:val="left"/>
        <w:rPr>
          <w:rFonts w:ascii="Georgia;serif" w:hAnsi="Georgia;serif"/>
          <w:color w:val="000000"/>
          <w:sz w:val="19"/>
        </w:rPr>
      </w:pPr>
      <w:r>
        <w:rPr>
          <w:rFonts w:ascii="Georgia;serif" w:hAnsi="Georgia;serif"/>
          <w:color w:val="000000"/>
          <w:sz w:val="19"/>
        </w:rPr>
        <w:t>To the Board of Directors and Stockholders of Day One Biopharmaceuticals, Inc.</w:t>
      </w:r>
    </w:p>
    <w:p>
      <w:pPr>
        <w:pStyle w:val="TextBody"/>
        <w:bidi w:val="0"/>
        <w:spacing w:before="200" w:after="283"/>
        <w:jc w:val="left"/>
        <w:rPr>
          <w:rFonts w:ascii="Georgia;serif" w:hAnsi="Georgia;serif"/>
          <w:b/>
          <w:i/>
          <w:color w:val="000000"/>
          <w:sz w:val="19"/>
        </w:rPr>
      </w:pPr>
      <w:r>
        <w:rPr>
          <w:rFonts w:ascii="Georgia;serif" w:hAnsi="Georgia;serif"/>
          <w:b/>
          <w:i/>
          <w:color w:val="000000"/>
          <w:sz w:val="19"/>
        </w:rPr>
        <w:t>Opinions on the Financial Statements and Internal Control over Financial Reporting</w:t>
      </w:r>
    </w:p>
    <w:p>
      <w:pPr>
        <w:pStyle w:val="TextBody"/>
        <w:bidi w:val="0"/>
        <w:spacing w:before="200" w:after="283"/>
        <w:jc w:val="left"/>
        <w:rPr>
          <w:rFonts w:ascii="Georgia;serif" w:hAnsi="Georgia;serif"/>
          <w:color w:val="000000"/>
          <w:sz w:val="19"/>
        </w:rPr>
      </w:pPr>
      <w:r>
        <w:rPr>
          <w:rFonts w:ascii="Georgia;serif" w:hAnsi="Georgia;serif"/>
          <w:color w:val="000000"/>
          <w:sz w:val="19"/>
        </w:rPr>
        <w:t>We have audited the accompanying balance sheet of Day One Biopharmaceuticals, Inc. (the “Company”) as of December 31, 2023, and the related statements of operations, of comprehensive loss, of redeemable convertible preferred shares, redeemable noncontrolling interest and stockholders’ equity/members’ (deficit) and of cash flows for the year then ended, including the related notes (collectively referred to as the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before="200" w:after="283"/>
        <w:jc w:val="left"/>
        <w:rPr>
          <w:rFonts w:ascii="Times New Roman" w:hAnsi="Times New Roman"/>
          <w:sz w:val="20"/>
        </w:rPr>
      </w:pPr>
      <w:r>
        <w:rPr>
          <w:rFonts w:ascii="Georgia;serif" w:hAnsi="Georgia;serif"/>
          <w:color w:val="000000"/>
          <w:sz w:val="19"/>
        </w:rPr>
        <w:t xml:space="preserve">In our opinion, the financial statements referred to above present fairly, in all material respects, the financial position of the Company as of December 31, 2023,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Georgia;serif" w:hAnsi="Georgia;serif"/>
          <w:i/>
          <w:color w:val="000000"/>
          <w:sz w:val="19"/>
        </w:rPr>
        <w:t>Internal Control - Integrated Framework</w:t>
      </w:r>
      <w:r>
        <w:rPr>
          <w:rFonts w:ascii="Times New Roman" w:hAnsi="Times New Roman"/>
          <w:color w:val="000000"/>
          <w:sz w:val="20"/>
        </w:rPr>
        <w:t xml:space="preserve"> </w:t>
      </w:r>
      <w:r>
        <w:rPr>
          <w:rFonts w:ascii="Georgia;serif" w:hAnsi="Georgia;serif"/>
          <w:color w:val="000000"/>
          <w:sz w:val="19"/>
        </w:rPr>
        <w:t>(2013) issued by the COSO.</w:t>
      </w:r>
    </w:p>
    <w:p>
      <w:pPr>
        <w:pStyle w:val="TextBody"/>
        <w:bidi w:val="0"/>
        <w:spacing w:before="200" w:after="283"/>
        <w:jc w:val="left"/>
        <w:rPr>
          <w:rFonts w:ascii="Georgia;serif" w:hAnsi="Georgia;serif"/>
          <w:b/>
          <w:i/>
          <w:color w:val="000000"/>
          <w:sz w:val="19"/>
        </w:rPr>
      </w:pPr>
      <w:r>
        <w:rPr>
          <w:rFonts w:ascii="Georgia;serif" w:hAnsi="Georgia;serif"/>
          <w:b/>
          <w:i/>
          <w:color w:val="000000"/>
          <w:sz w:val="19"/>
        </w:rPr>
        <w:t>Basis for Opinions</w:t>
      </w:r>
    </w:p>
    <w:p>
      <w:pPr>
        <w:pStyle w:val="TextBody"/>
        <w:bidi w:val="0"/>
        <w:spacing w:before="200" w:after="283"/>
        <w:jc w:val="left"/>
        <w:rPr>
          <w:rFonts w:ascii="Georgia;serif" w:hAnsi="Georgia;serif"/>
          <w:color w:val="000000"/>
          <w:sz w:val="19"/>
        </w:rPr>
      </w:pPr>
      <w:r>
        <w:rPr>
          <w:rFonts w:ascii="Georgia;serif" w:hAnsi="Georgia;serif"/>
          <w:color w:val="000000"/>
          <w:sz w:val="19"/>
        </w:rPr>
        <w:t>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283"/>
        <w:jc w:val="left"/>
        <w:rPr>
          <w:rFonts w:ascii="Georgia;serif" w:hAnsi="Georgia;serif"/>
          <w:color w:val="000000"/>
          <w:sz w:val="19"/>
        </w:rPr>
      </w:pPr>
      <w:r>
        <w:rPr>
          <w:rFonts w:ascii="Georgia;serif" w:hAnsi="Georgia;serif"/>
          <w:color w:val="000000"/>
          <w:sz w:val="19"/>
        </w:rPr>
        <w:t>We conducted our audit in accordance with the standards of the PCAOB. Those standards require that we plan and perform the audit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before="200" w:after="283"/>
        <w:jc w:val="left"/>
        <w:rPr>
          <w:rFonts w:ascii="Georgia;serif" w:hAnsi="Georgia;serif"/>
          <w:color w:val="000000"/>
          <w:sz w:val="19"/>
        </w:rPr>
      </w:pPr>
      <w:r>
        <w:rPr>
          <w:rFonts w:ascii="Georgia;serif" w:hAnsi="Georgia;serif"/>
          <w:color w:val="000000"/>
          <w:sz w:val="19"/>
        </w:rPr>
        <w:t>Our audit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pStyle w:val="TextBody"/>
        <w:bidi w:val="0"/>
        <w:spacing w:before="200" w:after="283"/>
        <w:jc w:val="left"/>
        <w:rPr>
          <w:rFonts w:ascii="Georgia;serif" w:hAnsi="Georgia;serif"/>
          <w:b/>
          <w:i/>
          <w:color w:val="000000"/>
          <w:sz w:val="19"/>
        </w:rPr>
      </w:pPr>
      <w:r>
        <w:rPr>
          <w:rFonts w:ascii="Georgia;serif" w:hAnsi="Georgia;serif"/>
          <w:b/>
          <w:i/>
          <w:color w:val="000000"/>
          <w:sz w:val="19"/>
        </w:rPr>
        <w:t>Definition and Limitations of Internal Control over Financial Reporting</w:t>
      </w:r>
    </w:p>
    <w:p>
      <w:pPr>
        <w:pStyle w:val="TextBody"/>
        <w:bidi w:val="0"/>
        <w:spacing w:before="200" w:after="283"/>
        <w:jc w:val="left"/>
        <w:rPr>
          <w:rFonts w:ascii="Times New Roman" w:hAnsi="Times New Roman"/>
          <w:sz w:val="20"/>
        </w:rPr>
      </w:pPr>
      <w:r>
        <w:rPr>
          <w:rFonts w:ascii="Georgia;serif" w:hAnsi="Georgia;serif"/>
          <w:color w:val="000000"/>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Georgia;serif" w:hAnsi="Georgia;serif"/>
          <w:color w:val="000000"/>
          <w:sz w:val="19"/>
        </w:rPr>
      </w:pPr>
      <w:r>
        <w:rPr>
          <w:rFonts w:ascii="Georgia;serif" w:hAnsi="Georgia;serif"/>
          <w:color w:val="000000"/>
          <w:sz w:val="19"/>
        </w:rPr>
        <w:t>acquisition, use, or disposition of the company’s assets that could have a material effect on the financial statements.</w:t>
      </w:r>
    </w:p>
    <w:p>
      <w:pPr>
        <w:pStyle w:val="TextBody"/>
        <w:bidi w:val="0"/>
        <w:spacing w:before="200" w:after="283"/>
        <w:jc w:val="left"/>
        <w:rPr>
          <w:rFonts w:ascii="Georgia;serif" w:hAnsi="Georgia;serif"/>
          <w:color w:val="000000"/>
          <w:sz w:val="19"/>
        </w:rPr>
      </w:pPr>
      <w:r>
        <w:rPr>
          <w:rFonts w:ascii="Georgia;serif" w:hAnsi="Georgia;serif"/>
          <w:color w:val="000000"/>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left"/>
        <w:rPr>
          <w:rFonts w:ascii="Georgia;serif" w:hAnsi="Georgia;serif"/>
          <w:b/>
          <w:i/>
          <w:color w:val="000000"/>
          <w:sz w:val="19"/>
        </w:rPr>
      </w:pPr>
      <w:r>
        <w:rPr>
          <w:rFonts w:ascii="Georgia;serif" w:hAnsi="Georgia;serif"/>
          <w:b/>
          <w:i/>
          <w:color w:val="000000"/>
          <w:sz w:val="19"/>
        </w:rPr>
        <w:t>Critical Audit Matters</w:t>
      </w:r>
    </w:p>
    <w:p>
      <w:pPr>
        <w:pStyle w:val="TextBody"/>
        <w:bidi w:val="0"/>
        <w:spacing w:before="200" w:after="283"/>
        <w:jc w:val="left"/>
        <w:rPr>
          <w:rFonts w:ascii="Times New Roman" w:hAnsi="Times New Roman"/>
          <w:sz w:val="20"/>
        </w:rPr>
      </w:pPr>
      <w:r>
        <w:rPr>
          <w:rFonts w:ascii="Georgia;serif" w:hAnsi="Georgia;serif"/>
          <w:color w:val="000000"/>
          <w:sz w:val="19"/>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our especially challenging, subjective, or complex judgments. The communication of critical audit matters does not alter in any way our opinion on the</w:t>
      </w:r>
      <w:r>
        <w:rPr>
          <w:rFonts w:ascii="Times New Roman" w:hAnsi="Times New Roman"/>
          <w:color w:val="000000"/>
          <w:sz w:val="20"/>
        </w:rPr>
        <w:t xml:space="preserve"> </w:t>
      </w:r>
      <w:r>
        <w:rPr>
          <w:rFonts w:ascii="Georgia;serif" w:hAnsi="Georgia;serif"/>
          <w:color w:val="000000"/>
          <w:sz w:val="19"/>
        </w:rPr>
        <w:t>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left"/>
        <w:rPr>
          <w:rFonts w:ascii="Georgia;serif" w:hAnsi="Georgia;serif"/>
          <w:i/>
          <w:color w:val="000000"/>
          <w:sz w:val="19"/>
        </w:rPr>
      </w:pPr>
      <w:r>
        <w:rPr>
          <w:rFonts w:ascii="Georgia;serif" w:hAnsi="Georgia;serif"/>
          <w:i/>
          <w:color w:val="000000"/>
          <w:sz w:val="19"/>
        </w:rPr>
        <w:t>Accrued Clinical Trial Expenses</w:t>
      </w:r>
    </w:p>
    <w:p>
      <w:pPr>
        <w:pStyle w:val="TextBody"/>
        <w:bidi w:val="0"/>
        <w:jc w:val="left"/>
        <w:rPr/>
      </w:pPr>
      <w:r>
        <w:rPr/>
        <w:t> </w:t>
      </w:r>
    </w:p>
    <w:p>
      <w:pPr>
        <w:pStyle w:val="TextBody"/>
        <w:bidi w:val="0"/>
        <w:jc w:val="left"/>
        <w:rPr>
          <w:rFonts w:ascii="Times New Roman" w:hAnsi="Times New Roman"/>
          <w:sz w:val="20"/>
        </w:rPr>
      </w:pPr>
      <w:r>
        <w:rPr>
          <w:rFonts w:ascii="Georgia;serif" w:hAnsi="Georgia;serif"/>
          <w:color w:val="000000"/>
          <w:sz w:val="19"/>
        </w:rPr>
        <w:t>As described in Notes 2 and 4 to the financial statements, the Company records accrued liabilities for estimated costs of clinical trials conducted by third-party service providers. As disclosed by management, these costs are accrued based on factors such as estimates of the work completed and in accordance with terms established with third-party service providers under the service agreements. Management makes judgments and estimates in determining the accrued liabilities for estimated costs of clinical trials each reporting period and monitors patient enrollment levels and related activities to the extent possible through internal reviews, correspondence with clinical research organizations (“CROs”) and review of contractual terms. Within accrued expenses and other current liabilities, management has recorded $12.6 million of accrued research and development expenses as of December 31, 2023, a portion of which relates to accrued clinical trial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Georgia;serif" w:hAnsi="Georgia;serif"/>
          <w:color w:val="000000"/>
          <w:sz w:val="19"/>
        </w:rPr>
      </w:pPr>
      <w:r>
        <w:rPr>
          <w:rFonts w:ascii="Georgia;serif" w:hAnsi="Georgia;serif"/>
          <w:color w:val="000000"/>
          <w:sz w:val="19"/>
        </w:rPr>
        <w:t>The principal considerations for our determination that performing procedures relating to accrued clinical trial expenses is a critical audit matter are (i) the significant judgment by management when developing the estimate of the accrued clinical trial expenses; and (ii) a high degree of auditor judgment and effort in performing procedures related to management’s estimate of the accrued clinical trial expenses.</w:t>
      </w:r>
    </w:p>
    <w:p>
      <w:pPr>
        <w:pStyle w:val="TextBody"/>
        <w:bidi w:val="0"/>
        <w:spacing w:before="200" w:after="283"/>
        <w:jc w:val="left"/>
        <w:rPr>
          <w:rFonts w:ascii="Georgia;serif" w:hAnsi="Georgia;serif"/>
          <w:color w:val="000000"/>
          <w:sz w:val="19"/>
        </w:rPr>
      </w:pPr>
      <w:r>
        <w:rPr>
          <w:rFonts w:ascii="Georgia;serif" w:hAnsi="Georgia;serif"/>
          <w:color w:val="000000"/>
          <w:sz w:val="19"/>
        </w:rPr>
        <w:t>Addressing the matter involved performing procedures and evaluating audit evidence in connection with forming our overall opinion on the financial statements. These procedures included testing the effectiveness of controls relating to management’s estimate of accrued clinical trial expenses, including controls over the estimates of the work completed in accordance with terms established with third-party service providers under the service agreements. These procedures also included, among others, (i) testing management’s process for estimating accrued clinical trial expenses, (ii) evaluating the appropriateness of the method used by management to develop the estimate, (iii) testing the completeness and accuracy of the data used by management to develop the estimate related to invoicing to date under the contracts and costs incurred for services received, and (iv) evaluating the reasonableness of the estimated costs incurred for the services which have not been invoiced by tracing to underlying supporting documentation, such as underlying contracts, invoices and information received from certain third party service providers, where applicable.</w:t>
      </w:r>
    </w:p>
    <w:p>
      <w:pPr>
        <w:pStyle w:val="TextBody"/>
        <w:bidi w:val="0"/>
        <w:jc w:val="left"/>
        <w:rPr/>
      </w:pPr>
      <w:r>
        <w:rPr/>
        <w:t> </w:t>
      </w:r>
    </w:p>
    <w:p>
      <w:pPr>
        <w:pStyle w:val="TextBody"/>
        <w:bidi w:val="0"/>
        <w:jc w:val="left"/>
        <w:rPr/>
      </w:pPr>
      <w:r>
        <w:rPr/>
        <w:t> </w:t>
      </w:r>
    </w:p>
    <w:p>
      <w:pPr>
        <w:pStyle w:val="TextBody"/>
        <w:bidi w:val="0"/>
        <w:jc w:val="left"/>
        <w:rPr>
          <w:rFonts w:ascii="Georgia;serif" w:hAnsi="Georgia;serif"/>
          <w:color w:val="000000"/>
          <w:sz w:val="19"/>
        </w:rPr>
      </w:pPr>
      <w:r>
        <w:rPr>
          <w:rFonts w:ascii="Georgia;serif" w:hAnsi="Georgia;serif"/>
          <w:color w:val="000000"/>
          <w:sz w:val="19"/>
        </w:rPr>
        <w:t xml:space="preserve">/s/ PricewaterhouseCoopers LLP </w:t>
      </w:r>
    </w:p>
    <w:p>
      <w:pPr>
        <w:pStyle w:val="TextBody"/>
        <w:bidi w:val="0"/>
        <w:jc w:val="left"/>
        <w:rPr>
          <w:rFonts w:ascii="Georgia;serif" w:hAnsi="Georgia;serif"/>
          <w:color w:val="000000"/>
          <w:sz w:val="19"/>
        </w:rPr>
      </w:pPr>
      <w:r>
        <w:rPr>
          <w:rFonts w:ascii="Georgia;serif" w:hAnsi="Georgia;serif"/>
          <w:color w:val="000000"/>
          <w:sz w:val="19"/>
        </w:rPr>
        <w:t>Dallas, Texas</w:t>
      </w:r>
    </w:p>
    <w:p>
      <w:pPr>
        <w:pStyle w:val="TextBody"/>
        <w:bidi w:val="0"/>
        <w:jc w:val="left"/>
        <w:rPr>
          <w:rFonts w:ascii="Georgia;serif" w:hAnsi="Georgia;serif"/>
          <w:color w:val="000000"/>
          <w:sz w:val="19"/>
        </w:rPr>
      </w:pPr>
      <w:r>
        <w:rPr>
          <w:rFonts w:ascii="Georgia;serif" w:hAnsi="Georgia;serif"/>
          <w:color w:val="000000"/>
          <w:sz w:val="19"/>
        </w:rPr>
        <w:t>February 26, 2024</w:t>
      </w:r>
    </w:p>
    <w:p>
      <w:pPr>
        <w:pStyle w:val="TextBody"/>
        <w:bidi w:val="0"/>
        <w:spacing w:before="200" w:after="283"/>
        <w:jc w:val="left"/>
        <w:rPr>
          <w:rFonts w:ascii="Georgia;serif" w:hAnsi="Georgia;serif"/>
          <w:color w:val="000000"/>
          <w:sz w:val="19"/>
        </w:rPr>
      </w:pPr>
      <w:r>
        <w:rPr>
          <w:rFonts w:ascii="Georgia;serif" w:hAnsi="Georgia;serif"/>
          <w:color w:val="000000"/>
          <w:sz w:val="19"/>
        </w:rPr>
        <w:t>We have served as the Company’s auditor since 2023.</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olor w:val="000000"/>
          <w:sz w:val="20"/>
        </w:rPr>
      </w:pPr>
      <w:bookmarkStart w:id="26" w:name="audit_opinion_ey"/>
      <w:bookmarkEnd w:id="26"/>
      <w:r>
        <w:rPr>
          <w:rFonts w:ascii="Times New Roman" w:hAnsi="Times New Roman"/>
          <w:b/>
          <w:color w:val="000000"/>
          <w:sz w:val="20"/>
        </w:rPr>
        <w:t>Report of Independent Registered Public Accounting Firm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the Stockholders, Members, and the Board of Directors of Day One Biopharmaceuticals, Inc.</w:t>
      </w:r>
    </w:p>
    <w:p>
      <w:pPr>
        <w:pStyle w:val="TextBody"/>
        <w:bidi w:val="0"/>
        <w:spacing w:before="0" w:after="22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We have audited the accompanying consolidated balance sheets of Day One Biopharmaceuticals, Inc. (the Company) as of December 31, 2022 and 2021, the related consolidated statements of operations, comprehensive loss, redeemable convertible preferred shares, redeemable noncontrolling interest and stockholders’ equity/members’ (deficit)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pStyle w:val="TextBody"/>
        <w:bidi w:val="0"/>
        <w:spacing w:before="0" w:after="22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both"/>
        <w:rPr/>
      </w:pPr>
      <w:r>
        <w:rPr/>
        <w:t> </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served as the Company’s auditor from 2021 to 2023.</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San Mateo, California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March 6, 2023</w:t>
      </w:r>
    </w:p>
    <w:p>
      <w:pPr>
        <w:pStyle w:val="TextBody"/>
        <w:bidi w:val="0"/>
        <w:spacing w:before="0" w:after="120"/>
        <w:jc w:val="both"/>
        <w:rPr/>
      </w:pPr>
      <w:r>
        <w:rPr/>
        <w:t> </w:t>
      </w:r>
    </w:p>
    <w:p>
      <w:pPr>
        <w:pStyle w:val="TextBody"/>
        <w:bidi w:val="0"/>
        <w:spacing w:before="0" w:after="280"/>
        <w:jc w:val="both"/>
        <w:rPr/>
      </w:pPr>
      <w:r>
        <w:rPr/>
        <w:t> </w:t>
      </w:r>
    </w:p>
    <w:p>
      <w:pPr>
        <w:pStyle w:val="TextBody"/>
        <w:bidi w:val="0"/>
        <w:spacing w:before="0" w:after="280"/>
        <w:jc w:val="both"/>
        <w:rPr/>
      </w:pPr>
      <w:r>
        <w:rPr/>
        <w:t> </w:t>
      </w:r>
    </w:p>
    <w:p>
      <w:pPr>
        <w:pStyle w:val="TextBody"/>
        <w:bidi w:val="0"/>
        <w:spacing w:before="0" w:after="280"/>
        <w:jc w:val="both"/>
        <w:rPr/>
      </w:pPr>
      <w:r>
        <w:rPr/>
        <w:t> </w:t>
      </w:r>
    </w:p>
    <w:p>
      <w:pPr>
        <w:pStyle w:val="TextBody"/>
        <w:bidi w:val="0"/>
        <w:spacing w:before="0" w:after="280"/>
        <w:jc w:val="both"/>
        <w:rPr/>
      </w:pPr>
      <w:r>
        <w:rPr/>
        <w:t> </w:t>
      </w:r>
    </w:p>
    <w:p>
      <w:pPr>
        <w:pStyle w:val="TextBody"/>
        <w:bidi w:val="0"/>
        <w:spacing w:before="0" w:after="280"/>
        <w:jc w:val="both"/>
        <w:rPr>
          <w:rFonts w:ascii="Times New Roman" w:hAnsi="Times New Roman"/>
          <w:color w:val="000000"/>
          <w:sz w:val="11"/>
        </w:rPr>
      </w:pPr>
      <w:r>
        <w:rPr>
          <w:rFonts w:ascii="Times New Roman" w:hAnsi="Times New Roman"/>
          <w:color w:val="000000"/>
          <w:sz w:val="11"/>
        </w:rPr>
        <w:t>member firm of Ernst &amp; Young Global Limited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Day One Biopharmaceuticals, Inc.</w:t>
      </w:r>
    </w:p>
    <w:p>
      <w:pPr>
        <w:pStyle w:val="TextBody"/>
        <w:bidi w:val="0"/>
        <w:jc w:val="center"/>
        <w:rPr>
          <w:rFonts w:ascii="Times New Roman" w:hAnsi="Times New Roman"/>
          <w:b/>
          <w:color w:val="000000"/>
          <w:sz w:val="20"/>
        </w:rPr>
      </w:pPr>
      <w:bookmarkStart w:id="27" w:name="balance_sheet_consolidated"/>
      <w:bookmarkEnd w:id="27"/>
      <w:r>
        <w:rPr>
          <w:rFonts w:ascii="Times New Roman" w:hAnsi="Times New Roman"/>
          <w:b/>
          <w:color w:val="000000"/>
          <w:sz w:val="20"/>
        </w:rPr>
        <w:t>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4"/>
        <w:gridCol w:w="146"/>
        <w:gridCol w:w="210"/>
        <w:gridCol w:w="805"/>
        <w:gridCol w:w="166"/>
        <w:gridCol w:w="146"/>
        <w:gridCol w:w="210"/>
        <w:gridCol w:w="805"/>
        <w:gridCol w:w="513"/>
      </w:tblGrid>
      <w:tr>
        <w:trPr/>
        <w:tc>
          <w:tcPr>
            <w:tcW w:w="7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2022</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0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5" w:type="dxa"/>
            <w:gridSpan w:val="2"/>
            <w:tcBorders/>
            <w:shd w:fill="CFF0FC" w:val="clear"/>
            <w:vAlign w:val="center"/>
          </w:tcPr>
          <w:p>
            <w:pPr>
              <w:pStyle w:val="TableContents"/>
              <w:bidi w:val="0"/>
              <w:spacing w:before="0" w:after="283"/>
              <w:jc w:val="right"/>
              <w:rPr/>
            </w:pPr>
            <w:r>
              <w:rPr/>
              <w:t> </w:t>
            </w:r>
          </w:p>
        </w:tc>
        <w:tc>
          <w:tcPr>
            <w:tcW w:w="513" w:type="dxa"/>
            <w:tcBorders/>
            <w:shd w:fill="CFF0FC" w:val="clear"/>
            <w:vAlign w:val="center"/>
          </w:tcPr>
          <w:p>
            <w:pPr>
              <w:pStyle w:val="TableContents"/>
              <w:bidi w:val="0"/>
              <w:spacing w:before="0" w:after="283"/>
              <w:jc w:val="right"/>
              <w:rPr/>
            </w:pPr>
            <w:r>
              <w:rPr/>
              <w:t> </w:t>
            </w:r>
          </w:p>
        </w:tc>
      </w:tr>
      <w:tr>
        <w:trPr/>
        <w:tc>
          <w:tcPr>
            <w:tcW w:w="7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01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5" w:type="dxa"/>
            <w:gridSpan w:val="2"/>
            <w:tcBorders/>
            <w:shd w:fill="FFFFFF" w:val="clear"/>
            <w:vAlign w:val="center"/>
          </w:tcPr>
          <w:p>
            <w:pPr>
              <w:pStyle w:val="TableContents"/>
              <w:bidi w:val="0"/>
              <w:spacing w:before="0" w:after="283"/>
              <w:jc w:val="center"/>
              <w:rPr/>
            </w:pPr>
            <w:r>
              <w:rPr/>
              <w:t> </w:t>
            </w:r>
          </w:p>
        </w:tc>
        <w:tc>
          <w:tcPr>
            <w:tcW w:w="513" w:type="dxa"/>
            <w:tcBorders/>
            <w:shd w:fill="FFFFFF" w:val="clear"/>
            <w:vAlign w:val="center"/>
          </w:tcPr>
          <w:p>
            <w:pPr>
              <w:pStyle w:val="TableContents"/>
              <w:bidi w:val="0"/>
              <w:spacing w:before="0" w:after="283"/>
              <w:ind w:left="0" w:right="0" w:firstLine="200"/>
              <w:jc w:val="center"/>
              <w:rPr/>
            </w:pPr>
            <w:r>
              <w:rPr/>
              <w:t> </w:t>
            </w:r>
          </w:p>
        </w:tc>
      </w:tr>
      <w:tr>
        <w:trPr/>
        <w:tc>
          <w:tcPr>
            <w:tcW w:w="72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85,262</w:t>
            </w:r>
          </w:p>
        </w:tc>
        <w:tc>
          <w:tcPr>
            <w:tcW w:w="513" w:type="dxa"/>
            <w:tcBorders/>
            <w:shd w:fill="CFF0FC" w:val="clear"/>
            <w:vAlign w:val="center"/>
          </w:tcPr>
          <w:p>
            <w:pPr>
              <w:pStyle w:val="TableContents"/>
              <w:bidi w:val="0"/>
              <w:spacing w:before="0" w:after="283"/>
              <w:ind w:left="0" w:right="0" w:firstLine="200"/>
              <w:jc w:val="left"/>
              <w:rPr/>
            </w:pPr>
            <w:r>
              <w:rPr/>
              <w:t> </w:t>
            </w:r>
          </w:p>
        </w:tc>
      </w:tr>
      <w:tr>
        <w:trPr/>
        <w:tc>
          <w:tcPr>
            <w:tcW w:w="72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257,007</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72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5,605</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0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347,874</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513" w:type="dxa"/>
            <w:tcBorders/>
            <w:shd w:fill="CFF0FC" w:val="clear"/>
            <w:vAlign w:val="center"/>
          </w:tcPr>
          <w:p>
            <w:pPr>
              <w:pStyle w:val="TableContents"/>
              <w:bidi w:val="0"/>
              <w:spacing w:before="0" w:after="283"/>
              <w:jc w:val="left"/>
              <w:rPr/>
            </w:pPr>
            <w:r>
              <w:rPr/>
              <w:t> </w:t>
            </w:r>
          </w:p>
        </w:tc>
      </w:tr>
      <w:tr>
        <w:trPr/>
        <w:tc>
          <w:tcPr>
            <w:tcW w:w="7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513" w:type="dxa"/>
            <w:tcBorders/>
            <w:shd w:fill="FFFFFF" w:val="clear"/>
            <w:vAlign w:val="center"/>
          </w:tcPr>
          <w:p>
            <w:pPr>
              <w:pStyle w:val="TableContents"/>
              <w:bidi w:val="0"/>
              <w:spacing w:before="0" w:after="283"/>
              <w:jc w:val="left"/>
              <w:rPr/>
            </w:pPr>
            <w:r>
              <w:rPr/>
              <w:t> </w:t>
            </w:r>
          </w:p>
        </w:tc>
      </w:tr>
      <w:tr>
        <w:trPr/>
        <w:tc>
          <w:tcPr>
            <w:tcW w:w="7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0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349,062</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5" w:type="dxa"/>
            <w:gridSpan w:val="2"/>
            <w:tcBorders/>
            <w:shd w:fill="CFF0FC" w:val="clear"/>
            <w:vAlign w:val="center"/>
          </w:tcPr>
          <w:p>
            <w:pPr>
              <w:pStyle w:val="TableContents"/>
              <w:bidi w:val="0"/>
              <w:spacing w:before="0" w:after="283"/>
              <w:jc w:val="right"/>
              <w:rPr/>
            </w:pPr>
            <w:r>
              <w:rPr/>
              <w:t> </w:t>
            </w:r>
          </w:p>
        </w:tc>
        <w:tc>
          <w:tcPr>
            <w:tcW w:w="513" w:type="dxa"/>
            <w:tcBorders/>
            <w:shd w:fill="CFF0FC" w:val="clear"/>
            <w:vAlign w:val="center"/>
          </w:tcPr>
          <w:p>
            <w:pPr>
              <w:pStyle w:val="TableContents"/>
              <w:bidi w:val="0"/>
              <w:spacing w:before="0" w:after="283"/>
              <w:jc w:val="right"/>
              <w:rPr/>
            </w:pPr>
            <w:r>
              <w:rPr/>
              <w:t> </w:t>
            </w:r>
          </w:p>
        </w:tc>
      </w:tr>
      <w:tr>
        <w:trPr/>
        <w:tc>
          <w:tcPr>
            <w:tcW w:w="7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01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5" w:type="dxa"/>
            <w:gridSpan w:val="2"/>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ind w:left="0" w:right="0" w:firstLine="200"/>
              <w:jc w:val="right"/>
              <w:rPr/>
            </w:pPr>
            <w:r>
              <w:rPr/>
              <w:t> </w:t>
            </w:r>
          </w:p>
        </w:tc>
      </w:tr>
      <w:tr>
        <w:trPr/>
        <w:tc>
          <w:tcPr>
            <w:tcW w:w="72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513" w:type="dxa"/>
            <w:tcBorders/>
            <w:shd w:fill="CFF0FC" w:val="clear"/>
            <w:vAlign w:val="center"/>
          </w:tcPr>
          <w:p>
            <w:pPr>
              <w:pStyle w:val="TableContents"/>
              <w:bidi w:val="0"/>
              <w:spacing w:before="0" w:after="283"/>
              <w:ind w:left="0" w:right="0" w:firstLine="200"/>
              <w:jc w:val="left"/>
              <w:rPr/>
            </w:pPr>
            <w:r>
              <w:rPr/>
              <w:t> </w:t>
            </w:r>
          </w:p>
        </w:tc>
      </w:tr>
      <w:tr>
        <w:trPr/>
        <w:tc>
          <w:tcPr>
            <w:tcW w:w="72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15,950</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72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0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portion of lease liabilities</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0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17,023</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CFF0FC" w:val="clear"/>
            <w:vAlign w:val="center"/>
          </w:tcPr>
          <w:p>
            <w:pPr>
              <w:pStyle w:val="TableContents"/>
              <w:bidi w:val="0"/>
              <w:spacing w:before="0" w:after="283"/>
              <w:jc w:val="left"/>
              <w:rPr/>
            </w:pPr>
            <w:r>
              <w:rPr/>
              <w:t> </w:t>
            </w:r>
          </w:p>
        </w:tc>
        <w:tc>
          <w:tcPr>
            <w:tcW w:w="10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5" w:type="dxa"/>
            <w:gridSpan w:val="2"/>
            <w:tcBorders/>
            <w:shd w:fill="CFF0FC" w:val="clear"/>
            <w:vAlign w:val="center"/>
          </w:tcPr>
          <w:p>
            <w:pPr>
              <w:pStyle w:val="TableContents"/>
              <w:bidi w:val="0"/>
              <w:spacing w:before="0" w:after="283"/>
              <w:jc w:val="right"/>
              <w:rPr/>
            </w:pPr>
            <w:r>
              <w:rPr/>
              <w:t> </w:t>
            </w:r>
          </w:p>
        </w:tc>
        <w:tc>
          <w:tcPr>
            <w:tcW w:w="513" w:type="dxa"/>
            <w:tcBorders/>
            <w:shd w:fill="CFF0FC" w:val="clear"/>
            <w:vAlign w:val="center"/>
          </w:tcPr>
          <w:p>
            <w:pPr>
              <w:pStyle w:val="TableContents"/>
              <w:bidi w:val="0"/>
              <w:spacing w:before="0" w:after="283"/>
              <w:jc w:val="right"/>
              <w:rPr/>
            </w:pPr>
            <w:r>
              <w:rPr/>
              <w:t> </w:t>
            </w:r>
          </w:p>
        </w:tc>
      </w:tr>
      <w:tr>
        <w:trPr/>
        <w:tc>
          <w:tcPr>
            <w:tcW w:w="7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01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5" w:type="dxa"/>
            <w:gridSpan w:val="2"/>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ind w:left="0" w:right="0" w:firstLine="200"/>
              <w:jc w:val="right"/>
              <w:rPr/>
            </w:pPr>
            <w:r>
              <w:rPr/>
              <w:t> </w:t>
            </w:r>
          </w:p>
        </w:tc>
      </w:tr>
      <w:tr>
        <w:trPr/>
        <w:tc>
          <w:tcPr>
            <w:tcW w:w="7204"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500,000,000</w:t>
            </w:r>
            <w:r>
              <w:rPr>
                <w:rFonts w:ascii="Times New Roman" w:hAnsi="Times New Roman"/>
                <w:color w:val="000000"/>
                <w:sz w:val="20"/>
              </w:rPr>
              <w:t> </w:t>
            </w:r>
            <w:r>
              <w:rPr>
                <w:rFonts w:ascii="Times New Roman" w:hAnsi="Times New Roman"/>
                <w:color w:val="000000"/>
                <w:sz w:val="18"/>
              </w:rPr>
              <w:t>shares authorized as of December 31, 2023 and December 31, 2022; 87,227,132</w:t>
            </w:r>
            <w:r>
              <w:rPr>
                <w:rFonts w:ascii="Times New Roman" w:hAnsi="Times New Roman"/>
                <w:color w:val="000000"/>
                <w:sz w:val="20"/>
              </w:rPr>
              <w:t> </w:t>
            </w:r>
            <w:r>
              <w:rPr>
                <w:rFonts w:ascii="Times New Roman" w:hAnsi="Times New Roman"/>
                <w:color w:val="000000"/>
                <w:sz w:val="18"/>
              </w:rPr>
              <w:t>and 73,458,176</w:t>
            </w:r>
            <w:r>
              <w:rPr>
                <w:rFonts w:ascii="Times New Roman" w:hAnsi="Times New Roman"/>
                <w:color w:val="000000"/>
                <w:sz w:val="20"/>
              </w:rPr>
              <w:t> </w:t>
            </w:r>
            <w:r>
              <w:rPr>
                <w:rFonts w:ascii="Times New Roman" w:hAnsi="Times New Roman"/>
                <w:color w:val="000000"/>
                <w:sz w:val="18"/>
              </w:rPr>
              <w:t>shares issued and outstanding as of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513" w:type="dxa"/>
            <w:tcBorders/>
            <w:shd w:fill="CFF0FC" w:val="clear"/>
            <w:vAlign w:val="center"/>
          </w:tcPr>
          <w:p>
            <w:pPr>
              <w:pStyle w:val="TableContents"/>
              <w:bidi w:val="0"/>
              <w:spacing w:before="0" w:after="283"/>
              <w:ind w:left="0" w:right="0" w:firstLine="200"/>
              <w:jc w:val="left"/>
              <w:rPr/>
            </w:pPr>
            <w:r>
              <w:rPr/>
              <w:t> </w:t>
            </w:r>
          </w:p>
        </w:tc>
      </w:tr>
      <w:tr>
        <w:trPr/>
        <w:tc>
          <w:tcPr>
            <w:tcW w:w="72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601,771</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72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gain (loss)</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5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(269,668</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20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332,039</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0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349,062</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8" w:name="statements_of_operations_consolidated"/>
      <w:bookmarkEnd w:id="28"/>
      <w:r>
        <w:rPr>
          <w:rFonts w:ascii="Times New Roman" w:hAnsi="Times New Roman"/>
          <w:b/>
          <w:color w:val="000000"/>
          <w:sz w:val="20"/>
        </w:rPr>
        <w:t>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03"/>
        <w:gridCol w:w="146"/>
        <w:gridCol w:w="211"/>
        <w:gridCol w:w="1036"/>
        <w:gridCol w:w="166"/>
        <w:gridCol w:w="146"/>
        <w:gridCol w:w="211"/>
        <w:gridCol w:w="1036"/>
        <w:gridCol w:w="166"/>
        <w:gridCol w:w="146"/>
        <w:gridCol w:w="211"/>
        <w:gridCol w:w="1036"/>
        <w:gridCol w:w="591"/>
      </w:tblGrid>
      <w:tr>
        <w:trPr/>
        <w:tc>
          <w:tcPr>
            <w:tcW w:w="5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shd w:fill="FFFFFF" w:val="clear"/>
            <w:vAlign w:val="center"/>
          </w:tcPr>
          <w:p>
            <w:pPr>
              <w:pStyle w:val="TableContents"/>
              <w:bidi w:val="0"/>
              <w:spacing w:before="0" w:after="283"/>
              <w:jc w:val="center"/>
              <w:rPr/>
            </w:pPr>
            <w:r>
              <w:rPr/>
              <w:t> </w:t>
            </w:r>
          </w:p>
        </w:tc>
      </w:tr>
      <w:tr>
        <w:trPr/>
        <w:tc>
          <w:tcPr>
            <w:tcW w:w="51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1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1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(72,743</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FFFFFF" w:val="clear"/>
            <w:vAlign w:val="center"/>
          </w:tcPr>
          <w:p>
            <w:pPr>
              <w:pStyle w:val="TableContents"/>
              <w:bidi w:val="0"/>
              <w:spacing w:before="0" w:after="283"/>
              <w:jc w:val="left"/>
              <w:rPr/>
            </w:pPr>
            <w:r>
              <w:rPr/>
              <w:t> </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(72,754</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convertible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of redeemable noncontrolling interest shares – deemed dividend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stockholders/members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in computing</w:t>
              <w:br/>
              <w:t>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79,773,004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65,466,773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36,960,569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statements_of_comploss_consolidated"/>
      <w:bookmarkEnd w:id="29"/>
      <w:r>
        <w:rPr>
          <w:rFonts w:ascii="Times New Roman" w:hAnsi="Times New Roman"/>
          <w:b/>
          <w:color w:val="000000"/>
          <w:sz w:val="20"/>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8823" w:type="dxa"/>
        <w:jc w:val="left"/>
        <w:tblInd w:w="0" w:type="dxa"/>
        <w:tblLayout w:type="fixed"/>
        <w:tblCellMar>
          <w:top w:w="28" w:type="dxa"/>
          <w:left w:w="28" w:type="dxa"/>
          <w:bottom w:w="28" w:type="dxa"/>
          <w:right w:w="28" w:type="dxa"/>
        </w:tblCellMar>
      </w:tblPr>
      <w:tblGrid>
        <w:gridCol w:w="4611"/>
        <w:gridCol w:w="146"/>
        <w:gridCol w:w="211"/>
        <w:gridCol w:w="841"/>
        <w:gridCol w:w="166"/>
        <w:gridCol w:w="146"/>
        <w:gridCol w:w="211"/>
        <w:gridCol w:w="841"/>
        <w:gridCol w:w="166"/>
        <w:gridCol w:w="146"/>
        <w:gridCol w:w="211"/>
        <w:gridCol w:w="736"/>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vAlign w:val="center"/>
          </w:tcPr>
          <w:p>
            <w:pPr>
              <w:pStyle w:val="TableContents"/>
              <w:bidi w:val="0"/>
              <w:spacing w:before="0" w:after="283"/>
              <w:jc w:val="center"/>
              <w:rPr/>
            </w:pPr>
            <w:r>
              <w:rPr/>
              <w:t> </w:t>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6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0" w:name="stockholders_equity_consolidated"/>
      <w:bookmarkEnd w:id="30"/>
      <w:r>
        <w:rPr>
          <w:rFonts w:ascii="Times New Roman" w:hAnsi="Times New Roman"/>
          <w:b/>
          <w:color w:val="000000"/>
          <w:sz w:val="16"/>
        </w:rPr>
        <w:t>Consolidated Statements of Redeemable Convertible Preferred Shares, Redeemable Noncontrolling Interest and</w:t>
        <w:br/>
        <w:t>Stockholders’ Equity/ Members’ (Deficit)</w:t>
      </w:r>
      <w:r>
        <w:rPr>
          <w:rFonts w:ascii="Times New Roman" w:hAnsi="Times New Roman"/>
          <w:color w:val="000000"/>
          <w:sz w:val="20"/>
        </w:rPr>
        <w:t xml:space="preserve"> </w:t>
      </w:r>
    </w:p>
    <w:p>
      <w:pPr>
        <w:pStyle w:val="TextBody"/>
        <w:bidi w:val="0"/>
        <w:jc w:val="center"/>
        <w:rPr>
          <w:rFonts w:ascii="Times New Roman" w:hAnsi="Times New Roman"/>
          <w:i/>
          <w:color w:val="000000"/>
          <w:sz w:val="16"/>
        </w:rPr>
      </w:pPr>
      <w:r>
        <w:rPr>
          <w:rFonts w:ascii="Times New Roman" w:hAnsi="Times New Roman"/>
          <w:i/>
          <w:color w:val="000000"/>
          <w:sz w:val="16"/>
        </w:rPr>
        <w:t>(in thousands, except share amounts)</w:t>
      </w:r>
    </w:p>
    <w:p>
      <w:pPr>
        <w:pStyle w:val="TextBody"/>
        <w:bidi w:val="0"/>
        <w:jc w:val="center"/>
        <w:rPr/>
      </w:pPr>
      <w:r>
        <w:rPr/>
        <w:t> </w:t>
      </w:r>
    </w:p>
    <w:tbl>
      <w:tblPr>
        <w:tblW w:w="14679" w:type="dxa"/>
        <w:jc w:val="left"/>
        <w:tblInd w:w="0" w:type="dxa"/>
        <w:tblLayout w:type="fixed"/>
        <w:tblCellMar>
          <w:top w:w="28" w:type="dxa"/>
          <w:left w:w="28" w:type="dxa"/>
          <w:bottom w:w="28" w:type="dxa"/>
          <w:right w:w="28" w:type="dxa"/>
        </w:tblCellMar>
      </w:tblPr>
      <w:tblGrid>
        <w:gridCol w:w="1006"/>
        <w:gridCol w:w="146"/>
        <w:gridCol w:w="146"/>
        <w:gridCol w:w="691"/>
        <w:gridCol w:w="151"/>
        <w:gridCol w:w="146"/>
        <w:gridCol w:w="166"/>
        <w:gridCol w:w="541"/>
        <w:gridCol w:w="151"/>
        <w:gridCol w:w="146"/>
        <w:gridCol w:w="246"/>
        <w:gridCol w:w="625"/>
        <w:gridCol w:w="151"/>
        <w:gridCol w:w="146"/>
        <w:gridCol w:w="146"/>
        <w:gridCol w:w="146"/>
        <w:gridCol w:w="646"/>
        <w:gridCol w:w="151"/>
        <w:gridCol w:w="146"/>
        <w:gridCol w:w="170"/>
        <w:gridCol w:w="356"/>
        <w:gridCol w:w="146"/>
        <w:gridCol w:w="146"/>
        <w:gridCol w:w="146"/>
        <w:gridCol w:w="631"/>
        <w:gridCol w:w="151"/>
        <w:gridCol w:w="146"/>
        <w:gridCol w:w="166"/>
        <w:gridCol w:w="421"/>
        <w:gridCol w:w="151"/>
        <w:gridCol w:w="146"/>
        <w:gridCol w:w="146"/>
        <w:gridCol w:w="631"/>
        <w:gridCol w:w="151"/>
        <w:gridCol w:w="146"/>
        <w:gridCol w:w="166"/>
        <w:gridCol w:w="421"/>
        <w:gridCol w:w="151"/>
        <w:gridCol w:w="146"/>
        <w:gridCol w:w="166"/>
        <w:gridCol w:w="496"/>
        <w:gridCol w:w="146"/>
        <w:gridCol w:w="146"/>
        <w:gridCol w:w="369"/>
        <w:gridCol w:w="547"/>
        <w:gridCol w:w="151"/>
        <w:gridCol w:w="146"/>
        <w:gridCol w:w="186"/>
        <w:gridCol w:w="610"/>
        <w:gridCol w:w="151"/>
        <w:gridCol w:w="146"/>
        <w:gridCol w:w="186"/>
        <w:gridCol w:w="610"/>
        <w:gridCol w:w="19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w:t>
              <w:br/>
              <w:t>Preferred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w:t>
              <w:br/>
              <w:t>Noncontrolling</w:t>
            </w:r>
          </w:p>
        </w:tc>
        <w:tc>
          <w:tcPr>
            <w:tcW w:w="151"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Incentive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Stockholders' </w:t>
              <w:br/>
              <w:t>Equity/Members'</w:t>
            </w:r>
          </w:p>
        </w:tc>
        <w:tc>
          <w:tcPr>
            <w:tcW w:w="196" w:type="dxa"/>
            <w:tcBorders/>
            <w:shd w:fill="FFFFFF" w:val="clear"/>
            <w:vAlign w:val="center"/>
          </w:tcPr>
          <w:p>
            <w:pPr>
              <w:pStyle w:val="TableContents"/>
              <w:bidi w:val="0"/>
              <w:spacing w:before="0" w:after="283"/>
              <w:jc w:val="center"/>
              <w:rPr/>
            </w:pPr>
            <w:r>
              <w:rPr/>
              <w:t> </w:t>
            </w:r>
          </w:p>
        </w:tc>
      </w:tr>
      <w:tr>
        <w:trPr/>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22,851,257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6,035,869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4,112,017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(56,842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(54,205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B redeemable convertible preferred shares for cash, net of issuance costs of $243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9,638,141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incentive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2,959,795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Cancellations of incentive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(265,596</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common, and incentive shares into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(32,489,398</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(221,721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43,958,557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(6,035,869</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(6,806,216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221,721</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noncontrolling interest to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6,470,382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3,593</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issued in IPO, net of issuance costs of $16,995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11,500,000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167,045</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pursuant to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23,353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13,321</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common stockholders/members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(70,645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(70,645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61,952,292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408,629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281,148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pursuant to follow-on offering, net of issuance costs of $10,864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11,500,000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161,610</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235,474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3,649</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release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79,441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pursuant to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97,413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Unvested common stock forfeiture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(406,444</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27,242</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common stockholders/members'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(142,181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0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73,458,176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601,771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(269,668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332,039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pursuant to follow-on offering, net of issuance costs of $10,827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13,269,231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161,409</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88,459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1,338</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317,245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pursuant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115,421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Unvested common stock forfeiture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39,341</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(188,917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(188,917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87,227,132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(458,585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346,540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1" w:name="cash_flows_consolidated"/>
      <w:bookmarkEnd w:id="31"/>
      <w:r>
        <w:rPr>
          <w:rFonts w:ascii="Times New Roman" w:hAnsi="Times New Roman"/>
          <w:b/>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28"/>
        <w:gridCol w:w="146"/>
        <w:gridCol w:w="211"/>
        <w:gridCol w:w="841"/>
        <w:gridCol w:w="166"/>
        <w:gridCol w:w="146"/>
        <w:gridCol w:w="211"/>
        <w:gridCol w:w="841"/>
        <w:gridCol w:w="166"/>
        <w:gridCol w:w="146"/>
        <w:gridCol w:w="211"/>
        <w:gridCol w:w="781"/>
        <w:gridCol w:w="811"/>
      </w:tblGrid>
      <w:tr>
        <w:trPr/>
        <w:tc>
          <w:tcPr>
            <w:tcW w:w="5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5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2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shd w:fill="FFFFFF" w:val="clear"/>
            <w:vAlign w:val="center"/>
          </w:tcPr>
          <w:p>
            <w:pPr>
              <w:pStyle w:val="TableContents"/>
              <w:bidi w:val="0"/>
              <w:spacing w:before="0" w:after="283"/>
              <w:jc w:val="center"/>
              <w:rPr/>
            </w:pPr>
            <w:r>
              <w:rPr/>
              <w:t> </w:t>
            </w:r>
          </w:p>
        </w:tc>
      </w:tr>
      <w:tr>
        <w:trPr/>
        <w:tc>
          <w:tcPr>
            <w:tcW w:w="55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8"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52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(188,917</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(142,181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(72,754</w:t>
            </w:r>
          </w:p>
        </w:tc>
        <w:tc>
          <w:tcPr>
            <w:tcW w:w="8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2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Acquired in-process research and development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5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13,321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Depreciation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5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Accretion of discounts on short-term investments,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(10,078</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(2,030</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Amortization of operating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5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55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(3,717</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52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Deposits and other long-term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5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1,542</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52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5,114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5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52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(146,853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(109,874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(48,539</w:t>
            </w:r>
          </w:p>
        </w:tc>
        <w:tc>
          <w:tcPr>
            <w:tcW w:w="8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28"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5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paid for purchase of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(443,838</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(394,206</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maturity of short-term investment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575,440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5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paid for purchase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paid for acquired in-process research and development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52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(255,074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(8,000</w:t>
            </w:r>
          </w:p>
        </w:tc>
        <w:tc>
          <w:tcPr>
            <w:tcW w:w="8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28"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5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Series B redeemable convertible preferred shares,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129,757</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common stock,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161,610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167,045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5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common stock upon stock option exercises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common stock upon ESPP purchase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2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297,120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(199,047</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240,581</w:t>
            </w:r>
          </w:p>
        </w:tc>
        <w:tc>
          <w:tcPr>
            <w:tcW w:w="811" w:type="dxa"/>
            <w:tcBorders/>
            <w:shd w:fill="FFFFFF" w:val="clear"/>
            <w:vAlign w:val="center"/>
          </w:tcPr>
          <w:p>
            <w:pPr>
              <w:pStyle w:val="TableContents"/>
              <w:bidi w:val="0"/>
              <w:spacing w:before="0" w:after="283"/>
              <w:jc w:val="left"/>
              <w:rPr/>
            </w:pPr>
            <w:r>
              <w:rPr/>
              <w:t> </w:t>
            </w:r>
          </w:p>
        </w:tc>
      </w:tr>
      <w:tr>
        <w:trPr/>
        <w:tc>
          <w:tcPr>
            <w:tcW w:w="552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284,309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43,728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284,309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8"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disclosures of noncash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Lease liability obtained in exchange for 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5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Exchange of 45,331,483 preferred, common, and incentive shares in connection with the Conversion (Note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224,892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5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Exchange of redeemable convertible noncontrolling interest to 6,470,382 shares of common stock (Note 11)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3,592</w:t>
            </w:r>
          </w:p>
        </w:tc>
        <w:tc>
          <w:tcPr>
            <w:tcW w:w="8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Day One Biopharmaceuticals, Inc.</w:t>
      </w:r>
    </w:p>
    <w:p>
      <w:pPr>
        <w:pStyle w:val="TextBody"/>
        <w:bidi w:val="0"/>
        <w:jc w:val="center"/>
        <w:rPr>
          <w:rFonts w:ascii="Times New Roman" w:hAnsi="Times New Roman"/>
          <w:b/>
          <w:color w:val="000000"/>
          <w:sz w:val="20"/>
        </w:rPr>
      </w:pPr>
      <w:bookmarkStart w:id="32" w:name="notes_to_consolidated_fs"/>
      <w:bookmarkEnd w:id="32"/>
      <w:r>
        <w:rPr>
          <w:rFonts w:ascii="Times New Roman" w:hAnsi="Times New Roman"/>
          <w:b/>
          <w:color w:val="000000"/>
          <w:sz w:val="20"/>
        </w:rPr>
        <w:t>Notes to the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Description of Business and Organization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Biopharmaceuticals, Inc., or the Company, is a clinical-stage biopharmaceutical company dedicated to developing and commercializing targeted therapies for people of all ages with life-threatening diseases.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26, 2021, the Company completed a conversion by filing a certificate of conversion with the Secretary of State of the State of Delaware and changed its name to Day One Biopharmaceuticals, Inc. Prior to December 31, 2021, the Company had two subsidiaries: DOT Therapeutics-2, Inc. (formerly Hero Therapeutics Inc. and Day One Biopharmaceuticals, Inc.), or DOT-2, incorporated in Delaware in November 2018, and DOT Therapeutics-1, Inc., or DOT-1, incorporated in Delaware in December 2019. DOT-2 and DOT-1 are collectively referred to herein as the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2021, the Company’s board of directors approved the merger, or the Merger, of the Subsidiaries with and into the Company, with the Company being the surviving corporation, effective December 31, 2021. For more information on the financial statement impact of the Merger, refer to the section titled “Basis of Presentation.” </w:t>
        <w:b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Initial Public Offering, Corporate Conversion and Exchange of Takeda’s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 2021, the Company closed its initial public offering, or the IPO, in which it sold an aggregate of 11,500,000 shares of common stock at a price to the public of $16.00 per share, which included 1,500,000 shares issued upon the full exercise by the underwriters of their option to purchase additional shares of common stock. The Company received aggregate net proceeds from the IPO of $167.0 million, after deducting underwriting discounts and commissions and offering costs, of $17.0 million. The common stock began trading on the Nasdaq Global Select Market on May 27, 2021 under the symbol “DAWN.”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contemplation of the IPO, on May 26, 2021, the Company completed a legal entity conversion, or the Conversion, which included the following: Day One Holding LLC (i) converted from a Delaware limited liability company to a Delaware corporation by filing a certificate of conversion with the Secretary of State of the State of Delaware and (ii) changed its name to Day One Biopharmaceuticals,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Conversion: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Series A redeemable convertible preferred shares of Day One Holding LLC received one share of Series A redeemable convertible preferred stock of the Company for each Series A redeemable convertible preferred share held immediately prior to the Conversion;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Series B redeemable convertible preferred shares of Day One Holding LLC received one share of Series B redeemable convertible preferred stock of the Company for each Series B redeemable convertible preferred share held immediately prior to the Conversion;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common shares of Day One Holding LLC received one share of common stock of the Company for each common share held immediately prior to the Conversion;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outstanding incentive share in Day One Holding LLC converted into a number of shares of common stock of the Company based upon a conversion price determined by the board of directors. The conversion price was determined as a difference between the IPO price of $16.00 per share and the participating threshold for each incentive share. The Company issued 5,433,290 common stock shares upon the conversion of incentive shares of Day One Holding LLC, of which 4,719,605 common stock shares continue to vest as per the original vesting terms of the incentive shares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and the Conversion, pursuant to the terms of the Millennium Stock Exchange Agreement and the Conversion, Millennium Pharmaceuticals, Inc. exchanged 9,857,143 shares of Series A redeemable convertible preferred stock of DOT-1, a subsidiary of Day One Holding LLC, for 6,470,382 shares of common stock of the Company, or the Exchange.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all property and assets of Day One Holding LLC and assumed all of the debts and obligations of Day One Holding LLC. Effective on the date of the Conversion, each member of the board of directors and each officer of Day One Holding LLC became a member of the board of directors and an officer of the Company. The Conversion was a tax-free reorganization, that included authorization to issue capital stock consisting of 500,000,000 shares of common stock, $0.0001 par value per share, and 10,000,000 shares of undesignated preferred stock, $0.0001 par value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closing of the IPO, 32,489,398 shares of redeemable convertible preferred stock issued by the Company in the Conversion converted into an equal number of shares of common stock. The Company also granted options for 4,418,874 shares of common stock at an exercise price of $16.00 per share upon the IPO date. </w:t>
      </w:r>
    </w:p>
    <w:p>
      <w:pPr>
        <w:pStyle w:val="TextBody"/>
        <w:bidi w:val="0"/>
        <w:spacing w:before="360" w:after="283"/>
        <w:jc w:val="left"/>
        <w:rPr>
          <w:rFonts w:ascii="Times New Roman" w:hAnsi="Times New Roman"/>
          <w:sz w:val="20"/>
        </w:rPr>
      </w:pPr>
      <w:r>
        <w:rPr>
          <w:rFonts w:ascii="Times New Roman" w:hAnsi="Times New Roman"/>
          <w:b/>
          <w:i/>
          <w:color w:val="000000"/>
          <w:sz w:val="20"/>
        </w:rPr>
        <w:t>Shares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23, 2021, the board of directors of Day One Holding LLC approved an amendment to its operating agreement to effect a forward split of the Company’s shares at a 2.325-for-1 ratio, or the Stock Split. The Stock Split became effective on May 23, 2021, upon approval by the members and execution of the amended LLC operating agreement. All issued and outstanding common shares, redeemable convertible preferred shares, incentive shares and per share amounts contained in these consolidated financial statements have been retroactively adjusted to reflect this Stock Split for all periods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common to early-stage companies in the biopharmaceutical industry including, but not limited to, uncertainties related to clinical effectiveness of the product, commercialization of products, regulatory approvals, dependence on key products, key personnel and third-party service providers such as contract research organizations (“CROs”), protection of intellectual property rights and the ability to make milestone, royalty or other payments due under any license, collaboration or supply agreements.</w:t>
        <w:b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accounting principles generally accepted in the United States of America, or U.S. GAAP, and include the accounts of the Company’s subsidiaries. All intercompany transactions and balances have been eliminated in consolidation.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December 31, 2021, the Company consolidated its Subsidiaries. Effective December 31, 2021, the Company's board of directors approved the Merger of the Subsidiaries with and into the Company, with the Company being the surviving corporation (refer to the section “Organization and Business”). Because the Merger did not constitute a change in the reporting entity, as defined in Accounting Standard Codification, or ASC, 250, </w:t>
      </w:r>
      <w:r>
        <w:rPr>
          <w:rFonts w:ascii="Times New Roman" w:hAnsi="Times New Roman"/>
          <w:i/>
          <w:color w:val="000000"/>
          <w:sz w:val="20"/>
        </w:rPr>
        <w:t>Accounting changes and error corrections</w:t>
      </w:r>
      <w:r>
        <w:rPr>
          <w:rFonts w:ascii="Times New Roman" w:hAnsi="Times New Roman"/>
          <w:color w:val="000000"/>
          <w:sz w:val="20"/>
        </w:rPr>
        <w:t>, the Company has reported the assets and liabilities transferred from its Subsidiaries at historical carrying value, prospectively from December 31, 2021.</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December 31, 2021, amounts presented in the financial statements are unconsolidated as the Company had no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the authoritative GAAP as found in ASC and Accounting Standards Updates, or ASU, of the Financial Accounting Standards Board, or FASB.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assesses and determines its ability to continue as a going concern in accordance with the provisions of ASC Topic 205-40, </w:t>
      </w:r>
      <w:r>
        <w:rPr>
          <w:rFonts w:ascii="Times New Roman" w:hAnsi="Times New Roman"/>
          <w:i/>
          <w:color w:val="000000"/>
          <w:sz w:val="20"/>
        </w:rPr>
        <w:t>Presentation of Financial Statements—Going Concern</w:t>
      </w:r>
      <w:r>
        <w:rPr>
          <w:rFonts w:ascii="Times New Roman" w:hAnsi="Times New Roman"/>
          <w:color w:val="000000"/>
          <w:sz w:val="20"/>
        </w:rPr>
        <w:t xml:space="preserve">, which requires the Company to evaluate whether there are conditions or events that raise substantial doubt about its ability to continue as a going concern within one year after the date that its annual and interim financial statements are issued. Certain additional financial statement disclosures are required if such conditions or events are identified. Determining the extent, if any, to which conditions or events raise substantial doubt about the Company’s ability to continue as a going concern, or the extent to which mitigating plans sufficiently alleviate any such substantial doubt, as well as whether or not liquidation is imminent, requires significant judgment by management.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liabilities and disclosure of contingent assets and liabilities at the date of the consolidated financial statements, and the reported amounts of expenses during the reporting period. Estimates and assumptions made in the accompanying consolidated financial statements include, but are not limited to,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that its chief executive officer is the chief operating decision maker, or CODM. The Company operates and manages the business as one reporting and one operating segment, which is the business of identifying and advancing targeted therapies for people of all ages with genomically defined cancers. The Company’s CODM reviews financial information on an aggregate basis for purposes of allocating resources and evaluating financial performance. All of the Company’s assets are located in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subject the Company to significant concentrations of credit risk consist primarily of cash, cash equivalents and short-term investments.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issuer, which limits its exposure. The Company has not experienced any losses on its cash, cash equivalents and 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pStyle w:val="TextBody"/>
        <w:bidi w:val="0"/>
        <w:spacing w:before="36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time of purchase to be cash equivalents. The Company’s cash equivalents consist of investments in money market funds, U.S. government agency securities, and U.S. treasury securities. Cash equivalents are recognized at amortized cost, which approximates fair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investments are comprised of U.S. treasury securities and U.S. government agency securities. Investments are classified at the time of purchase, based on management’s intent, as held-to-maturity, available-for-sale, or trading. All of the Company’s investments are classified as available-for-sale. Available-for-sale securities are carried at estimated fair value with unrealized holdings gains and losses (net of tax effects) on such investments reported in other comprehensive income as a separate component on the consolidated statements of comprehensive loss. Fair value is determined based on quoted market rates when observable or by utilizing data points that are observable, such as quoted prices, interest rates, and yield curves.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available-for-sale securities, the Company determines if any impairment is related to credit loss or non-credit loss. In making the assessment of whether a loss is from credit or other factors, management considers the extent to which fair value is less than amortized cost, any changes to the rating of the security by a rating agency and adverse conditions related to the security, among other factors. If this assessment indicates that a credit loss exists, the present value of cash flows expected to be collected from the security are compared to the amortized cost basis of the security. If the present value of cash flows is less than the amortized cost basis, a credit loss exists and an allowance is created, limited by the amount that the fair value is less than amortized cost basis. Subsequent activity related to the credit loss component in the form of write-offs or recoveries is recognized as part of the allowance for credit losses on available-for-sale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 such as unadjusted, quoted prices in active markets for identical assets or liabilities at the measurement date;</w:t>
        <w:br/>
        <w:b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br/>
        <w:br/>
        <w:t>Level 3—Unobservable inputs that are supported by little or no market activity and that are significant to the fair value of the assets or liabilities.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reflected in the accompanying consolidated balance sheets for cash equivalents, prepaid expenses, other current assets, accounts payable, accrued expenses and other current liabilities approximate their fair values, due to their short-term nature.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recorded at cost, less accumulated depreciation and amortization. Depreciation is recognized using the straight-line method over the estimated useful lives of the related assets ranging from three to five years, and leasehold improvements are amortized over the shorter of the lease term or the estimated useful life of the asset. As of December 31, 2023 and 2022, property and equipment, net was not material. Depreciation expense for each of the years ended December 31, 2023, 2022, and 2021 was immaterial.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jc w:val="left"/>
        <w:rPr>
          <w:rFonts w:ascii="Times New Roman" w:hAnsi="Times New Roman"/>
          <w:color w:val="000000"/>
          <w:sz w:val="20"/>
        </w:rPr>
      </w:pPr>
      <w:r>
        <w:rPr>
          <w:rFonts w:ascii="Times New Roman" w:hAnsi="Times New Roman"/>
          <w:color w:val="000000"/>
          <w:sz w:val="20"/>
        </w:rPr>
        <w:t>Contractual arrangements that meet the definition of a lease are classified as operating or finance leases and are recorded on the consolidated balance sheets as both a right-of-use asset, or ROU asset, and lease liability, calculated by discounting fixed lease payments over the lease term at the rate implicit in the lease or the Company’s incremental borrowing rate, or IBR. Lease ROU assets and lease obligations are recognized based on the present value of the future minimum lease payments over the lease term at commencement date. The Company currently does not have any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ROU assets are adjusted for (i) payments made at or before the commencement date, (ii) initial direct costs incurred, and (iii) tenant incentives under the lease. As the implicit rate for the operating leases are not determinable, the Company determines its IBR based on the information available at the applicable lease commencement date. The IBR is determined by using the rate of interest that the Company would pay to borrow on a collateralized basis an amount equal to the lease payments for a similar term and in a similar economic environment where the asset is located. The Company considers a lease term to be the noncancelable period that it has the right to use the underlying asset, including any periods where it is reasonably certain the Company will exercise any option to extend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costs for minimum lease payments for operating leases are recognized on a straight-line basis over the lease term. Lease liabilities are increased by interest and reduced by payments each period, and the ROU asset is amortized over the lease term. Variable lease costs are recorded when incurred. In measuring the ROU assets and lease liabilities, the Company has elected to combine lease and non-lease components. The Company excludes short-term leases, if any, having initial terms of 12 months or less at lease commencement as an accounting policy election, and recognizes rent expense on a straight-line basis over the lease term for these types of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its long-lived asset group, which consist of property and equipment and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been recognized in the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associated with acquiring technology and intellectual property licenses that have no alternative future uses; costs incurred under agreements with third-party contract research organizations, contract manufacturing organizations and other third parties that conduct clinical trials on the Company’s behalf; other costs associated with research and development programs, including laboratory materials and supplies; employee-related costs, including salaries, benefits and share-based compensation expense, for the Company’s research and development personnel; and facilities and other overhead expenses, including expenses for rent and facilities maintenance, and amortization. The Company expenses research and development costs as incurred. The Company is obligated to make upfront payments upon execution of certain research and development agreements. Advance payments, including nonrefundable amounts, for goods or services that will be used or rendered for future research and development activities are deferred. Such amounts are recognized as expense as the related goods are delivered or the related services are performed, or such time when the Company does not expect the goods to be delivered or services to be performed.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Accrued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accrued liabilities for estimated costs of our clinical trials conducted by third-party service providers. The Company records the estimated costs of the clinical trials as research and development expense based upon the estimated amount of services provided but not yet invoiced. The Company accrues for these costs based on factors such as estimates of the work completed and in accordance with terms established with third-party service providers under the service agreements. The Company makes judgments and estimates in determining the accrued liabilities balance in each reporting period. As actual costs become known, the Company adjusts its accrued liabilities. The Company has not experienced any material differences between accrued costs and actual costs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makes payments in connection with the clinical trials under contracts with contract research organizations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incurred in connection with filing and prosecuting patent applications are expensed as incurred due to the uncertainty of the recovery of the expenditure. Amounts incurred are classified as general and administrative expenses in the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Redeemable Convertible 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redeemable convertible preferred shares at their respective fair values on the dates of issuance, net of issuance costs. The redeemable convertible preferred shares were recorded outside of members’ deficit because while they were not mandatorily redeemable, in the event of a deemed liquidation event, which was outside of the Company’s control, the proceeds were distributed first to the redeemable convertible preferred stockholders in accordance with their liquidation preferences. The Company had not adjusted the carrying values of the redeemable convertible preferred shares to their liquidation preferences because it is uncertain whether or when a deemed liquidation event would occur that would obligate it to pay the liquidation preferences to holders of redeemable convertible preferred shares. Redeemable convertible preferred shares were all converted to common stock shares upon the closing of the IPO in May 2021.</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Redeemable noncontrolling interest represented the portion of equity (net assets) in DOT-1 that was neither directly nor indirectly attributable to the Company. Redeemable noncontrolling interest is classified as temporary equity because preferred shares issued to a holder contained certain redemption features that were not solely within the control of the Company. Redeemable noncontrolling interest was extinguished as part of the Exchange in May 2021.</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the IPO, the Company recognized share-based compensation expense based on the estimated fair value of all share-based awards, incentive shares and restricted share awards, on the date of grant using the option-pricing model. The option-pricing model requires the input of subjective assumptions, including the fair value of the underlying common shares, the expected term of the award, the expected volatility, risk-free interest rates, and the dividend yield. In determining the fair value of common shares, the methodologies used to estimate the enterprise value were performed using methodologies, approaches, and assumptions consistent with the American Institute of Certified Public Accountants Accounting and Valuation Guide,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 xml:space="preserve">. The participation threshold amounts for the profit interest in the LLC were determined by the board of directors, at the time of grant.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was based on a peer group in the industry in which the Company did business consistent with the expected time to liquidity. The dividend yield was set at zero as the underlying security did not and was not expected to pay a dividend.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closing of the IPO, the Company uses the Black-Scholes valuation model to estimate the fair value of options granted to employees and non-employees, intrinsic value to estimate the fair value of restricted stock award, and fair value of the Company’s common stock at the grant date for restricted stock units.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Black-Scholes option-pricing model, used to estimate fair value of stock options awards, requires the use of the following assumptions: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Fair Value of Common Stock</w:t>
      </w:r>
      <w:r>
        <w:rPr>
          <w:rFonts w:ascii="Times New Roman" w:hAnsi="Times New Roman"/>
          <w:color w:val="000000"/>
          <w:sz w:val="20"/>
        </w:rPr>
        <w:t xml:space="preserve">—The Company’s closing price on the Nasdaq market at the grant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—The expected term represents the period that the share-based awards are expected to be outstanding. The expected term for stock options is calculated using the simplified method, as the weighted-average vesting term of the award and the award’s contract period (generally 10 years). The Company utilizes this method due to lack of historical exercise data and the plain-vanilla nature of the Company’s service condition share-based awards. For the Company's performance condition stock option awards, the Company calculated the expected term by taking into consideration the options' contractual life, the timing of when milestones are expected to be achieved, and the expected exercise period by a holder from the vesting date until the contractual term (generally 10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—Since the Company does not have sufficient trading history for its common stock, the expected volatility is estimated based on the average historical volatilities of common stock of comparable publicly traded biopharmaceutical companies over a period equal to the expected term of the stock option grants. The comparable biopharmaceutical companies are chosen based on their size, stage in the life cycle or area of specialty. The Company will continue to apply this process until sufficient historical information regarding the volatility of the common stock price becomes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—The risk-free interest rate is based on the U.S. Treasury yield in effect at the time of grant for zero-coupon U.S. Treasury notes with maturities approximately equal to the expected term of the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—The Company has never paid dividends on the common stock and has no plans to pay dividends on its common stock. Therefore, the expected dividend yield use is zero.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straight-line attribution method for recognizing share-based compensation expense for awards with service condition. The Company recognizes share-based compensation expense for awards with performance conditions when it is probable that the condition will be met, and the award will vest. The Company recognizes forfeitures by reducing the expense in the same period the forfeitures occur. The Company classifies share-based compensation expense in the consolidated statements of operations in the same manner in which the award recipients’ payroll costs are classified or in which the award recipients’ service payments are classified.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IPO, the Company was treated as a partnership for tax purposes under the Internal Revenue Code with two corporate subsidiaries. Prior to the Conversion, the members of the Company, formerly Day One Biopharmaceuticals Holding Company, LLC, were taxed directly on their respective ownership interests and activity in Day One Biopharmaceuticals Holding Company, LLC. The Company’s consolidated corporate subsidiaries accounted for income taxes under the asset and liability method, as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closing of the IPO and the Conversion, the Company’s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 and net operating loss and tax credit carryforwards. Deferred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 Deferred tax assets are reduced by a valuation allowance if it is more likely than not that some portion or all of the deferred tax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uncertain income tax positions are recognized at the largest amount that is more likely than not to be sustained upon audit by the relevant taxing authority. Changes in recognition or measurement are reflected in the period in which judgment occurs. The Company’s policy is to recognize interest and penalties related to the underpayment of income taxes as a component of the provision for income taxes. To date, there have been no interest or penalties recorded in relation to unrecognized tax benefits.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calculates basic and diluted net loss per share in conformity with the two-class method required for participating securities. Under the two-class method, basic net loss per share is computed by dividing the net loss by the weighted average number of common shares outstanding during the period, without consideration of potential dilutive securities. Diluted net loss per share is computed by dividing the net loss, after adjusting it for loss attributable to redeemable noncontrolling interest, in any, by the sum of the weighted average number of common stock shares outstanding during the period plus the dilutive effects of potentially dilutive securities outstanding during the period. Potentially dilutive securities include incentive shares, unvested restricted common shares and redeemable convertible preferred shares, prior to the IPO. Potentially dilutive securities include unvested restricted stock awards, unvested restricted stock units and stock options, after the IPO. For all periods presented, diluted net loss per share is the same as basic net loss per share since the effect of including potential common stock shares is anti-dilutive and incentive shares participation thresholds were not met.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represents all changes in stockholders' equity except those resulting from and distributions to stockholders. The Company’s unrealized gains and losses on available-for-sale securities represent the only component of other comprehensive loss that are excluded from the reported net loss and that are presented in the consolidated statements of comprehensive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No. 2023-07, Segment Reporting (Topic 280) – </w:t>
      </w:r>
      <w:r>
        <w:rPr>
          <w:rFonts w:ascii="Times New Roman" w:hAnsi="Times New Roman"/>
          <w:i/>
          <w:color w:val="000000"/>
          <w:sz w:val="20"/>
        </w:rPr>
        <w:t>Improvements to Reportable Segment Disclosures</w:t>
      </w:r>
      <w:r>
        <w:rPr>
          <w:rFonts w:ascii="Times New Roman" w:hAnsi="Times New Roman"/>
          <w:color w:val="000000"/>
          <w:sz w:val="20"/>
        </w:rPr>
        <w:t xml:space="preserve">, which requires incremental disclosure of segment information on an interim and annual basis. This ASU is effective for public entities for fiscal years beginning after December 15, 2023,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periods within fiscal years beginning after December 15, 2024. Retrospective application to all prior periods presented in the financial statements is required for public entities. The Company is currently evaluating the effect of this update on its financial statement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Income Taxes (Topic 740) – </w:t>
      </w:r>
      <w:r>
        <w:rPr>
          <w:rFonts w:ascii="Times New Roman" w:hAnsi="Times New Roman"/>
          <w:i/>
          <w:color w:val="000000"/>
          <w:sz w:val="20"/>
        </w:rPr>
        <w:t>Improvements to Income Tax Disclosures</w:t>
      </w:r>
      <w:r>
        <w:rPr>
          <w:rFonts w:ascii="Times New Roman" w:hAnsi="Times New Roman"/>
          <w:color w:val="000000"/>
          <w:sz w:val="20"/>
        </w:rPr>
        <w:t xml:space="preserve">,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is currently evaluating the effect of this update on its financial statement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Recurring Fair Value Measurements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Company’s financial instruments as of December 31, 2023 and 2022, which are measured at fair value on a recurring basis by level within the fair value hierarchy (in thousands):</w:t>
      </w:r>
    </w:p>
    <w:tbl>
      <w:tblPr>
        <w:tblW w:w="7825"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246,208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826"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2"/>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18,765</w:t>
            </w:r>
          </w:p>
        </w:tc>
        <w:tc>
          <w:tcPr>
            <w:tcW w:w="292" w:type="dxa"/>
            <w:tcBorders/>
            <w:shd w:fill="CFF0FC" w:val="clear"/>
            <w:vAlign w:val="center"/>
          </w:tcPr>
          <w:p>
            <w:pPr>
              <w:pStyle w:val="TableContents"/>
              <w:bidi w:val="0"/>
              <w:spacing w:before="0" w:after="283"/>
              <w:ind w:left="0" w:right="0" w:firstLine="101"/>
              <w:jc w:val="left"/>
              <w:rPr/>
            </w:pPr>
            <w:r>
              <w:rPr/>
              <w:t> </w:t>
            </w:r>
          </w:p>
        </w:tc>
      </w:tr>
      <w:tr>
        <w:trPr/>
        <w:tc>
          <w:tcPr>
            <w:tcW w:w="3011" w:type="dxa"/>
            <w:tcBorders/>
            <w:shd w:fill="FFFFFF" w:val="clear"/>
            <w:vAlign w:val="center"/>
          </w:tcPr>
          <w:p>
            <w:pPr>
              <w:pStyle w:val="TableContents"/>
              <w:bidi w:val="0"/>
              <w:spacing w:before="0" w:after="283"/>
              <w:ind w:left="101" w:right="0" w:firstLine="101"/>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145,785</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136,022</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300,572</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money market funds are classified as Level 1 because they are measured using observable inputs from active markets for identical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assets or liabilities classified as Level 3 as of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between Level 1, Level 2 or Level 3 categories during the periods presented.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summarize the estimated fair value of the Company's cash equivalents, available-for-sale securities classified as short-term investments, and associated unrealized gains and losses (in thousands):</w:t>
      </w:r>
    </w:p>
    <w:tbl>
      <w:tblPr>
        <w:tblW w:w="994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522"/>
        <w:gridCol w:w="858"/>
        <w:gridCol w:w="14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5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135,563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135,563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996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420"/>
        <w:gridCol w:w="960"/>
        <w:gridCol w:w="16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5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145,785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maturities of our cash equivalents and available-for-sale securities (in thousands):</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reviews the changes to the rating of its securities and monitors the surrounding economic conditions to assess the risk of expected credit losses. As of December 31, 2023 and 2022, there were no securities that were in an unrealized loss position for more than 12 months. As of December 31, 2023 and 2022, the unrealized losses, if any, on the Company’s investments in U.S. treasury securities and U.S. government agency securities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Balance Sheet Items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tbl>
      <w:tblPr>
        <w:tblW w:w="6750" w:type="dxa"/>
        <w:jc w:val="left"/>
        <w:tblInd w:w="0" w:type="dxa"/>
        <w:tblLayout w:type="fixed"/>
        <w:tblCellMar>
          <w:top w:w="28" w:type="dxa"/>
          <w:left w:w="28" w:type="dxa"/>
          <w:bottom w:w="28" w:type="dxa"/>
          <w:right w:w="28" w:type="dxa"/>
        </w:tblCellMar>
      </w:tblPr>
      <w:tblGrid>
        <w:gridCol w:w="3931"/>
        <w:gridCol w:w="146"/>
        <w:gridCol w:w="294"/>
        <w:gridCol w:w="801"/>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080" w:type="dxa"/>
        <w:jc w:val="left"/>
        <w:tblInd w:w="0" w:type="dxa"/>
        <w:tblLayout w:type="fixed"/>
        <w:tblCellMar>
          <w:top w:w="28" w:type="dxa"/>
          <w:left w:w="28" w:type="dxa"/>
          <w:bottom w:w="28" w:type="dxa"/>
          <w:right w:w="28" w:type="dxa"/>
        </w:tblCellMar>
      </w:tblPr>
      <w:tblGrid>
        <w:gridCol w:w="4261"/>
        <w:gridCol w:w="146"/>
        <w:gridCol w:w="260"/>
        <w:gridCol w:w="835"/>
        <w:gridCol w:w="146"/>
        <w:gridCol w:w="146"/>
        <w:gridCol w:w="260"/>
        <w:gridCol w:w="835"/>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related expenses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 expenses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Significant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16, 2019, DOT Therapeutics-1, Inc., or DOT-1, the Company's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that provides a new approach for treating patients with primary brain tumors or brain metastases of solid tumors. DOT-1 also received clinical inventory supplies to use in the Company's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the Company's common stock upon the effectiveness of the Conversion, on May 26,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the Company ceases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DOT-1 was merged with and into the Company, with the Company being the surviving corporation and assuming DOT-1’s obligations under the Takeda Assets Purchase Agreement.</w:t>
      </w:r>
    </w:p>
    <w:p>
      <w:pPr>
        <w:pStyle w:val="TextBody"/>
        <w:bidi w:val="0"/>
        <w:spacing w:before="120" w:after="283"/>
        <w:jc w:val="left"/>
        <w:rPr>
          <w:rFonts w:ascii="Times New Roman" w:hAnsi="Times New Roman"/>
          <w:sz w:val="20"/>
        </w:rPr>
      </w:pPr>
      <w:r>
        <w:rPr>
          <w:rFonts w:ascii="Times New Roman" w:hAnsi="Times New Roman"/>
          <w:b/>
          <w:i/>
          <w:color w:val="000000"/>
          <w:sz w:val="20"/>
        </w:rPr>
        <w:t>Viracta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DOT-1 paid $2.0 million upfront in cash to Viracta, which was recorded as research and development expenses as the technology does not have an alternative future use. As of December 31, 2023, the Company could be required to make additional milestone payments of up to $49.0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DOT-1 was merged with and into the Company, with the Company being the surviving corporation and assuming DOT-1’s obligations under Viracta License Agreement.</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DOT Therapeutics-2, Inc., or DOT-2, the Company's subsidiary, entered into a license agreement, or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MRKDG License Agreement, the Company has obligations to use commercially reasonable efforts to develop and commercialize at least two licensed products in at least two specified major market countries by the year 2029.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As of December 31, 2023, the Company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December 31, 2021, DOT-2 was merged with and into the Company, with the Company being the surviving corporation and assuming DOT-2’s obligations under the MRKDG License Agreement.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Vaccinia Related Kinase 1, or VRK1.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paid $3.0 million upfront in cash to Sprint, which was recorded as research and development expenses as the technology does not have an alternative future use. As of December 31, 2023, the Company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pStyle w:val="TextBody"/>
        <w:bidi w:val="0"/>
        <w:spacing w:before="36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 lease agreement for its corporate office facility in South San Francisco, California in March 2020. Such agreement was determined to be a lease, since the right to control the use of the identified asset was conveyed to the Company for a period of time in exchange for consideration. The Company can extend the lease term for an additional three years at market rates upon the notice of extension. The Company is obligated to pay monthly rent expense and its pro rata share of utilities, common area maintenance expenses, and property taxes. The landlord also provided an allowance of $10,000 for tenant improvements. The Company concluded that it is an operating lease. Common area expenses are a non-lease component and a variable consideration and included in operating expenses as incurred. The extension period has not been included in the determination of the Right of Use, or ROU, asset or the lease liability for operating leases as the Company concluded that it is not reasonably certain that it would exercise this option. In October 2022, the Company terminated this lease agreement prior to its scheduled expiration in January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December 31, 2023, the weighted-average remaining lease term and weighted-average discount rate were 0.9 years and 9.0%,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lease does not require any contingent rental payments, impose financial restrictions, or contain any residual value guarantees.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of right-of-use assets is recognized on a straight-line basis over the applicable lease term. Lease expense was $0.4 million, $0.5 million and $0.2 million for the years ended December 31, 2023, 2022 and 2021,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respectively. Cash paid for amounts included in the measurement of operating lease liabilities was $0.5 million, $0.4 million and $0.2 million for the years ended December 31, 2023, 2022 and 2021, respectively. Variable payments expensed during the years ended December 31, 2023, 2022, and 2021 were immaterial.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2023, the future lease obligations were as follows (in thousands):</w:t>
      </w:r>
    </w:p>
    <w:tbl>
      <w:tblPr>
        <w:tblW w:w="5582" w:type="dxa"/>
        <w:jc w:val="left"/>
        <w:tblInd w:w="0" w:type="dxa"/>
        <w:tblLayout w:type="fixed"/>
        <w:tblCellMar>
          <w:top w:w="28" w:type="dxa"/>
          <w:left w:w="28" w:type="dxa"/>
          <w:bottom w:w="28" w:type="dxa"/>
          <w:right w:w="28" w:type="dxa"/>
        </w:tblCellMar>
      </w:tblPr>
      <w:tblGrid>
        <w:gridCol w:w="4111"/>
        <w:gridCol w:w="384"/>
        <w:gridCol w:w="87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211" w:type="dxa"/>
            <w:tcBorders/>
            <w:shd w:fill="FFFFFF" w:val="cle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38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38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December 31, 2023 and 2022, there were no amounts accrued related to termination and cancellation charges as these are not probable.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the license agreements, as disclosed in Note 5, pursuant to which the Company is required to pay milestones contingent upon meeting specific events. The first milestone of $3.0 million, related to the Viracta License Agreement, was achieved and recorded to research and development expense during the year ended December 31, 2021. The first milestone of $2.5 million, related to the MRKDG License Agreement, was achieved and recorded to research and development during the year ended December 31, 2022. The second milestone of $5.0 million, related to the Viracta License Agreement, was achieved and recorded to research and development expense during the year ended December 31, 2023. The Company may be required to pay royalties on sales of products developed under these agreements. All products are in development as of December 31, 2023 and no such royalties were due.</w:t>
      </w:r>
    </w:p>
    <w:p>
      <w:pPr>
        <w:pStyle w:val="TextBody"/>
        <w:bidi w:val="0"/>
        <w:spacing w:before="12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support product needs for tovorafenib, the Company has entered into a manufacturing and supply agreement with Quotient Sciences - Philadelphia, LLC in July 2023 that requires the Company to meet minimum purchase obligations on an annual basis. The amount of future minimum purchase obligations under the manufacturing and supply agreement over the next five years is approximately $17.2 million, in aggregate, as of December 31, 2023. For the year ended December 31, 2023, the Company has not yet made any purchases under the purchase obligation.</w:t>
      </w:r>
    </w:p>
    <w:p>
      <w:pPr>
        <w:pStyle w:val="TextBody"/>
        <w:bidi w:val="0"/>
        <w:spacing w:before="12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 </w:t>
      </w:r>
    </w:p>
    <w:p>
      <w:pPr>
        <w:pStyle w:val="TextBody"/>
        <w:bidi w:val="0"/>
        <w:spacing w:before="12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capacities. There have been no claims to date, and the Company believes the fair value of these indemnification agreements is minimal. Accordingly, the Company had not recorded any liabilities for these agreements as of December 31, 2023 and 2022.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Redeemable Convertible 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 2021, the Company completed its IPO, selling an aggregate of 11,500,000 shares of common stock. All outstanding redeemable convertible preferred shares were converted into 32,489,398 shares of common stock upon the completion of the IPO. As of December 31, 2023, the Company did not have any outstanding shares of redeemable convertible 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issued 9,638,141 Series B redeemable convertible preferred shares at a price of $13.488 per share for gross cash proceeds of $130.0 million. The Company incurred issuance costs of $243,000.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its certificate of incorporation, the Company is authorized to issue 500.0 million shares of common stock at a par value of $0.0001 per share. As of December 31, 2023, 87,227,132 shares of common stock were issued and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the Company entered into common shares purchase agreements with two founders of the Company. The individuals purchased a total of 2,790,000 common shares for a total purchase price of $300. Shares vested monthly for two and four years, respectively. Vesting for a certain number of shares was accelerated upon the Company’s closing of its Series A redeemable convertible preferred share financing. The Company also had an option for a period of ninety days after the individual’s employment is terminated either voluntarily or involuntarily to repurchase the unvested common shares at a price that is the lower of the original price per share paid by the founder for such stock or the fair value as of the date of such repurchase. The founders’ shares were converted to common stock in the Conversion. As of December 31, 2023, all founders’ common stock were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reserved shares of common stock for future issuances as follows:</w:t>
      </w:r>
    </w:p>
    <w:tbl>
      <w:tblPr>
        <w:tblW w:w="5450" w:type="dxa"/>
        <w:jc w:val="left"/>
        <w:tblInd w:w="0" w:type="dxa"/>
        <w:tblLayout w:type="fixed"/>
        <w:tblCellMar>
          <w:top w:w="28" w:type="dxa"/>
          <w:left w:w="28" w:type="dxa"/>
          <w:bottom w:w="28" w:type="dxa"/>
          <w:right w:w="28" w:type="dxa"/>
        </w:tblCellMar>
      </w:tblPr>
      <w:tblGrid>
        <w:gridCol w:w="3931"/>
        <w:gridCol w:w="146"/>
        <w:gridCol w:w="146"/>
        <w:gridCol w:w="103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10,211,758</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2,603,444</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ESPP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1,720,916</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1,031,545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15,567,663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June 2023 Follow-On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the Company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an equity distribution agreement, or the Equity Distribution Agreement, with Piper Sandler &amp; Co. and JonesTrading Institutional Services LLC, as sales agents, relating to the issuance and sale of shares of the Company’s common stock for an aggregate offering price of up to $250.0 million under an at-the-market offering program, or the ATM. The Company has no obligation to sell any shares and could at any time suspend solicitations and offers under the ATM. No shares of the Company’s common stock have been sold under the ATM as of December 31, 2023.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June 2022 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2022, the Company completed a follow-on offering and issued and sold 11,500,000 shares of common stock (including the exercise by the underwriters of their option to purchase an additional 1,500,000 shares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at a price to the public of $15.00 per share for net proceeds of approximately $161.6 million, after deducting underwriting discounts, commissions, and offering costs.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recorded in the accompanying consolidated statements of operations is as follows (in thousands):</w:t>
      </w:r>
    </w:p>
    <w:tbl>
      <w:tblPr>
        <w:tblW w:w="7018" w:type="dxa"/>
        <w:jc w:val="left"/>
        <w:tblInd w:w="0" w:type="dxa"/>
        <w:tblLayout w:type="fixed"/>
        <w:tblCellMar>
          <w:top w:w="28" w:type="dxa"/>
          <w:left w:w="28" w:type="dxa"/>
          <w:bottom w:w="28" w:type="dxa"/>
          <w:right w:w="28" w:type="dxa"/>
        </w:tblCellMar>
      </w:tblPr>
      <w:tblGrid>
        <w:gridCol w:w="3436"/>
        <w:gridCol w:w="146"/>
        <w:gridCol w:w="211"/>
        <w:gridCol w:w="676"/>
        <w:gridCol w:w="146"/>
        <w:gridCol w:w="146"/>
        <w:gridCol w:w="211"/>
        <w:gridCol w:w="676"/>
        <w:gridCol w:w="146"/>
        <w:gridCol w:w="146"/>
        <w:gridCol w:w="211"/>
        <w:gridCol w:w="67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shd w:fill="FFFFFF" w:val="cle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w:t>
            </w:r>
          </w:p>
        </w:tc>
        <w:tc>
          <w:tcPr>
            <w:tcW w:w="19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there was $78.9 million of unrecognized compensation cost related to unvested restricted stock, unvested restricted stock units, unvested stock options, and shares subject to purchase under the ESPP that is expected to be recognized over a weighted-average period of approximately 2.5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there was $1.3 million of unrecognized compensation cost related to unvested performance stock options, or PSOs, and performance stock units, or PSUs. The Company will recognize the PSO and PSU expense through the expected vesting dates when the achievement of the performance-based metrics is probable.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Equity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Company's board of directors approved the 2022 Equity Inducement Plan, or the 2022 Plan. The 2022 Plan provides for the grant of non-statutory stock options and restricted stock units. The number of shares of common stock reserved for issuance under the 2022 Plan is 1,000,000 shares.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summary of stock option activity under the 2022 Plan during the year ended December 31, 2023.</w:t>
      </w:r>
    </w:p>
    <w:tbl>
      <w:tblPr>
        <w:tblW w:w="10205" w:type="dxa"/>
        <w:jc w:val="left"/>
        <w:tblInd w:w="0" w:type="dxa"/>
        <w:tblLayout w:type="fixed"/>
        <w:tblCellMar>
          <w:top w:w="28" w:type="dxa"/>
          <w:left w:w="28" w:type="dxa"/>
          <w:bottom w:w="28" w:type="dxa"/>
          <w:right w:w="28" w:type="dxa"/>
        </w:tblCellMar>
      </w:tblPr>
      <w:tblGrid>
        <w:gridCol w:w="3974"/>
        <w:gridCol w:w="146"/>
        <w:gridCol w:w="146"/>
        <w:gridCol w:w="781"/>
        <w:gridCol w:w="146"/>
        <w:gridCol w:w="146"/>
        <w:gridCol w:w="396"/>
        <w:gridCol w:w="1075"/>
        <w:gridCol w:w="146"/>
        <w:gridCol w:w="146"/>
        <w:gridCol w:w="423"/>
        <w:gridCol w:w="1048"/>
        <w:gridCol w:w="146"/>
        <w:gridCol w:w="146"/>
        <w:gridCol w:w="433"/>
        <w:gridCol w:w="714"/>
        <w:gridCol w:w="193"/>
      </w:tblGrid>
      <w:tr>
        <w:trPr/>
        <w:tc>
          <w:tcPr>
            <w:tcW w:w="3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9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Remaining </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br/>
              <w:t>(in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39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39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39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estimated fair value of the underlying common stock and the exercise price of outstanding, in-the-money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fair value of options that vested during the year ended December 31, 2023 was $1.4 million. There were no options vested during the years ended December 31, 2022 and 2021. There were no options granted during the years ended December 31, 2023 and 2021. The weighted-average grant date fair value of options granted during the year ended December 31, 2022 was $15.08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share-based compensation for stock options as of December 31, 2023 was $3.3 million, which is expected to be recognized over a weighted-average period of 2.8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used the Black-Scholes option pricing model to estimate the fair value of stock options awards granted with the following assumptions:</w:t>
      </w:r>
    </w:p>
    <w:tbl>
      <w:tblPr>
        <w:tblW w:w="4282" w:type="dxa"/>
        <w:jc w:val="left"/>
        <w:tblInd w:w="0" w:type="dxa"/>
        <w:tblLayout w:type="fixed"/>
        <w:tblCellMar>
          <w:top w:w="28" w:type="dxa"/>
          <w:left w:w="28" w:type="dxa"/>
          <w:bottom w:w="28" w:type="dxa"/>
          <w:right w:w="28" w:type="dxa"/>
        </w:tblCellMar>
      </w:tblPr>
      <w:tblGrid>
        <w:gridCol w:w="2131"/>
        <w:gridCol w:w="146"/>
        <w:gridCol w:w="466"/>
        <w:gridCol w:w="146"/>
        <w:gridCol w:w="736"/>
        <w:gridCol w:w="146"/>
        <w:gridCol w:w="51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6.08</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color w:val="000000"/>
              </w:rPr>
            </w:pPr>
            <w:r>
              <w:rPr>
                <w:color w:val="00000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center"/>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79.53%</w:t>
            </w:r>
          </w:p>
        </w:tc>
        <w:tc>
          <w:tcPr>
            <w:tcW w:w="146" w:type="dxa"/>
            <w:tcBorders/>
            <w:shd w:fill="CFF0FC" w:val="clear"/>
            <w:vAlign w:val="center"/>
          </w:tcPr>
          <w:p>
            <w:pPr>
              <w:pStyle w:val="TableContents"/>
              <w:bidi w:val="0"/>
              <w:spacing w:before="0" w:after="283"/>
              <w:jc w:val="center"/>
              <w:rPr/>
            </w:pPr>
            <w:r>
              <w:rPr/>
              <w:t> </w:t>
            </w:r>
          </w:p>
        </w:tc>
        <w:tc>
          <w:tcPr>
            <w:tcW w:w="511" w:type="dxa"/>
            <w:tcBorders/>
            <w:shd w:fill="CFF0FC" w:val="clear"/>
            <w:vAlign w:val="center"/>
          </w:tcPr>
          <w:p>
            <w:pPr>
              <w:pStyle w:val="TableContents"/>
              <w:bidi w:val="0"/>
              <w:spacing w:before="0" w:after="283"/>
              <w:jc w:val="center"/>
              <w:rPr>
                <w:color w:val="000000"/>
              </w:rPr>
            </w:pPr>
            <w:r>
              <w:rPr>
                <w:color w:val="00000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color w:val="000000"/>
              </w:rPr>
            </w:pPr>
            <w:r>
              <w:rPr>
                <w:color w:val="00000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center"/>
              <w:rPr/>
            </w:pPr>
            <w:r>
              <w:rPr/>
              <w:t> </w:t>
            </w:r>
          </w:p>
        </w:tc>
        <w:tc>
          <w:tcPr>
            <w:tcW w:w="73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center"/>
              <w:rPr/>
            </w:pPr>
            <w:r>
              <w:rPr/>
              <w:t> </w:t>
            </w:r>
          </w:p>
        </w:tc>
        <w:tc>
          <w:tcPr>
            <w:tcW w:w="511" w:type="dxa"/>
            <w:tcBorders/>
            <w:shd w:fill="CFF0FC" w:val="clear"/>
            <w:vAlign w:val="center"/>
          </w:tcPr>
          <w:p>
            <w:pPr>
              <w:pStyle w:val="TableContents"/>
              <w:bidi w:val="0"/>
              <w:spacing w:before="0" w:after="283"/>
              <w:jc w:val="center"/>
              <w:rPr>
                <w:color w:val="000000"/>
              </w:rPr>
            </w:pPr>
            <w:r>
              <w:rPr>
                <w:color w:val="00000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summary of restricted stock units activity under the 2022 Plan during the year ended December 31, 2023:</w:t>
      </w:r>
    </w:p>
    <w:tbl>
      <w:tblPr>
        <w:tblW w:w="7730" w:type="dxa"/>
        <w:jc w:val="left"/>
        <w:tblInd w:w="0" w:type="dxa"/>
        <w:tblLayout w:type="fixed"/>
        <w:tblCellMar>
          <w:top w:w="28" w:type="dxa"/>
          <w:left w:w="28" w:type="dxa"/>
          <w:bottom w:w="28" w:type="dxa"/>
          <w:right w:w="28" w:type="dxa"/>
        </w:tblCellMar>
      </w:tblPr>
      <w:tblGrid>
        <w:gridCol w:w="4426"/>
        <w:gridCol w:w="146"/>
        <w:gridCol w:w="146"/>
        <w:gridCol w:w="739"/>
        <w:gridCol w:w="166"/>
        <w:gridCol w:w="146"/>
        <w:gridCol w:w="476"/>
        <w:gridCol w:w="1294"/>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Unrecognized share-based compensation for restricted stock units as of December 31, 2023 was $0.7 million, which is expected to be recognized over a weighted-average period of 2.9 years.</w:t>
      </w:r>
    </w:p>
    <w:p>
      <w:pPr>
        <w:pStyle w:val="TextBody"/>
        <w:bidi w:val="0"/>
        <w:spacing w:before="120" w:after="283"/>
        <w:jc w:val="left"/>
        <w:rPr>
          <w:rFonts w:ascii="Times New Roman" w:hAnsi="Times New Roman"/>
          <w:sz w:val="20"/>
        </w:rPr>
      </w:pPr>
      <w:r>
        <w:rPr>
          <w:rFonts w:ascii="Times New Roman" w:hAnsi="Times New Roman"/>
          <w:b/>
          <w:i/>
          <w:color w:val="000000"/>
          <w:sz w:val="20"/>
        </w:rPr>
        <w:t>2021 Equity Incentive Plan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Immediately prior to consummation of the IPO, all the outstanding incentive shares were converted into common stock awards. The following table provides a summary of the unvested common stock awards activity during the year ended December 31, 2023.</w:t>
      </w:r>
    </w:p>
    <w:tbl>
      <w:tblPr>
        <w:tblW w:w="7652" w:type="dxa"/>
        <w:jc w:val="left"/>
        <w:tblInd w:w="0" w:type="dxa"/>
        <w:tblLayout w:type="fixed"/>
        <w:tblCellMar>
          <w:top w:w="28" w:type="dxa"/>
          <w:left w:w="28" w:type="dxa"/>
          <w:bottom w:w="28" w:type="dxa"/>
          <w:right w:w="28" w:type="dxa"/>
        </w:tblCellMar>
      </w:tblPr>
      <w:tblGrid>
        <w:gridCol w:w="4156"/>
        <w:gridCol w:w="146"/>
        <w:gridCol w:w="146"/>
        <w:gridCol w:w="931"/>
        <w:gridCol w:w="166"/>
        <w:gridCol w:w="146"/>
        <w:gridCol w:w="476"/>
        <w:gridCol w:w="1294"/>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summary of stock option activity under the 2021 Plan during the year ended December 31, 2023.</w:t>
      </w:r>
    </w:p>
    <w:tbl>
      <w:tblPr>
        <w:tblW w:w="10205" w:type="dxa"/>
        <w:jc w:val="left"/>
        <w:tblInd w:w="0" w:type="dxa"/>
        <w:tblLayout w:type="fixed"/>
        <w:tblCellMar>
          <w:top w:w="28" w:type="dxa"/>
          <w:left w:w="28" w:type="dxa"/>
          <w:bottom w:w="28" w:type="dxa"/>
          <w:right w:w="28" w:type="dxa"/>
        </w:tblCellMar>
      </w:tblPr>
      <w:tblGrid>
        <w:gridCol w:w="3820"/>
        <w:gridCol w:w="146"/>
        <w:gridCol w:w="146"/>
        <w:gridCol w:w="931"/>
        <w:gridCol w:w="166"/>
        <w:gridCol w:w="146"/>
        <w:gridCol w:w="396"/>
        <w:gridCol w:w="1075"/>
        <w:gridCol w:w="146"/>
        <w:gridCol w:w="146"/>
        <w:gridCol w:w="423"/>
        <w:gridCol w:w="1048"/>
        <w:gridCol w:w="146"/>
        <w:gridCol w:w="146"/>
        <w:gridCol w:w="305"/>
        <w:gridCol w:w="827"/>
        <w:gridCol w:w="192"/>
      </w:tblGrid>
      <w:tr>
        <w:trPr/>
        <w:tc>
          <w:tcPr>
            <w:tcW w:w="3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Remaining </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br/>
              <w:t>(in thousands)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7,634,167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32"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r>
      <w:tr>
        <w:trPr/>
        <w:tc>
          <w:tcPr>
            <w:tcW w:w="38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2"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3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92" w:type="dxa"/>
            <w:tcBorders/>
            <w:shd w:fill="CFF0FC" w:val="clear"/>
            <w:vAlign w:val="center"/>
          </w:tcPr>
          <w:p>
            <w:pPr>
              <w:pStyle w:val="TableContents"/>
              <w:bidi w:val="0"/>
              <w:spacing w:before="0" w:after="283"/>
              <w:jc w:val="left"/>
              <w:rPr/>
            </w:pPr>
            <w:r>
              <w:rPr/>
              <w:t> </w:t>
            </w:r>
          </w:p>
        </w:tc>
      </w:tr>
      <w:tr>
        <w:trPr/>
        <w:tc>
          <w:tcPr>
            <w:tcW w:w="38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2"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3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9,759,258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192" w:type="dxa"/>
            <w:tcBorders/>
            <w:shd w:fill="CFF0FC" w:val="clear"/>
            <w:vAlign w:val="center"/>
          </w:tcPr>
          <w:p>
            <w:pPr>
              <w:pStyle w:val="TableContents"/>
              <w:bidi w:val="0"/>
              <w:spacing w:before="0" w:after="283"/>
              <w:jc w:val="left"/>
              <w:rPr/>
            </w:pPr>
            <w:r>
              <w:rPr/>
              <w:t> </w:t>
            </w:r>
          </w:p>
        </w:tc>
      </w:tr>
      <w:tr>
        <w:trPr/>
        <w:tc>
          <w:tcPr>
            <w:tcW w:w="38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9,759,258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192" w:type="dxa"/>
            <w:tcBorders/>
            <w:shd w:fill="FFFFFF" w:val="clear"/>
            <w:vAlign w:val="center"/>
          </w:tcPr>
          <w:p>
            <w:pPr>
              <w:pStyle w:val="TableContents"/>
              <w:bidi w:val="0"/>
              <w:spacing w:before="0" w:after="283"/>
              <w:jc w:val="left"/>
              <w:rPr/>
            </w:pPr>
            <w:r>
              <w:rPr/>
              <w:t> </w:t>
            </w:r>
          </w:p>
        </w:tc>
      </w:tr>
      <w:tr>
        <w:trPr/>
        <w:tc>
          <w:tcPr>
            <w:tcW w:w="3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4,602,684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92"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estimated fair value of the underlying common stock and the exercise price of outstanding, in-the-money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fair value of options that vested during the years ended December 31, 2023, 2022, and 2021 were $27.3 million, $23.1 million and $1.1 million, respectively. The weighted-average grant date fair value of options granted during the years ended December 31, 2023, 2022, and 2021 were $13.14 per share, $9.61 per share, and $9.91 per share,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share-based compensation for stock options as of December 31, 2023 was $54.7 million, which is expected to be recognized over a weighted-average period of 2.4 years.</w:t>
        <w:b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used the Black-Scholes option pricing model to estimate the fair value of stock options awards granted with the following assumptions:</w:t>
      </w:r>
    </w:p>
    <w:tbl>
      <w:tblPr>
        <w:tblW w:w="6997" w:type="dxa"/>
        <w:jc w:val="left"/>
        <w:tblInd w:w="0" w:type="dxa"/>
        <w:tblLayout w:type="fixed"/>
        <w:tblCellMar>
          <w:top w:w="28" w:type="dxa"/>
          <w:left w:w="28" w:type="dxa"/>
          <w:bottom w:w="28" w:type="dxa"/>
          <w:right w:w="28" w:type="dxa"/>
        </w:tblCellMar>
      </w:tblPr>
      <w:tblGrid>
        <w:gridCol w:w="2131"/>
        <w:gridCol w:w="146"/>
        <w:gridCol w:w="1516"/>
        <w:gridCol w:w="146"/>
        <w:gridCol w:w="1351"/>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0"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5.27 - 6.25</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5.27 - 6.33</w:t>
            </w:r>
          </w:p>
        </w:tc>
        <w:tc>
          <w:tcPr>
            <w:tcW w:w="146"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5.31 - 6.08</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 - 81.98%</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 - 81.68</w:t>
            </w:r>
          </w:p>
        </w:tc>
        <w:tc>
          <w:tcPr>
            <w:tcW w:w="146" w:type="dxa"/>
            <w:tcBorders/>
            <w:shd w:fill="FFFFFF" w:val="clear"/>
            <w:vAlign w:val="center"/>
          </w:tcPr>
          <w:p>
            <w:pPr>
              <w:pStyle w:val="TableContents"/>
              <w:bidi w:val="0"/>
              <w:spacing w:before="0" w:after="283"/>
              <w:jc w:val="center"/>
              <w:rPr/>
            </w:pPr>
            <w:r>
              <w:rPr/>
              <w:t> </w:t>
            </w:r>
          </w:p>
        </w:tc>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61.25% - 66.53%</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3.47% - 4.67%</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 - 4.37%</w:t>
            </w:r>
          </w:p>
        </w:tc>
        <w:tc>
          <w:tcPr>
            <w:tcW w:w="146"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 - 1.39%</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561"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summary of restricted stock units activity under the 2021 Plan during the year ended December 31, 2023:</w:t>
      </w:r>
    </w:p>
    <w:tbl>
      <w:tblPr>
        <w:tblW w:w="7832" w:type="dxa"/>
        <w:jc w:val="left"/>
        <w:tblInd w:w="0" w:type="dxa"/>
        <w:tblLayout w:type="fixed"/>
        <w:tblCellMar>
          <w:top w:w="28" w:type="dxa"/>
          <w:left w:w="28" w:type="dxa"/>
          <w:bottom w:w="28" w:type="dxa"/>
          <w:right w:w="28" w:type="dxa"/>
        </w:tblCellMar>
      </w:tblPr>
      <w:tblGrid>
        <w:gridCol w:w="4426"/>
        <w:gridCol w:w="146"/>
        <w:gridCol w:w="146"/>
        <w:gridCol w:w="841"/>
        <w:gridCol w:w="166"/>
        <w:gridCol w:w="146"/>
        <w:gridCol w:w="476"/>
        <w:gridCol w:w="1294"/>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949,370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share-based compensation for restricted stock units as of December 31, 2023 was $16.1 million, which is expected to be recognized over a weighted-average period of 2.9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Performance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2022, the Company granted performance awards, consisting of PSOs and PSUs to non-executive employees pursuant to the 2021 Plan. Each performance award is earned through the achievement of a performance-based metric over a defined performance period determined by the compensation committee of the Company's board of directors. The estimated fair value of the equity awards that contain a performance condition is recognized if and when the Company concludes that it is probable that the performance condition will be achieved.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PSO activity under the 2021 Plan during the year ended December 31, 2023.</w:t>
      </w:r>
    </w:p>
    <w:tbl>
      <w:tblPr>
        <w:tblW w:w="10205" w:type="dxa"/>
        <w:jc w:val="left"/>
        <w:tblInd w:w="0" w:type="dxa"/>
        <w:tblLayout w:type="fixed"/>
        <w:tblCellMar>
          <w:top w:w="28" w:type="dxa"/>
          <w:left w:w="28" w:type="dxa"/>
          <w:bottom w:w="28" w:type="dxa"/>
          <w:right w:w="28" w:type="dxa"/>
        </w:tblCellMar>
      </w:tblPr>
      <w:tblGrid>
        <w:gridCol w:w="3956"/>
        <w:gridCol w:w="146"/>
        <w:gridCol w:w="146"/>
        <w:gridCol w:w="781"/>
        <w:gridCol w:w="166"/>
        <w:gridCol w:w="146"/>
        <w:gridCol w:w="396"/>
        <w:gridCol w:w="1075"/>
        <w:gridCol w:w="146"/>
        <w:gridCol w:w="146"/>
        <w:gridCol w:w="423"/>
        <w:gridCol w:w="1048"/>
        <w:gridCol w:w="146"/>
        <w:gridCol w:w="146"/>
        <w:gridCol w:w="433"/>
        <w:gridCol w:w="713"/>
        <w:gridCol w:w="192"/>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Remaining </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br/>
              <w:t>(in thousands)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r>
      <w:tr>
        <w:trPr/>
        <w:tc>
          <w:tcPr>
            <w:tcW w:w="3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3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r>
      <w:tr>
        <w:trPr/>
        <w:tc>
          <w:tcPr>
            <w:tcW w:w="3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3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r>
      <w:tr>
        <w:trPr/>
        <w:tc>
          <w:tcPr>
            <w:tcW w:w="3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r>
      <w:tr>
        <w:trPr/>
        <w:tc>
          <w:tcPr>
            <w:tcW w:w="3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Aggregate intrinsic value represents the difference between the estimated fair value of the underlying common stock and the exercise price of outstanding, in-the-money PSOs.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total fair value of PSOs that vested during the year ended December 31, 2023 was $0.5 million. There was no fair value of PSOs that vested during each of the years ended December 31, 2022 and 2021.There was no weighted-average grant date fair value of PSOs granted since there were no PSOs granted during the years ended December 31, 2023 and 2021. The weighted-average grant date fair value of PSOs granted during the year ended December 31, 2022 was $7.78 per share.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2023, there was $0.6 million of unrecognized compensation cost related to unvested PSOs. The Company will recognize the PSO expense through the expected vesting dates when the achievement of the performance-based metrics is probable.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used the Black-Scholes option pricing model to estimate the fair value of the PSO awards granted with the following assumptions:</w:t>
      </w:r>
    </w:p>
    <w:tbl>
      <w:tblPr>
        <w:tblW w:w="5062" w:type="dxa"/>
        <w:jc w:val="left"/>
        <w:tblInd w:w="0" w:type="dxa"/>
        <w:tblLayout w:type="fixed"/>
        <w:tblCellMar>
          <w:top w:w="28" w:type="dxa"/>
          <w:left w:w="28" w:type="dxa"/>
          <w:bottom w:w="28" w:type="dxa"/>
          <w:right w:w="28" w:type="dxa"/>
        </w:tblCellMar>
      </w:tblPr>
      <w:tblGrid>
        <w:gridCol w:w="2131"/>
        <w:gridCol w:w="146"/>
        <w:gridCol w:w="466"/>
        <w:gridCol w:w="146"/>
        <w:gridCol w:w="1516"/>
        <w:gridCol w:w="146"/>
        <w:gridCol w:w="51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center"/>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2.92 - 3.42</w:t>
            </w:r>
          </w:p>
        </w:tc>
        <w:tc>
          <w:tcPr>
            <w:tcW w:w="146" w:type="dxa"/>
            <w:tcBorders/>
            <w:shd w:fill="CFF0FC" w:val="clear"/>
            <w:vAlign w:val="center"/>
          </w:tcPr>
          <w:p>
            <w:pPr>
              <w:pStyle w:val="TableContents"/>
              <w:bidi w:val="0"/>
              <w:spacing w:before="0" w:after="283"/>
              <w:jc w:val="center"/>
              <w:rPr/>
            </w:pPr>
            <w:r>
              <w:rPr/>
              <w:t> </w:t>
            </w:r>
          </w:p>
        </w:tc>
        <w:tc>
          <w:tcPr>
            <w:tcW w:w="511" w:type="dxa"/>
            <w:tcBorders/>
            <w:shd w:fill="CFF0FC" w:val="clear"/>
            <w:vAlign w:val="center"/>
          </w:tcPr>
          <w:p>
            <w:pPr>
              <w:pStyle w:val="TableContents"/>
              <w:bidi w:val="0"/>
              <w:spacing w:before="0" w:after="283"/>
              <w:jc w:val="center"/>
              <w:rPr>
                <w:color w:val="000000"/>
              </w:rPr>
            </w:pPr>
            <w:r>
              <w:rPr>
                <w:color w:val="00000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72.72% - 72.98%</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color w:val="000000"/>
              </w:rPr>
            </w:pPr>
            <w:r>
              <w:rPr>
                <w:color w:val="00000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center"/>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w:t>
            </w:r>
          </w:p>
        </w:tc>
        <w:tc>
          <w:tcPr>
            <w:tcW w:w="146" w:type="dxa"/>
            <w:tcBorders/>
            <w:shd w:fill="CFF0FC" w:val="clear"/>
            <w:vAlign w:val="center"/>
          </w:tcPr>
          <w:p>
            <w:pPr>
              <w:pStyle w:val="TableContents"/>
              <w:bidi w:val="0"/>
              <w:spacing w:before="0" w:after="283"/>
              <w:jc w:val="center"/>
              <w:rPr/>
            </w:pPr>
            <w:r>
              <w:rPr/>
              <w:t> </w:t>
            </w:r>
          </w:p>
        </w:tc>
        <w:tc>
          <w:tcPr>
            <w:tcW w:w="511" w:type="dxa"/>
            <w:tcBorders/>
            <w:shd w:fill="CFF0FC" w:val="clear"/>
            <w:vAlign w:val="center"/>
          </w:tcPr>
          <w:p>
            <w:pPr>
              <w:pStyle w:val="TableContents"/>
              <w:bidi w:val="0"/>
              <w:spacing w:before="0" w:after="283"/>
              <w:jc w:val="center"/>
              <w:rPr>
                <w:color w:val="000000"/>
              </w:rPr>
            </w:pPr>
            <w:r>
              <w:rPr>
                <w:color w:val="00000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5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PSU activity under the 2021 Plan during the year ended December 31, 2023:</w:t>
      </w:r>
    </w:p>
    <w:tbl>
      <w:tblPr>
        <w:tblW w:w="7730" w:type="dxa"/>
        <w:jc w:val="left"/>
        <w:tblInd w:w="0" w:type="dxa"/>
        <w:tblLayout w:type="fixed"/>
        <w:tblCellMar>
          <w:top w:w="28" w:type="dxa"/>
          <w:left w:w="28" w:type="dxa"/>
          <w:bottom w:w="28" w:type="dxa"/>
          <w:right w:w="28" w:type="dxa"/>
        </w:tblCellMar>
      </w:tblPr>
      <w:tblGrid>
        <w:gridCol w:w="4426"/>
        <w:gridCol w:w="146"/>
        <w:gridCol w:w="146"/>
        <w:gridCol w:w="739"/>
        <w:gridCol w:w="166"/>
        <w:gridCol w:w="146"/>
        <w:gridCol w:w="476"/>
        <w:gridCol w:w="1294"/>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there was $0.7 million of unrecognized compensation cost related to unvested PSUs. The Company will recognize the PSU expense through the expected vesting dates when the achievement of the performance-based metrics is probable.</w:t>
      </w:r>
    </w:p>
    <w:p>
      <w:pPr>
        <w:pStyle w:val="TextBody"/>
        <w:bidi w:val="0"/>
        <w:spacing w:before="120" w:after="283"/>
        <w:jc w:val="left"/>
        <w:rPr>
          <w:rFonts w:ascii="Times New Roman" w:hAnsi="Times New Roman"/>
          <w:sz w:val="20"/>
        </w:rPr>
      </w:pPr>
      <w:r>
        <w:rPr>
          <w:rFonts w:ascii="Times New Roman" w:hAnsi="Times New Roman"/>
          <w:b/>
          <w:i/>
          <w:color w:val="000000"/>
          <w:sz w:val="20"/>
        </w:rPr>
        <w:t>2021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236,187 shares have been issued under the ESPP as of December 31, 2023. The Company recognized $0.8 million, $0.5 million, and $0.2 million of compensation expense related to the ESPP plan for the years ended December 31, 2023, 2022, and 2021,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our common stock to be issued under the ESPP is estimated at the date of grant using a Black-Scholes option-pricing model with the following assumptions:</w:t>
      </w:r>
    </w:p>
    <w:tbl>
      <w:tblPr>
        <w:tblW w:w="5497" w:type="dxa"/>
        <w:jc w:val="left"/>
        <w:tblInd w:w="0" w:type="dxa"/>
        <w:tblLayout w:type="fixed"/>
        <w:tblCellMar>
          <w:top w:w="28" w:type="dxa"/>
          <w:left w:w="28" w:type="dxa"/>
          <w:bottom w:w="28" w:type="dxa"/>
          <w:right w:w="28" w:type="dxa"/>
        </w:tblCellMar>
      </w:tblPr>
      <w:tblGrid>
        <w:gridCol w:w="2131"/>
        <w:gridCol w:w="146"/>
        <w:gridCol w:w="736"/>
        <w:gridCol w:w="146"/>
        <w:gridCol w:w="841"/>
        <w:gridCol w:w="146"/>
        <w:gridCol w:w="135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0"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0.25 - 0.50</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55.91%</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128.95%</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42.5% - 48.4%</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5.41%</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4.54%</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 - 0.06%</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color w:val="000000"/>
              </w:rPr>
            </w:pPr>
            <w:r>
              <w:rPr>
                <w:color w:val="00000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Incentive Share Plan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Prior to the Conversion, Day One Holding LLC granted incentive shares under the Incentive Share Plan and was authorized to issue 8,924,177 incentive shares. Incentive shares were a separate non-voting class of shares that participated in distributions only after incentive shares vested, unless it was approved by the board of directors and included at least two of the preferred members, and a participation threshold was met. The incentive shares represented profits interests in Day One Holding LLC, which was an interest in the increase in the Company’s value over the participation threshold, as defined in its operating agreement and as determined at the time of grant. A holder of incentive shares had the right to participate in distributions of profits only in excess of the participation threshold. The participation threshold was based on the valuation of the Company’s common shares on or around the grant date.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the incentive shares was estimated using an option pricing model with the following assumptions:</w:t>
      </w:r>
    </w:p>
    <w:tbl>
      <w:tblPr>
        <w:tblW w:w="4498" w:type="dxa"/>
        <w:jc w:val="left"/>
        <w:tblInd w:w="0" w:type="dxa"/>
        <w:tblLayout w:type="fixed"/>
        <w:tblCellMar>
          <w:top w:w="28" w:type="dxa"/>
          <w:left w:w="28" w:type="dxa"/>
          <w:bottom w:w="28" w:type="dxa"/>
          <w:right w:w="28" w:type="dxa"/>
        </w:tblCellMar>
      </w:tblPr>
      <w:tblGrid>
        <w:gridCol w:w="2311"/>
        <w:gridCol w:w="146"/>
        <w:gridCol w:w="204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 fair value</w:t>
            </w:r>
          </w:p>
        </w:tc>
        <w:tc>
          <w:tcPr>
            <w:tcW w:w="146" w:type="dxa"/>
            <w:tcBorders/>
            <w:shd w:fill="CFF0FC" w:val="clear"/>
            <w:vAlign w:val="center"/>
          </w:tcPr>
          <w:p>
            <w:pPr>
              <w:pStyle w:val="TableContents"/>
              <w:bidi w:val="0"/>
              <w:spacing w:before="0" w:after="283"/>
              <w:jc w:val="left"/>
              <w:rPr/>
            </w:pPr>
            <w:r>
              <w:rPr/>
              <w:t> </w:t>
            </w:r>
          </w:p>
        </w:tc>
        <w:tc>
          <w:tcPr>
            <w:tcW w:w="20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$6.36 - $8.89</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Participating threshold</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$6.36 - $7.51</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146" w:type="dxa"/>
            <w:tcBorders/>
            <w:shd w:fill="CFF0FC" w:val="clear"/>
            <w:vAlign w:val="center"/>
          </w:tcPr>
          <w:p>
            <w:pPr>
              <w:pStyle w:val="TableContents"/>
              <w:bidi w:val="0"/>
              <w:spacing w:before="0" w:after="283"/>
              <w:jc w:val="left"/>
              <w:rPr/>
            </w:pPr>
            <w:r>
              <w:rPr/>
              <w:t> </w:t>
            </w:r>
          </w:p>
        </w:tc>
        <w:tc>
          <w:tcPr>
            <w:tcW w:w="20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0.14%</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72.90%</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liquidity (in years)</w:t>
            </w:r>
          </w:p>
        </w:tc>
        <w:tc>
          <w:tcPr>
            <w:tcW w:w="146" w:type="dxa"/>
            <w:tcBorders/>
            <w:shd w:fill="CFF0FC" w:val="clear"/>
            <w:vAlign w:val="center"/>
          </w:tcPr>
          <w:p>
            <w:pPr>
              <w:pStyle w:val="TableContents"/>
              <w:bidi w:val="0"/>
              <w:spacing w:before="0" w:after="283"/>
              <w:jc w:val="left"/>
              <w:rPr/>
            </w:pPr>
            <w:r>
              <w:rPr/>
              <w:t> </w:t>
            </w:r>
          </w:p>
        </w:tc>
        <w:tc>
          <w:tcPr>
            <w:tcW w:w="20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0.20 - 1.80</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$4.24 - $4.52</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Conversion, the Company converted all incentive shares to vested and unvested shares of common stock. As such, there was no incentive shares activity for the year ended December 31,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used the option pricing model to estimate the fair value of each incentive shares award on the date of grant. The members’ equity value was based on a recent enterprise valuation analysis performed and common share fair value. The participation threshold amounts were determined by the board of directors at the time of grant. The expected life of the awards granted during the period was determined based on an expected time to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liquidation event. The Company applied the risk-free interest rate based on the U.S. Treasury yield in effect at the time of the grant.</w:t>
      </w:r>
    </w:p>
    <w:p>
      <w:pPr>
        <w:pStyle w:val="TextBody"/>
        <w:bidi w:val="0"/>
        <w:spacing w:before="120" w:after="283"/>
        <w:jc w:val="left"/>
        <w:rPr>
          <w:rFonts w:ascii="Times New Roman" w:hAnsi="Times New Roman"/>
          <w:sz w:val="20"/>
        </w:rPr>
      </w:pPr>
      <w:r>
        <w:rPr>
          <w:rFonts w:ascii="Times New Roman" w:hAnsi="Times New Roman"/>
          <w:i/>
          <w:color w:val="000000"/>
          <w:sz w:val="20"/>
        </w:rPr>
        <w:t>Fair Value of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the IPO, management’s approach to estimate the fair value of the common share was consistent with the methods outlined in the American Institute of Certified Public Accountants’ Practice Aid,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 xml:space="preserve">, or the Practice Aid, considering a number of objective and subjective factors including: valuations of common shares performed with the assistance of independent third-party valuation specialists; the Company’s stage of development and business strategy, including the status of research and development efforts, and the material risks related to the business and industry; the Company’s results of operations and financial position, including levels of available capital resources; the valuation of publicly traded companies in the life sciences and biotechnology sectors, as well as recently completed mergers and acquisitions of peer companies; the lack of marketability of the common shares; the prices of redeemable convertible preferred shares sold to investors in arm’s length transactions and the rights, preferences, and privileges of the Company’s redeemable convertible preferred shares relative to those of common shares; the likelihood of achieving a liquidity event for the holders of the common and redeemable convertible preferred shares, such as an initial public offering or a sale, given prevailing market conditions. The fair value of the common shares was approved by the board of directors until such time as the Company shares were listed on an established stock exchange or national market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incentive shares were classified as equity awards and share-based compensation expense was based on the grant date fair value of the award.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summary of the incentive shares activity:</w:t>
      </w:r>
    </w:p>
    <w:tbl>
      <w:tblPr>
        <w:tblW w:w="6437" w:type="dxa"/>
        <w:jc w:val="left"/>
        <w:tblInd w:w="0" w:type="dxa"/>
        <w:tblLayout w:type="fixed"/>
        <w:tblCellMar>
          <w:top w:w="28" w:type="dxa"/>
          <w:left w:w="28" w:type="dxa"/>
          <w:bottom w:w="28" w:type="dxa"/>
          <w:right w:w="28" w:type="dxa"/>
        </w:tblCellMar>
      </w:tblPr>
      <w:tblGrid>
        <w:gridCol w:w="3196"/>
        <w:gridCol w:w="146"/>
        <w:gridCol w:w="146"/>
        <w:gridCol w:w="991"/>
        <w:gridCol w:w="166"/>
        <w:gridCol w:w="146"/>
        <w:gridCol w:w="453"/>
        <w:gridCol w:w="1002"/>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Converted to unvested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 after the Conversion is calculated as follows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83"/>
        <w:gridCol w:w="146"/>
        <w:gridCol w:w="211"/>
        <w:gridCol w:w="1036"/>
        <w:gridCol w:w="166"/>
        <w:gridCol w:w="146"/>
        <w:gridCol w:w="211"/>
        <w:gridCol w:w="1036"/>
        <w:gridCol w:w="166"/>
        <w:gridCol w:w="146"/>
        <w:gridCol w:w="211"/>
        <w:gridCol w:w="1036"/>
        <w:gridCol w:w="211"/>
      </w:tblGrid>
      <w:tr>
        <w:trPr/>
        <w:tc>
          <w:tcPr>
            <w:tcW w:w="5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shd w:fill="FFFFFF" w:val="clear"/>
            <w:vAlign w:val="center"/>
          </w:tcPr>
          <w:p>
            <w:pPr>
              <w:pStyle w:val="TableContents"/>
              <w:bidi w:val="0"/>
              <w:spacing w:before="0" w:after="283"/>
              <w:jc w:val="center"/>
              <w:rPr/>
            </w:pPr>
            <w:r>
              <w:rPr/>
              <w:t> </w:t>
            </w:r>
          </w:p>
        </w:tc>
      </w:tr>
      <w:tr>
        <w:trPr/>
        <w:tc>
          <w:tcPr>
            <w:tcW w:w="54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convertible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of redeemable noncontrolling interest shares – deemed dividend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stockholders/members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79,773,004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65,466,773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36,960,569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p>
      <w:pPr>
        <w:pStyle w:val="TextBody"/>
        <w:bidi w:val="0"/>
        <w:jc w:val="left"/>
        <w:rPr/>
      </w:pPr>
      <w:r>
        <w:rPr/>
        <w:t> </w:t>
      </w:r>
    </w:p>
    <w:tbl>
      <w:tblPr>
        <w:tblW w:w="5544" w:type="dxa"/>
        <w:jc w:val="left"/>
        <w:tblInd w:w="0" w:type="dxa"/>
        <w:tblLayout w:type="fixed"/>
        <w:tblCellMar>
          <w:top w:w="28" w:type="dxa"/>
          <w:left w:w="28" w:type="dxa"/>
          <w:bottom w:w="28" w:type="dxa"/>
          <w:right w:w="28" w:type="dxa"/>
        </w:tblCellMar>
      </w:tblPr>
      <w:tblGrid>
        <w:gridCol w:w="2551"/>
        <w:gridCol w:w="146"/>
        <w:gridCol w:w="146"/>
        <w:gridCol w:w="1036"/>
        <w:gridCol w:w="146"/>
        <w:gridCol w:w="146"/>
        <w:gridCol w:w="146"/>
        <w:gridCol w:w="103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shd w:fill="FFFFFF" w:val="cle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7,943,167</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1,722,744</w:t>
            </w:r>
          </w:p>
        </w:tc>
        <w:tc>
          <w:tcPr>
            <w:tcW w:w="1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532,751</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10,243,334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Merger, DOT-1, the Company’s subsidiary, issued Series A redeemable convertible preferred shares to Takeda in accordance with the Takeda Asset Agreement (Note 5). The Company concluded that it represented a redeemable noncontrolling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adjusted the carrying value of redeemable noncontrolling interest to allocate net losses of the subsidiary to Takeda. Transfers to and from the redeemable noncontrolling interest represented changes in ownership and the allocation of Series A redeemable convertible preferred shares issuance costs issued by the subsidiary.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26, 2021, pursuant to the terms of the Millennium Stock Exchange Agreement, Takeda exchanged 9,857,143 shares of Series A redeemable convertible preferred stock in DOT-1 for 6,470,382 shares of common stock of the Company. Prior to the Exchange, the Company accounted for the redeemable noncontrolling interest as discussed in the paragraph above and allocated $2.1 million of net losses to Takeda for the period from January 1, 2021 to May 26, 2021. The Exchange resulted in DOT-1 becoming a wholly owned subsidiary of the Company and was recorded for accounting purposes as an extinguishment of the redeemable noncontrolling interest. As such, the Company also recognized an extinguishment loss of $100.0 million to additional paid-in-capital, which was calculated as a difference between the fair value of common stock issued to Takeda in the conversion and the carrying value of redeemable noncontrolling interest at the conversion date. The all-stock exchange was treated as a deemed dividend in the calculation of net loss attributable to common stockholders/members and net loss per share.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IPO and conversion, the Company was treated as a partnership for tax purposes, and thus, not subject to income taxes. It was the responsibility of the LLC members to report their proportion share of any taxable income or loss generated by Day One Biopharmaceuticals Holdings Company, LLC to the appropriate taxing authorities and pay the associated taxes, if any. Prior to the Conversion, the Company’s consolidated subsidiaries were treated as corporations for tax purposes and were subject to income taxes, which have been included in the consolidated financial statements. Subsequent to the Conversion, the Company and its subsidiaries were treated as a consolidated corporate group for income tax purposes through December 31, 2021. On December 31, 2021, the Company liquidated its subsidiaries into the Company in a tax-free Internal Revenue Code Section 332 liquidation. As such, a single entity provision has been calculated for the years ended December 31, 2023 and 2022. All pre-tax losses have been incurred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of the Company’s provision (benefit) for income taxes differs from the federal statutory rate as follows:</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2656"/>
        <w:gridCol w:w="146"/>
        <w:gridCol w:w="146"/>
        <w:gridCol w:w="526"/>
        <w:gridCol w:w="331"/>
        <w:gridCol w:w="146"/>
        <w:gridCol w:w="146"/>
        <w:gridCol w:w="526"/>
        <w:gridCol w:w="331"/>
        <w:gridCol w:w="146"/>
        <w:gridCol w:w="526"/>
        <w:gridCol w:w="37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2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income taxes reflect the net effects of temporary differences between the carrying amounts of assets and liabilities for financial reporting purposes and the amounts used for income tax purposes. The principal components of the Company’s deferred tax assets and liabilities consisted of the following (in thousands):</w:t>
      </w:r>
    </w:p>
    <w:p>
      <w:pPr>
        <w:pStyle w:val="TextBody"/>
        <w:bidi w:val="0"/>
        <w:jc w:val="left"/>
        <w:rPr/>
      </w:pPr>
      <w:r>
        <w:rPr/>
        <w:t> </w:t>
      </w:r>
    </w:p>
    <w:tbl>
      <w:tblPr>
        <w:tblW w:w="6854" w:type="dxa"/>
        <w:jc w:val="left"/>
        <w:tblInd w:w="0" w:type="dxa"/>
        <w:tblLayout w:type="fixed"/>
        <w:tblCellMar>
          <w:top w:w="28" w:type="dxa"/>
          <w:left w:w="28" w:type="dxa"/>
          <w:bottom w:w="28" w:type="dxa"/>
          <w:right w:w="28" w:type="dxa"/>
        </w:tblCellMar>
      </w:tblPr>
      <w:tblGrid>
        <w:gridCol w:w="4211"/>
        <w:gridCol w:w="146"/>
        <w:gridCol w:w="211"/>
        <w:gridCol w:w="736"/>
        <w:gridCol w:w="166"/>
        <w:gridCol w:w="146"/>
        <w:gridCol w:w="211"/>
        <w:gridCol w:w="736"/>
        <w:gridCol w:w="2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shd w:fill="FFFFFF" w:val="clear"/>
            <w:vAlign w:val="center"/>
          </w:tcPr>
          <w:p>
            <w:pPr>
              <w:pStyle w:val="TableContents"/>
              <w:bidi w:val="0"/>
              <w:spacing w:before="0" w:after="283"/>
              <w:jc w:val="center"/>
              <w:rPr/>
            </w:pPr>
            <w:r>
              <w:rPr/>
              <w:t> </w:t>
            </w:r>
          </w:p>
        </w:tc>
      </w:tr>
      <w:tr>
        <w:trPr/>
        <w:tc>
          <w:tcPr>
            <w:tcW w:w="4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2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 and state 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2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R&amp;D Section 174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2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2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 basis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2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2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valuation allowance for deferred tax assets during the years ended December 31, 2023, 2022 and 2021 were as follows (in thousands):</w:t>
      </w:r>
    </w:p>
    <w:tbl>
      <w:tblPr>
        <w:tblW w:w="7388" w:type="dxa"/>
        <w:jc w:val="left"/>
        <w:tblInd w:w="0" w:type="dxa"/>
        <w:tblLayout w:type="fixed"/>
        <w:tblCellMar>
          <w:top w:w="28" w:type="dxa"/>
          <w:left w:w="28" w:type="dxa"/>
          <w:bottom w:w="28" w:type="dxa"/>
          <w:right w:w="28" w:type="dxa"/>
        </w:tblCellMar>
      </w:tblPr>
      <w:tblGrid>
        <w:gridCol w:w="3706"/>
        <w:gridCol w:w="146"/>
        <w:gridCol w:w="211"/>
        <w:gridCol w:w="676"/>
        <w:gridCol w:w="146"/>
        <w:gridCol w:w="146"/>
        <w:gridCol w:w="211"/>
        <w:gridCol w:w="676"/>
        <w:gridCol w:w="146"/>
        <w:gridCol w:w="146"/>
        <w:gridCol w:w="211"/>
        <w:gridCol w:w="676"/>
        <w:gridCol w:w="2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shd w:fill="FFFFFF" w:val="clear"/>
            <w:vAlign w:val="center"/>
          </w:tcPr>
          <w:p>
            <w:pPr>
              <w:pStyle w:val="TableContents"/>
              <w:bidi w:val="0"/>
              <w:spacing w:before="0" w:after="283"/>
              <w:jc w:val="center"/>
              <w:rPr/>
            </w:pPr>
            <w:r>
              <w:rPr/>
              <w:t> </w:t>
            </w:r>
          </w:p>
        </w:tc>
      </w:tr>
      <w:tr>
        <w:trPr/>
        <w:tc>
          <w:tcPr>
            <w:tcW w:w="3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as of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7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Increases recorded to income tax provision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as of end of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net operating losses in each year since inception. The Company has not reflected the benefit of any such net operating loss carryforwards in the consolidated financial statements. Due to its history of losses, and lack of other positive evidence, the Company determined that it is more likely than not that its net deferred tax assets will not be realized, and therefore, the net deferred tax assets are fully offset by a valuation allowance at December 31, 2023, 2022, and 2021. The Company increased the valuation allowance by $40.6 million, $30.0 million and $15.2 million for the years ended December 31, 2023, 2022, and 2021,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had federal net operating loss carryforwards, or NOLs, of $177.7 million that do not expire and federal tax credits of $11.6 million available to offset tax liabilities that begin to expire in 2038. The Company also has gross state NOLs of $19.2 million and state tax credits of $1.6 million which are available to offset state tax liabilities. The state NOLs begin to expire in 2038 and the state tax credits do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not completed a study as of December 31, 2023 to determine whether an ownership change per the provisions of Section 382 of the Internal Revenue Code, as well as similar state provisions, has occurred. Utilization of its net operating loss and income tax credit carryforwards may be subject to an annual limitation due to ownership changes that may have occurred or that could occur in the future. These ownership changes may limit the amount of the net operating loss and income tax credit carryover that can be utilized annually to offset future taxable income. In general, an “ownership change” as defined by Section 382 of the Internal Revenue Code results from a transaction or series of transactions over a three-year period resulting in an ownership change of more than 50 percentage points of the outstanding shares of a company by certain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Tax Cuts and Jobs Act of 2017, Research and Experimental, or R&amp;E, expenses under Internal Revenue Code Section 174 are required to be capitalized beginning in 2022. R&amp;E expenses are required to be amortized over a period of 5 years for domestic expenses and 15 years for foreign expenses.</w:t>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authoritative guidance,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the beginning and ending amount of unrecognized tax benefits (in thousands):</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4826"/>
        <w:gridCol w:w="146"/>
        <w:gridCol w:w="211"/>
        <w:gridCol w:w="571"/>
        <w:gridCol w:w="166"/>
        <w:gridCol w:w="146"/>
        <w:gridCol w:w="211"/>
        <w:gridCol w:w="571"/>
        <w:gridCol w:w="166"/>
        <w:gridCol w:w="146"/>
        <w:gridCol w:w="211"/>
        <w:gridCol w:w="571"/>
        <w:gridCol w:w="291"/>
      </w:tblGrid>
      <w:tr>
        <w:trPr/>
        <w:tc>
          <w:tcPr>
            <w:tcW w:w="4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shd w:fill="FFFFFF" w:val="clear"/>
            <w:vAlign w:val="center"/>
          </w:tcPr>
          <w:p>
            <w:pPr>
              <w:pStyle w:val="TableContents"/>
              <w:bidi w:val="0"/>
              <w:spacing w:before="0" w:after="283"/>
              <w:jc w:val="center"/>
              <w:rPr/>
            </w:pPr>
            <w:r>
              <w:rPr/>
              <w:t> </w:t>
            </w:r>
          </w:p>
        </w:tc>
      </w:tr>
      <w:tr>
        <w:trPr/>
        <w:tc>
          <w:tcPr>
            <w:tcW w:w="4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Additions based on tax positions related to prior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Additions based on tax positions related to current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Reductions based on tax positions related to prior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Reductions based on tax positions related to current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entire amount of the unrecognized tax benefits would not impact the Company’s effective tax rate if recognized. The Company has elected to include interest and penalties as a component of tax expense. During the years ended December 31, 2023, 2022 and 2021, the Company did not recognize accrued interest and penalties related to unrecognized tax benefits. The Company does not anticipate that the amount of existing unrecognized tax benefits will significantly increase or decrease during the next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files income tax returns in the U.S. federal, California and other state tax jurisdictions. The federal and state income tax returns from December 31, 2018 to December 31, 2022 remain subject to examination.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an employee savings plan pursuant to Section 401(k) of the Internal Revenue Code. All employees are eligible to participate provided that they meet the requirements of the plan. For the year ended December 31, 2023 and 2022, the Company made matching contributions of $1.3 million and $0.8 million, respectively. The Company did not make matching contributions for the year ended December 31, 2021.</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bookmarkStart w:id="33" w:name="dawn-ex21_1.htm"/>
      <w:bookmarkStart w:id="34" w:name="ksdawnex21_1"/>
      <w:bookmarkEnd w:id="33"/>
      <w:bookmarkEnd w:id="34"/>
      <w:r>
        <w:rPr/>
        <w:t> </w:t>
      </w:r>
      <w:r>
        <w:br w:type="page"/>
      </w:r>
    </w:p>
    <w:p>
      <w:pPr>
        <w:pStyle w:val="TextBody"/>
        <w:bidi w:val="0"/>
        <w:spacing w:before="0" w:after="160"/>
        <w:jc w:val="right"/>
        <w:rPr>
          <w:rFonts w:ascii="Times New Roman" w:hAnsi="Times New Roman"/>
          <w:b/>
          <w:color w:val="000000"/>
          <w:sz w:val="22"/>
        </w:rPr>
      </w:pPr>
      <w:r>
        <w:rPr>
          <w:rFonts w:ascii="Times New Roman" w:hAnsi="Times New Roman"/>
          <w:b/>
          <w:color w:val="000000"/>
          <w:sz w:val="22"/>
        </w:rPr>
        <w:t>Exhibit 21.1</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Subsidiaries of Day One Biopharmaceuticals, Inc.</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None.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5" w:name="dawn-ex23_1.htm"/>
      <w:bookmarkStart w:id="36" w:name="ksdawnex23_1"/>
      <w:bookmarkEnd w:id="35"/>
      <w:bookmarkEnd w:id="36"/>
      <w:r>
        <w:rPr>
          <w:rFonts w:ascii="Times New Roman" w:hAnsi="Times New Roman"/>
          <w:b/>
          <w:color w:val="000000"/>
          <w:sz w:val="22"/>
        </w:rPr>
        <w:t>Exhibit 23.1</w:t>
      </w:r>
      <w:r>
        <w:br w:type="page"/>
      </w:r>
    </w:p>
    <w:p>
      <w:pPr>
        <w:pStyle w:val="TextBody"/>
        <w:bidi w:val="0"/>
        <w:spacing w:before="0" w:after="160"/>
        <w:jc w:val="left"/>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CONSENT OF INDEPENDENT REGISTERED PUBLIC ACCOUNTING FIRM</w:t>
      </w:r>
    </w:p>
    <w:p>
      <w:pPr>
        <w:pStyle w:val="TextBody"/>
        <w:bidi w:val="0"/>
        <w:spacing w:before="0" w:after="160"/>
        <w:jc w:val="left"/>
        <w:rPr>
          <w:rFonts w:ascii="Times New Roman" w:hAnsi="Times New Roman"/>
          <w:sz w:val="20"/>
        </w:rPr>
      </w:pPr>
      <w:r>
        <w:rPr>
          <w:rFonts w:ascii="Times New Roman" w:hAnsi="Times New Roman"/>
          <w:color w:val="000000"/>
          <w:sz w:val="22"/>
        </w:rPr>
        <w:t>We hereby consent to the incorporation by reference in the Registration Statements on Form S-8 (Nos. 333-256521, 333-263343, 333-268071, 333-269727, and 333-276372) and Registration Statements on Form S-3 (Nos.</w:t>
      </w:r>
      <w:r>
        <w:rPr>
          <w:rFonts w:ascii="Times New Roman" w:hAnsi="Times New Roman"/>
          <w:color w:val="242424"/>
          <w:sz w:val="20"/>
        </w:rPr>
        <w:t xml:space="preserve"> </w:t>
      </w:r>
      <w:r>
        <w:rPr>
          <w:rFonts w:ascii="Times New Roman" w:hAnsi="Times New Roman"/>
          <w:color w:val="000000"/>
          <w:sz w:val="22"/>
        </w:rPr>
        <w:t>333-265346 and 333-274521) of Day One Biopharmaceuticals, Inc. of our report dated February 26, 2024 relating to the financial statements and the effectiveness of internal control over financial reporting, which appears in this Form 10-K.</w:t>
      </w:r>
    </w:p>
    <w:p>
      <w:pPr>
        <w:pStyle w:val="TextBody"/>
        <w:bidi w:val="0"/>
        <w:spacing w:before="0" w:after="160"/>
        <w:jc w:val="left"/>
        <w:rPr>
          <w:rFonts w:ascii="Times New Roman" w:hAnsi="Times New Roman"/>
          <w:sz w:val="20"/>
        </w:rPr>
      </w:pPr>
      <w:r>
        <w:rPr>
          <w:rFonts w:ascii="Times New Roman" w:hAnsi="Times New Roman"/>
          <w:color w:val="000000"/>
          <w:sz w:val="22"/>
        </w:rPr>
        <w:t>/s/ PricewaterhouseCoopers LLP</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Dallas, Texas</w:t>
      </w:r>
    </w:p>
    <w:p>
      <w:pPr>
        <w:pStyle w:val="TextBody"/>
        <w:bidi w:val="0"/>
        <w:jc w:val="left"/>
        <w:rPr>
          <w:rFonts w:ascii="Times New Roman" w:hAnsi="Times New Roman"/>
          <w:color w:val="000000"/>
          <w:sz w:val="22"/>
        </w:rPr>
      </w:pPr>
      <w:r>
        <w:rPr>
          <w:rFonts w:ascii="Times New Roman" w:hAnsi="Times New Roman"/>
          <w:color w:val="000000"/>
          <w:sz w:val="22"/>
        </w:rPr>
        <w:t>February 26, 2024</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7" w:name="dawn-ex23_2.htm"/>
      <w:bookmarkStart w:id="38" w:name="ksdawnex23_2"/>
      <w:bookmarkEnd w:id="37"/>
      <w:bookmarkEnd w:id="38"/>
      <w:r>
        <w:rPr>
          <w:rFonts w:ascii="Times New Roman" w:hAnsi="Times New Roman"/>
          <w:b/>
          <w:color w:val="000000"/>
          <w:sz w:val="20"/>
        </w:rPr>
        <w:t>Exhibit 23.2</w:t>
      </w:r>
      <w:r>
        <w:rPr>
          <w:rFonts w:ascii="Times New Roman" w:hAnsi="Times New Roman"/>
          <w:color w:val="000000"/>
          <w:sz w:val="20"/>
        </w:rPr>
        <w:t xml:space="preserve">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pPr>
      <w:r>
        <w:rPr>
          <w:rFonts w:ascii="Times New Roman" w:hAnsi="Times New Roman"/>
          <w:color w:val="000000"/>
          <w:sz w:val="20"/>
        </w:rPr>
        <w:t>Registration Statements (Form S-8 No. 333-256521, 333-263343, 333-268071, 333-269727</w:t>
      </w:r>
      <w:r>
        <w:rPr>
          <w:color w:val="000000"/>
        </w:rPr>
        <w:t xml:space="preserve"> </w:t>
      </w:r>
      <w:r>
        <w:rPr>
          <w:rFonts w:ascii="Times New Roman" w:hAnsi="Times New Roman"/>
          <w:color w:val="000000"/>
          <w:sz w:val="20"/>
        </w:rPr>
        <w:t>and 333-276372) pertaining to the 2021 Equity Incentive Plan, 2021 Employee Stock Purchase Plan and 2022 Equity Inducement Plan of Day One Biopharmaceuticals, Inc.,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Statements (Form S-3 No. 333-265346 and 333-274521) of Day One Biopharmaceuticals,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report dated March 6, 2023, with respect to the consolidated financial statements of Day One Biopharmaceuticals, Inc., included in this Annual Report (Form 10-K) for the year ended December 31, 2023.</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Ernst &amp; Young LLP</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San Mateo, California</w:t>
      </w:r>
    </w:p>
    <w:p>
      <w:pPr>
        <w:pStyle w:val="TextBody"/>
        <w:bidi w:val="0"/>
        <w:jc w:val="both"/>
        <w:rPr>
          <w:rFonts w:ascii="Times New Roman" w:hAnsi="Times New Roman"/>
          <w:color w:val="000000"/>
          <w:sz w:val="20"/>
        </w:rPr>
      </w:pPr>
      <w:r>
        <w:rPr>
          <w:rFonts w:ascii="Times New Roman" w:hAnsi="Times New Roman"/>
          <w:color w:val="000000"/>
          <w:sz w:val="20"/>
        </w:rPr>
        <w:t xml:space="preserve">February 26, 2024 </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39" w:name="dawn-ex31_1.htm"/>
      <w:bookmarkStart w:id="40" w:name="ksdawnex31_1"/>
      <w:bookmarkEnd w:id="39"/>
      <w:bookmarkEnd w:id="40"/>
      <w:r>
        <w:rPr>
          <w:rFonts w:ascii="Times New Roman" w:hAnsi="Times New Roman"/>
          <w:b/>
          <w:color w:val="000000"/>
          <w:sz w:val="20"/>
        </w:rPr>
        <w:t>Exhibit 31.1</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 xml:space="preserve">CERTIFICATION OF PRINCIPAL EXECUTIVE OFFICER PURSUANT TO </w:t>
        <w:br/>
        <w:t>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Jeremy Bender,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Annual Report on Form 10-K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543" w:type="dxa"/>
        <w:jc w:val="left"/>
        <w:tblInd w:w="0" w:type="dxa"/>
        <w:tblLayout w:type="fixed"/>
        <w:tblCellMar>
          <w:top w:w="28" w:type="dxa"/>
          <w:left w:w="28" w:type="dxa"/>
          <w:bottom w:w="28" w:type="dxa"/>
          <w:right w:w="28" w:type="dxa"/>
        </w:tblCellMar>
      </w:tblPr>
      <w:tblGrid>
        <w:gridCol w:w="1606"/>
        <w:gridCol w:w="146"/>
        <w:gridCol w:w="27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Bender, Ph.D., M.B.A.</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Jeremy Bender, Ph.D., M.B.A.</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41" w:name="dawn-ex31_2.htm"/>
      <w:bookmarkStart w:id="42" w:name="ksdawnex31_2"/>
      <w:bookmarkEnd w:id="41"/>
      <w:bookmarkEnd w:id="42"/>
      <w:r>
        <w:rPr>
          <w:rFonts w:ascii="Times New Roman" w:hAnsi="Times New Roman"/>
          <w:b/>
          <w:color w:val="000000"/>
          <w:sz w:val="20"/>
        </w:rPr>
        <w:t>Exhibit 31.2</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 xml:space="preserve">CERTIFICATION OF PRINCIPAL FINANCIAL OFFICER PURSUANT TO </w:t>
        <w:br/>
        <w:t>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Charles York II,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Annual Report on Form 10-K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168" w:type="dxa"/>
        <w:jc w:val="left"/>
        <w:tblInd w:w="0" w:type="dxa"/>
        <w:tblLayout w:type="fixed"/>
        <w:tblCellMar>
          <w:top w:w="28" w:type="dxa"/>
          <w:left w:w="28" w:type="dxa"/>
          <w:bottom w:w="28" w:type="dxa"/>
          <w:right w:w="28" w:type="dxa"/>
        </w:tblCellMar>
      </w:tblPr>
      <w:tblGrid>
        <w:gridCol w:w="1606"/>
        <w:gridCol w:w="146"/>
        <w:gridCol w:w="24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Charles York II, M.B.A.</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Charles York II, M.B.A..</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43" w:name="dawn-ex32_1.htm"/>
      <w:bookmarkStart w:id="44" w:name="ksdawnex32_1"/>
      <w:bookmarkEnd w:id="43"/>
      <w:bookmarkEnd w:id="44"/>
      <w:r>
        <w:rPr>
          <w:rFonts w:ascii="Times New Roman" w:hAnsi="Times New Roman"/>
          <w:b/>
          <w:color w:val="000000"/>
          <w:sz w:val="20"/>
        </w:rPr>
        <w:t>Exhibit 32.1</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 xml:space="preserve">CERTIFICATION PURSUANT TO </w:t>
        <w:br/>
        <w:t>SECTION 906 OF THE SARBANES-OXLEY ACT OF 2002</w:t>
        <w:br/>
        <w:t>(Subsection (a) and (b) of Section 1350, Chapter 63 of Title 18, United States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the undersigned officers of Day One Biopharmaceuticals, Inc., a Delaware corporation (the “Company”), do hereby certify that, to the best of our knowledge: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Annual Report on Form 10-K for the year ended December 31, 2023 (the “Form 10-K”) of the Company fully complies with the requirements of Section 13(a) or 15(d) of the Securities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Form 10-K fairly presents, in all material respects, the financial condition and results of operations of the Company.</w:t>
      </w:r>
    </w:p>
    <w:tbl>
      <w:tblPr>
        <w:tblW w:w="4543" w:type="dxa"/>
        <w:jc w:val="left"/>
        <w:tblInd w:w="0" w:type="dxa"/>
        <w:tblLayout w:type="fixed"/>
        <w:tblCellMar>
          <w:top w:w="28" w:type="dxa"/>
          <w:left w:w="28" w:type="dxa"/>
          <w:bottom w:w="28" w:type="dxa"/>
          <w:right w:w="28" w:type="dxa"/>
        </w:tblCellMar>
      </w:tblPr>
      <w:tblGrid>
        <w:gridCol w:w="1606"/>
        <w:gridCol w:w="146"/>
        <w:gridCol w:w="27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Bender, Ph.D., M.B.A.</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Jeremy Bender, Ph.D., M.B.A.</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240"/>
        <w:jc w:val="left"/>
        <w:rPr/>
      </w:pPr>
      <w:r>
        <w:rPr/>
        <w:t> </w:t>
      </w:r>
    </w:p>
    <w:tbl>
      <w:tblPr>
        <w:tblW w:w="5518" w:type="dxa"/>
        <w:jc w:val="left"/>
        <w:tblInd w:w="0" w:type="dxa"/>
        <w:tblLayout w:type="fixed"/>
        <w:tblCellMar>
          <w:top w:w="28" w:type="dxa"/>
          <w:left w:w="28" w:type="dxa"/>
          <w:bottom w:w="28" w:type="dxa"/>
          <w:right w:w="28" w:type="dxa"/>
        </w:tblCellMar>
      </w:tblPr>
      <w:tblGrid>
        <w:gridCol w:w="1606"/>
        <w:gridCol w:w="146"/>
        <w:gridCol w:w="376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Charles York II, M.B.A.</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Charles York II, M.B.A..</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5" w:name="dawn-ex97_1.htm"/>
      <w:bookmarkStart w:id="46" w:name="ksdawnex97_1"/>
      <w:bookmarkEnd w:id="45"/>
      <w:bookmarkEnd w:id="46"/>
      <w:r>
        <w:rPr>
          <w:rFonts w:ascii="Times New Roman" w:hAnsi="Times New Roman"/>
          <w:b/>
          <w:color w:val="000000"/>
          <w:sz w:val="22"/>
        </w:rPr>
        <w:t>Exhibit 97.1</w:t>
      </w:r>
      <w:r>
        <w:br w:type="page"/>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Day One Biopharmaceuticals, Inc.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Compensation Recovery Policy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(Adopted December 5, 2023)</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w:t>
      </w:r>
    </w:p>
    <w:p>
      <w:pPr>
        <w:pStyle w:val="TextBody"/>
        <w:bidi w:val="0"/>
        <w:spacing w:before="0" w:after="240"/>
        <w:jc w:val="both"/>
        <w:rPr>
          <w:rFonts w:ascii="Times New Roman" w:hAnsi="Times New Roman"/>
          <w:sz w:val="20"/>
        </w:rPr>
      </w:pPr>
      <w:r>
        <w:rPr>
          <w:rFonts w:ascii="Times New Roman" w:hAnsi="Times New Roman"/>
          <w:color w:val="1E1E1E"/>
          <w:sz w:val="24"/>
        </w:rPr>
        <w:t xml:space="preserve">This Policy </w:t>
      </w:r>
      <w:r>
        <w:rPr>
          <w:rFonts w:ascii="Times New Roman" w:hAnsi="Times New Roman"/>
          <w:color w:val="171717"/>
          <w:sz w:val="24"/>
        </w:rPr>
        <w:t xml:space="preserve">is designed to comply with Rule 10D-1 of the Exchange Act and </w:t>
      </w:r>
      <w:r>
        <w:rPr>
          <w:rFonts w:ascii="Times New Roman" w:hAnsi="Times New Roman"/>
          <w:color w:val="1E1E1E"/>
          <w:sz w:val="24"/>
        </w:rPr>
        <w:t xml:space="preserve">shall become effective on the Effective Date and shall apply to </w:t>
      </w:r>
      <w:r>
        <w:rPr>
          <w:rFonts w:ascii="Times New Roman" w:hAnsi="Times New Roman"/>
          <w:color w:val="171717"/>
          <w:sz w:val="24"/>
        </w:rPr>
        <w:t>Incentive-Based Compensation Received by Covered Persons on or after the Listing Rule Effective Date</w:t>
      </w:r>
      <w:r>
        <w:rPr>
          <w:rFonts w:ascii="Times New Roman" w:hAnsi="Times New Roman"/>
          <w:color w:val="1E1E1E"/>
          <w:sz w:val="24"/>
        </w:rPr>
        <w:t>.</w:t>
      </w:r>
      <w:r>
        <w:rPr>
          <w:rFonts w:ascii="Times New Roman" w:hAnsi="Times New Roman"/>
          <w:color w:val="1E1E1E"/>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Administration</w:t>
      </w:r>
    </w:p>
    <w:p>
      <w:pPr>
        <w:pStyle w:val="TextBody"/>
        <w:bidi w:val="0"/>
        <w:spacing w:before="0" w:after="240"/>
        <w:jc w:val="both"/>
        <w:rPr>
          <w:rFonts w:ascii="Times New Roman" w:hAnsi="Times New Roman"/>
          <w:sz w:val="20"/>
        </w:rPr>
      </w:pPr>
      <w:r>
        <w:rPr>
          <w:rFonts w:ascii="Times New Roman" w:hAnsi="Times New Roman"/>
          <w:color w:val="1E1E1E"/>
          <w:sz w:val="24"/>
        </w:rPr>
        <w:t>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purposes of administering this Policy.</w:t>
      </w:r>
      <w:r>
        <w:rPr>
          <w:rFonts w:ascii="Times New Roman" w:hAnsi="Times New Roman"/>
          <w:color w:val="1E1E1E"/>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2.</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 xml:space="preserve">Covered Persons and Applicable Compensation </w:t>
      </w:r>
    </w:p>
    <w:p>
      <w:pPr>
        <w:pStyle w:val="TextBody"/>
        <w:bidi w:val="0"/>
        <w:spacing w:before="0" w:after="240"/>
        <w:jc w:val="both"/>
        <w:rPr>
          <w:rFonts w:ascii="Times New Roman" w:hAnsi="Times New Roman"/>
          <w:sz w:val="20"/>
        </w:rPr>
      </w:pPr>
      <w:r>
        <w:rPr>
          <w:rFonts w:ascii="Times New Roman" w:hAnsi="Times New Roman"/>
          <w:color w:val="1E1E1E"/>
          <w:sz w:val="24"/>
        </w:rPr>
        <w:t>This Policy applies to any Incentive-Based Compensation Received by a person (a) after beginning service as a Covered Person; (b) who served as a Covered Person at any time during the performance period for that Incentive-Based Compensation; and (c) was a Covered Person during the Clawback Period.</w:t>
      </w:r>
      <w:r>
        <w:rPr>
          <w:rFonts w:ascii="Times New Roman" w:hAnsi="Times New Roman"/>
          <w:color w:val="1E1E1E"/>
          <w:sz w:val="20"/>
        </w:rPr>
        <w:t xml:space="preserve"> </w:t>
      </w:r>
    </w:p>
    <w:p>
      <w:pPr>
        <w:pStyle w:val="TextBody"/>
        <w:bidi w:val="0"/>
        <w:spacing w:before="0" w:after="200"/>
        <w:jc w:val="both"/>
        <w:rPr>
          <w:rFonts w:ascii="Times New Roman" w:hAnsi="Times New Roman"/>
          <w:color w:val="1E1E1E"/>
          <w:sz w:val="24"/>
        </w:rPr>
      </w:pPr>
      <w:r>
        <w:rPr>
          <w:rFonts w:ascii="Times New Roman" w:hAnsi="Times New Roman"/>
          <w:color w:val="1E1E1E"/>
          <w:sz w:val="24"/>
        </w:rPr>
        <w:t>However, recovery is not required under this Policy with respect to:</w:t>
      </w:r>
    </w:p>
    <w:p>
      <w:pPr>
        <w:pStyle w:val="TextBody"/>
        <w:bidi w:val="0"/>
        <w:spacing w:before="0" w:after="0"/>
        <w:jc w:val="both"/>
        <w:rPr>
          <w:rFonts w:ascii="Times New Roman" w:hAnsi="Times New Roman"/>
          <w:color w:val="1E1E1E"/>
          <w:sz w:val="24"/>
        </w:rPr>
      </w:pPr>
      <w:r>
        <w:rPr>
          <w:rFonts w:ascii="Times New Roman" w:hAnsi="Times New Roman"/>
          <w:color w:val="1E1E1E"/>
          <w:sz w:val="24"/>
        </w:rPr>
        <w:t>i.</w:t>
      </w:r>
    </w:p>
    <w:p>
      <w:pPr>
        <w:pStyle w:val="TextBody"/>
        <w:bidi w:val="0"/>
        <w:jc w:val="both"/>
        <w:rPr/>
      </w:pPr>
      <w:r>
        <w:rPr>
          <w:rFonts w:ascii="Times New Roman" w:hAnsi="Times New Roman"/>
          <w:color w:val="171717"/>
          <w:sz w:val="24"/>
        </w:rPr>
        <w:t>Incentive</w:t>
      </w:r>
      <w:r>
        <w:rPr>
          <w:rFonts w:ascii="Times New Roman" w:hAnsi="Times New Roman"/>
          <w:color w:val="1E1E1E"/>
          <w:sz w:val="24"/>
        </w:rPr>
        <w:t xml:space="preserve">-Based Compensation Received prior to an individual becoming a Covered Person, even if the individual served as a Covered Person during the Clawback Period. </w:t>
      </w:r>
    </w:p>
    <w:p>
      <w:pPr>
        <w:pStyle w:val="TextBody"/>
        <w:bidi w:val="0"/>
        <w:jc w:val="both"/>
        <w:rPr/>
      </w:pPr>
      <w:r>
        <w:rPr/>
        <w:t> </w:t>
      </w:r>
    </w:p>
    <w:p>
      <w:pPr>
        <w:pStyle w:val="TextBody"/>
        <w:bidi w:val="0"/>
        <w:spacing w:before="0" w:after="0"/>
        <w:jc w:val="both"/>
        <w:rPr>
          <w:rFonts w:ascii="Times New Roman" w:hAnsi="Times New Roman"/>
          <w:color w:val="1E1E1E"/>
          <w:sz w:val="24"/>
        </w:rPr>
      </w:pPr>
      <w:r>
        <w:rPr>
          <w:rFonts w:ascii="Times New Roman" w:hAnsi="Times New Roman"/>
          <w:color w:val="1E1E1E"/>
          <w:sz w:val="24"/>
        </w:rPr>
        <w:t>ii.</w:t>
      </w:r>
    </w:p>
    <w:p>
      <w:pPr>
        <w:pStyle w:val="TextBody"/>
        <w:bidi w:val="0"/>
        <w:jc w:val="both"/>
        <w:rPr>
          <w:rFonts w:ascii="Times New Roman" w:hAnsi="Times New Roman"/>
          <w:color w:val="171717"/>
          <w:sz w:val="24"/>
        </w:rPr>
      </w:pPr>
      <w:r>
        <w:rPr>
          <w:rFonts w:ascii="Times New Roman" w:hAnsi="Times New Roman"/>
          <w:color w:val="171717"/>
          <w:sz w:val="24"/>
        </w:rPr>
        <w:t xml:space="preserve">Incentive-Based Compensation Received prior to the Listing Rule Effective Date. </w:t>
      </w:r>
    </w:p>
    <w:p>
      <w:pPr>
        <w:pStyle w:val="TextBody"/>
        <w:bidi w:val="0"/>
        <w:spacing w:before="0" w:after="200"/>
        <w:jc w:val="left"/>
        <w:rPr/>
      </w:pPr>
      <w:r>
        <w:rPr/>
        <w:t> </w:t>
      </w:r>
    </w:p>
    <w:p>
      <w:pPr>
        <w:pStyle w:val="TextBody"/>
        <w:bidi w:val="0"/>
        <w:spacing w:before="0" w:after="0"/>
        <w:jc w:val="both"/>
        <w:rPr>
          <w:rFonts w:ascii="Times New Roman" w:hAnsi="Times New Roman"/>
          <w:color w:val="1E1E1E"/>
          <w:sz w:val="24"/>
        </w:rPr>
      </w:pPr>
      <w:r>
        <w:rPr>
          <w:rFonts w:ascii="Times New Roman" w:hAnsi="Times New Roman"/>
          <w:color w:val="1E1E1E"/>
          <w:sz w:val="24"/>
        </w:rPr>
        <w:t>iii.</w:t>
      </w:r>
    </w:p>
    <w:p>
      <w:pPr>
        <w:pStyle w:val="TextBody"/>
        <w:bidi w:val="0"/>
        <w:jc w:val="both"/>
        <w:rPr/>
      </w:pPr>
      <w:r>
        <w:rPr>
          <w:rFonts w:ascii="Times New Roman" w:hAnsi="Times New Roman"/>
          <w:color w:val="171717"/>
          <w:sz w:val="24"/>
        </w:rPr>
        <w:t>Incentive</w:t>
      </w:r>
      <w:r>
        <w:rPr>
          <w:rFonts w:ascii="Times New Roman" w:hAnsi="Times New Roman"/>
          <w:color w:val="1E1E1E"/>
          <w:sz w:val="24"/>
        </w:rPr>
        <w:t>-Based Compensation Received prior to the Clawback Period.</w:t>
      </w:r>
    </w:p>
    <w:p>
      <w:pPr>
        <w:pStyle w:val="TextBody"/>
        <w:bidi w:val="0"/>
        <w:jc w:val="left"/>
        <w:rPr/>
      </w:pPr>
      <w:r>
        <w:rPr/>
        <w:t> </w:t>
      </w:r>
    </w:p>
    <w:p>
      <w:pPr>
        <w:pStyle w:val="TextBody"/>
        <w:bidi w:val="0"/>
        <w:spacing w:before="240" w:after="200"/>
        <w:jc w:val="both"/>
        <w:rPr>
          <w:rFonts w:ascii="Times New Roman" w:hAnsi="Times New Roman"/>
          <w:color w:val="1E1E1E"/>
          <w:sz w:val="24"/>
        </w:rPr>
      </w:pPr>
      <w:r>
        <w:rPr>
          <w:rFonts w:ascii="Times New Roman" w:hAnsi="Times New Roman"/>
          <w:color w:val="1E1E1E"/>
          <w:sz w:val="24"/>
        </w:rPr>
        <w:t>iv.</w:t>
      </w:r>
    </w:p>
    <w:p>
      <w:pPr>
        <w:pStyle w:val="TextBody"/>
        <w:bidi w:val="0"/>
        <w:spacing w:before="240" w:after="200"/>
        <w:jc w:val="both"/>
        <w:rPr>
          <w:rFonts w:ascii="Times New Roman" w:hAnsi="Times New Roman"/>
          <w:color w:val="171717"/>
          <w:sz w:val="24"/>
        </w:rPr>
      </w:pPr>
      <w:r>
        <w:rPr>
          <w:rFonts w:ascii="Times New Roman" w:hAnsi="Times New Roman"/>
          <w:color w:val="171717"/>
          <w:sz w:val="24"/>
        </w:rPr>
        <w:t xml:space="preserve">Incentive-Based Compensation Received while the Company did not have a class of listed securities on a national securities exchange or a national securities association, including the Exchange. </w:t>
      </w:r>
    </w:p>
    <w:p>
      <w:pPr>
        <w:pStyle w:val="TextBody"/>
        <w:bidi w:val="0"/>
        <w:spacing w:before="0" w:after="200"/>
        <w:jc w:val="both"/>
        <w:rPr>
          <w:rFonts w:ascii="Times New Roman" w:hAnsi="Times New Roman"/>
          <w:sz w:val="20"/>
        </w:rPr>
      </w:pPr>
      <w:r>
        <w:rPr>
          <w:rFonts w:ascii="Times New Roman" w:hAnsi="Times New Roman"/>
          <w:color w:val="171717"/>
          <w:sz w:val="24"/>
        </w:rPr>
        <w:t>The Administrator will not consider the Covered Person’s responsibility or fault or lack thereof in enforcing this Policy with respect to recoupment under the Final Rules.</w:t>
      </w:r>
      <w:r>
        <w:rPr>
          <w:rFonts w:ascii="Times New Roman" w:hAnsi="Times New Roman"/>
          <w:color w:val="171717"/>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171717"/>
          <w:sz w:val="24"/>
        </w:rPr>
      </w:pPr>
      <w:r>
        <w:rPr>
          <w:rFonts w:ascii="Times New Roman" w:hAnsi="Times New Roman"/>
          <w:b/>
          <w:color w:val="171717"/>
          <w:sz w:val="24"/>
        </w:rPr>
        <w:t>3.</w:t>
      </w:r>
    </w:p>
    <w:p>
      <w:pPr>
        <w:pStyle w:val="TextBody"/>
        <w:bidi w:val="0"/>
        <w:spacing w:before="0" w:after="200"/>
        <w:jc w:val="left"/>
        <w:rPr>
          <w:rFonts w:ascii="Times New Roman" w:hAnsi="Times New Roman"/>
          <w:b/>
          <w:color w:val="1E1E1E"/>
          <w:sz w:val="24"/>
        </w:rPr>
      </w:pPr>
      <w:r>
        <w:rPr>
          <w:rFonts w:ascii="Times New Roman" w:hAnsi="Times New Roman"/>
          <w:b/>
          <w:color w:val="1E1E1E"/>
          <w:sz w:val="24"/>
        </w:rPr>
        <w:t>Triggering Event</w:t>
      </w:r>
    </w:p>
    <w:p>
      <w:pPr>
        <w:pStyle w:val="TextBody"/>
        <w:bidi w:val="0"/>
        <w:spacing w:before="0" w:after="240"/>
        <w:jc w:val="both"/>
        <w:rPr>
          <w:rFonts w:ascii="Times New Roman" w:hAnsi="Times New Roman"/>
          <w:sz w:val="20"/>
        </w:rPr>
      </w:pPr>
      <w:r>
        <w:rPr>
          <w:rFonts w:ascii="Times New Roman" w:hAnsi="Times New Roman"/>
          <w:color w:val="1E1E1E"/>
          <w:sz w:val="24"/>
        </w:rPr>
        <w:t xml:space="preserve">Subject to and in accordance with the provisions of this Policy, if there is a Triggering Event, the Administrator shall require a Covered Person to reimburse or forfeit to the Company the Recoupment Amount applicable to such Covered Person. </w:t>
      </w:r>
      <w:r>
        <w:rPr>
          <w:rFonts w:ascii="Times New Roman" w:hAnsi="Times New Roman"/>
          <w:color w:val="171717"/>
          <w:sz w:val="24"/>
        </w:rPr>
        <w:t>A Company’s obligation to recover the Recoupment Amount is not dependent on if or when the restated financial statements are filed.</w:t>
      </w:r>
      <w:r>
        <w:rPr>
          <w:rFonts w:ascii="Times New Roman" w:hAnsi="Times New Roman"/>
          <w:color w:val="171717"/>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4.</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 xml:space="preserve">Calculation of Recoupment Amount </w:t>
      </w:r>
    </w:p>
    <w:p>
      <w:pPr>
        <w:pStyle w:val="TextBody"/>
        <w:bidi w:val="0"/>
        <w:spacing w:before="0" w:after="240"/>
        <w:jc w:val="both"/>
        <w:rPr>
          <w:rFonts w:ascii="Times New Roman" w:hAnsi="Times New Roman"/>
          <w:sz w:val="20"/>
        </w:rPr>
      </w:pPr>
      <w:r>
        <w:rPr>
          <w:rFonts w:ascii="Times New Roman" w:hAnsi="Times New Roman"/>
          <w:color w:val="171717"/>
          <w:sz w:val="24"/>
        </w:rPr>
        <w:t xml:space="preserve">The Recoupment Amount will be calculated in accordance with the Final Rules, illustrative, non-exclusive examples of which are provided in the Calculation Guidelines attached hereto as </w:t>
      </w:r>
      <w:r>
        <w:rPr>
          <w:rFonts w:ascii="Times New Roman" w:hAnsi="Times New Roman"/>
          <w:color w:val="171717"/>
          <w:sz w:val="24"/>
          <w:u w:val="single"/>
        </w:rPr>
        <w:t>Exhibit B</w:t>
      </w:r>
      <w:r>
        <w:rPr>
          <w:rFonts w:ascii="Times New Roman" w:hAnsi="Times New Roman"/>
          <w:color w:val="171717"/>
          <w:sz w:val="24"/>
        </w:rPr>
        <w:t>.</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5.</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Method of Recoupment</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Subject to compliance with the Final Rules and applicable law, the Administrator will determine, in its sole discretion, the method for recouping the Recoupment Amount hereunder which may include, without limitation:</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171717"/>
          <w:sz w:val="24"/>
        </w:rPr>
      </w:pPr>
      <w:r>
        <w:rPr>
          <w:rFonts w:ascii="Times New Roman" w:hAnsi="Times New Roman"/>
          <w:color w:val="171717"/>
          <w:sz w:val="24"/>
        </w:rPr>
        <w:t>Requiring reimbursement or forfeiture of the pre-tax amount of cash Incentive-Based Compensation previously paid;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171717"/>
          <w:sz w:val="24"/>
        </w:rPr>
      </w:pPr>
      <w:r>
        <w:rPr>
          <w:rFonts w:ascii="Times New Roman" w:hAnsi="Times New Roman"/>
          <w:color w:val="171717"/>
          <w:sz w:val="24"/>
        </w:rPr>
        <w:t>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171717"/>
          <w:sz w:val="24"/>
        </w:rPr>
      </w:pPr>
      <w:r>
        <w:rPr>
          <w:rFonts w:ascii="Times New Roman" w:hAnsi="Times New Roman"/>
          <w:color w:val="171717"/>
          <w:sz w:val="24"/>
        </w:rPr>
        <w:t>Seeking recovery of any gain realized on the vesting, exercise, settlement, cash sale, transfer, or other disposition of any equity-based awards; and/or</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Taking any other remedial and recovery action permitted by law, as determined by the Administrator.</w:t>
      </w:r>
    </w:p>
    <w:p>
      <w:pPr>
        <w:pStyle w:val="TextBody"/>
        <w:bidi w:val="0"/>
        <w:spacing w:before="0" w:after="240"/>
        <w:jc w:val="both"/>
        <w:rPr/>
      </w:pPr>
      <w:r>
        <w:rPr/>
        <w:t>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6.</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Arbitration</w:t>
      </w:r>
    </w:p>
    <w:p>
      <w:pPr>
        <w:pStyle w:val="TextBody"/>
        <w:bidi w:val="0"/>
        <w:spacing w:before="0" w:after="240"/>
        <w:jc w:val="both"/>
        <w:rPr>
          <w:rFonts w:ascii="Times New Roman" w:hAnsi="Times New Roman"/>
          <w:sz w:val="20"/>
        </w:rPr>
      </w:pPr>
      <w:r>
        <w:rPr>
          <w:rFonts w:ascii="Times New Roman" w:hAnsi="Times New Roman"/>
          <w:color w:val="1E1E1E"/>
          <w:sz w:val="24"/>
        </w:rPr>
        <w:t>To the fullest extent permitted by law, any disputes under this Policy shall be submitted to mandatory binding arbitration (the “</w:t>
      </w:r>
      <w:r>
        <w:rPr>
          <w:rFonts w:ascii="Times New Roman" w:hAnsi="Times New Roman"/>
          <w:b/>
          <w:i/>
          <w:color w:val="1E1E1E"/>
          <w:sz w:val="24"/>
        </w:rPr>
        <w:t>Arbitrable Claims</w:t>
      </w:r>
      <w:r>
        <w:rPr>
          <w:rFonts w:ascii="Times New Roman" w:hAnsi="Times New Roman"/>
          <w:color w:val="1E1E1E"/>
          <w:sz w:val="20"/>
        </w:rPr>
        <w:t>”</w:t>
      </w:r>
      <w:r>
        <w:rPr>
          <w:rFonts w:ascii="Times New Roman" w:hAnsi="Times New Roman"/>
          <w:color w:val="1E1E1E"/>
          <w:sz w:val="24"/>
        </w:rPr>
        <w:t>), governed by the Federal Arbitration Act (the “</w:t>
      </w:r>
      <w:r>
        <w:rPr>
          <w:rFonts w:ascii="Times New Roman" w:hAnsi="Times New Roman"/>
          <w:b/>
          <w:i/>
          <w:color w:val="1E1E1E"/>
          <w:sz w:val="24"/>
        </w:rPr>
        <w:t>FAA</w:t>
      </w:r>
      <w:r>
        <w:rPr>
          <w:rFonts w:ascii="Times New Roman" w:hAnsi="Times New Roman"/>
          <w:color w:val="1E1E1E"/>
          <w:sz w:val="20"/>
        </w:rPr>
        <w:t>”</w:t>
      </w:r>
      <w:r>
        <w:rPr>
          <w:rFonts w:ascii="Times New Roman" w:hAnsi="Times New Roman"/>
          <w:color w:val="1E1E1E"/>
          <w:sz w:val="24"/>
        </w:rPr>
        <w:t>). Further, to the fullest extent permitted by law, no class or collective actions can be asserted in arbitration or otherwise. All claims, whether in arbitration or otherwise, must be brought solely in the Covered Person’s individual capacity, and not as a plaintiff or class member in any purported class or collective proceeding.</w:t>
      </w:r>
      <w:r>
        <w:rPr>
          <w:rFonts w:ascii="Times New Roman" w:hAnsi="Times New Roman"/>
          <w:color w:val="1E1E1E"/>
          <w:sz w:val="20"/>
        </w:rPr>
        <w:t xml:space="preserve"> </w:t>
      </w:r>
    </w:p>
    <w:p>
      <w:pPr>
        <w:pStyle w:val="TextBody"/>
        <w:bidi w:val="0"/>
        <w:spacing w:before="0" w:after="240"/>
        <w:jc w:val="both"/>
        <w:rPr>
          <w:rFonts w:ascii="Times New Roman" w:hAnsi="Times New Roman"/>
          <w:sz w:val="20"/>
        </w:rPr>
      </w:pPr>
      <w:r>
        <w:rPr>
          <w:rFonts w:ascii="Times New Roman" w:hAnsi="Times New Roman"/>
          <w:color w:val="1E1E1E"/>
          <w:sz w:val="24"/>
        </w:rPr>
        <w:t>SUBJECT TO THE ABOVE PROVISO, ANY RIGHTS THAT A COVERED PERSON MAY HAVE TO TRIAL BY JURY IN REGARD TO ARBITRABLE CLAIMS ARE WAIVED. ANY</w:t>
      </w:r>
      <w:r>
        <w:rPr>
          <w:rFonts w:ascii="Times New Roman" w:hAnsi="Times New Roman"/>
          <w:color w:val="1E1E1E"/>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RIGHTS THAT A COVERED PERSON MAY HAVE TO PURSUE OR PARTICIPATE IN A CLASS OR COLLECTIVE ACTION PERTAINING TO ANY CLAIMS BETWEEN A COVERED PERSON AND THE COMPANY ARE WAIVED.</w:t>
      </w:r>
    </w:p>
    <w:p>
      <w:pPr>
        <w:pStyle w:val="TextBody"/>
        <w:bidi w:val="0"/>
        <w:spacing w:before="0" w:after="240"/>
        <w:jc w:val="both"/>
        <w:rPr>
          <w:rFonts w:ascii="Times New Roman" w:hAnsi="Times New Roman"/>
          <w:sz w:val="20"/>
        </w:rPr>
      </w:pPr>
      <w:r>
        <w:rPr>
          <w:rFonts w:ascii="Times New Roman" w:hAnsi="Times New Roman"/>
          <w:color w:val="1E1E1E"/>
          <w:sz w:val="24"/>
        </w:rPr>
        <w:t xml:space="preserve">The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Brisbane, California through JAMS before a single neutral arbitrator, in accordance with the JAMS </w:t>
      </w:r>
      <w:r>
        <w:rPr>
          <w:rFonts w:ascii="Times New Roman" w:hAnsi="Times New Roman"/>
          <w:color w:val="000000"/>
          <w:sz w:val="24"/>
        </w:rPr>
        <w:t xml:space="preserve">Comprehensive Arbitration Rules and Procedures </w:t>
      </w:r>
      <w:r>
        <w:rPr>
          <w:rFonts w:ascii="Times New Roman" w:hAnsi="Times New Roman"/>
          <w:color w:val="1E1E1E"/>
          <w:sz w:val="24"/>
        </w:rPr>
        <w:t>then in effect, provided however, that the FAA, including its procedural provisions for 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7.</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Recovery Process; Impracticability</w:t>
      </w:r>
    </w:p>
    <w:p>
      <w:pPr>
        <w:pStyle w:val="TextBody"/>
        <w:bidi w:val="0"/>
        <w:spacing w:before="0" w:after="240"/>
        <w:jc w:val="both"/>
        <w:rPr>
          <w:rFonts w:ascii="Times New Roman" w:hAnsi="Times New Roman"/>
          <w:sz w:val="20"/>
        </w:rPr>
      </w:pPr>
      <w:r>
        <w:rPr>
          <w:rFonts w:ascii="Times New Roman" w:hAnsi="Times New Roman"/>
          <w:color w:val="1E1E1E"/>
          <w:sz w:val="24"/>
        </w:rPr>
        <w:t>Actions by the Administrator to recover the Recoupment Amount will be reasonably prompt.</w:t>
      </w:r>
      <w:r>
        <w:rPr>
          <w:rFonts w:ascii="Times New Roman" w:hAnsi="Times New Roman"/>
          <w:color w:val="1E1E1E"/>
          <w:sz w:val="20"/>
        </w:rPr>
        <w:t xml:space="preserve">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The Administrator must cause the Company to recover the Recoupment Amount unless the Administrator shall have previously determined that recovery is impracticable and one of the following conditions is met:</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i.</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The direct expense paid to a third party to assist in enforcing this Policy would exceed the amount to be recovered; before concluding that it would be impracticable to recover any Recoupment Amount based on expense of enforcement, the Company must make a reasonable attempt to recover such Recoupment Amount, document such reasonable attempt(s) to recover, and provide that documentation to the Exchange;</w:t>
      </w:r>
    </w:p>
    <w:p>
      <w:pPr>
        <w:pStyle w:val="TextBody"/>
        <w:bidi w:val="0"/>
        <w:spacing w:before="0" w:after="240"/>
        <w:jc w:val="both"/>
        <w:rPr/>
      </w:pPr>
      <w:r>
        <w:rPr/>
        <w:t>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ii.</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 xml:space="preserve">Recovery would violate home country law where that law was adopted prior to November 28, 2022; before concluding that it would be impracticable to recover any Recoupment Amount based on violation of home country law, the Company must obtain an opinion of home country counsel, acceptable to the Exchange, that recovery would result in such a violation, and must provide such opinion to the Exchange; or </w:t>
      </w:r>
    </w:p>
    <w:p>
      <w:pPr>
        <w:pStyle w:val="TextBody"/>
        <w:bidi w:val="0"/>
        <w:spacing w:before="0" w:after="240"/>
        <w:jc w:val="both"/>
        <w:rPr/>
      </w:pPr>
      <w:r>
        <w:rPr/>
        <w:t>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iii.</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 xml:space="preserve">Recovery would likely cause an otherwise tax-qualified retirement plan, under which benefits are broadly available to employees of the Company, to fail to meet the requirements of 26 U.S.C. 401(a)(13) or 26 U.S.C. 411(a) and regulations thereunder. </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8.</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Non-Exclusivity</w:t>
      </w:r>
    </w:p>
    <w:p>
      <w:pPr>
        <w:pStyle w:val="TextBody"/>
        <w:bidi w:val="0"/>
        <w:spacing w:before="0" w:after="240"/>
        <w:jc w:val="both"/>
        <w:rPr>
          <w:rFonts w:ascii="Times New Roman" w:hAnsi="Times New Roman"/>
          <w:sz w:val="20"/>
        </w:rPr>
      </w:pPr>
      <w:r>
        <w:rPr>
          <w:rFonts w:ascii="Times New Roman" w:hAnsi="Times New Roman"/>
          <w:color w:val="171717"/>
          <w:sz w:val="24"/>
        </w:rPr>
        <w:t>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other clawback policy of the Company as then in effect, or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in the Administrator’s discretion, be credited toward the amount recovered under this Policy, or vice versa.</w:t>
      </w:r>
      <w:r>
        <w:rPr>
          <w:rFonts w:ascii="Times New Roman" w:hAnsi="Times New Roman"/>
          <w:color w:val="171717"/>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9.</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No Indemnification</w:t>
      </w:r>
    </w:p>
    <w:p>
      <w:pPr>
        <w:pStyle w:val="TextBody"/>
        <w:bidi w:val="0"/>
        <w:spacing w:before="0" w:after="240"/>
        <w:jc w:val="both"/>
        <w:rPr>
          <w:rFonts w:ascii="Times New Roman" w:hAnsi="Times New Roman"/>
          <w:sz w:val="20"/>
        </w:rPr>
      </w:pPr>
      <w:r>
        <w:rPr>
          <w:rFonts w:ascii="Times New Roman" w:hAnsi="Times New Roman"/>
          <w:color w:val="1E1E1E"/>
          <w:sz w:val="24"/>
        </w:rPr>
        <w:t xml:space="preserve">The Company shall not indemnify any Covered Persons against (i) the loss of any Recoupment Amount </w:t>
      </w:r>
      <w:r>
        <w:rPr>
          <w:rFonts w:ascii="Times New Roman" w:hAnsi="Times New Roman"/>
          <w:color w:val="171717"/>
          <w:sz w:val="24"/>
        </w:rPr>
        <w:t>or any adverse tax consequences associated with any Recoupment Amount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Further, the Company shall not enter into any agreement that exempts any Incentive-Based Compensation from the application of this Policy or that waives the Company’s right to recovery of any Recoupment Amount and this Policy shall supersede any such agreement (whether entered into before, on or after the Effective Date).</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10.</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Covered Person Acknowledgement and Agreement</w:t>
      </w:r>
    </w:p>
    <w:p>
      <w:pPr>
        <w:pStyle w:val="TextBody"/>
        <w:bidi w:val="0"/>
        <w:spacing w:before="0" w:after="240"/>
        <w:jc w:val="both"/>
        <w:rPr>
          <w:rFonts w:ascii="Times New Roman" w:hAnsi="Times New Roman"/>
          <w:sz w:val="20"/>
        </w:rPr>
      </w:pPr>
      <w:r>
        <w:rPr>
          <w:rFonts w:ascii="Times New Roman" w:hAnsi="Times New Roman"/>
          <w:color w:val="171717"/>
          <w:sz w:val="24"/>
        </w:rPr>
        <w:t xml:space="preserve">All Covered Persons subject to this Policy must acknowledge their understanding of, and agreement to comply with, the Policy by executing the certification attached hereto as </w:t>
      </w:r>
      <w:r>
        <w:rPr>
          <w:rFonts w:ascii="Times New Roman" w:hAnsi="Times New Roman"/>
          <w:color w:val="171717"/>
          <w:sz w:val="24"/>
          <w:u w:val="single"/>
        </w:rPr>
        <w:t>Exhibit A</w:t>
      </w:r>
      <w:r>
        <w:rPr>
          <w:rFonts w:ascii="Times New Roman" w:hAnsi="Times New Roman"/>
          <w:color w:val="171717"/>
          <w:sz w:val="24"/>
        </w:rPr>
        <w:t xml:space="preserve">. </w:t>
      </w:r>
      <w:r>
        <w:rPr>
          <w:rFonts w:ascii="Times New Roman" w:hAnsi="Times New Roman"/>
          <w:b/>
          <w:color w:val="171717"/>
          <w:sz w:val="24"/>
          <w:u w:val="single"/>
        </w:rPr>
        <w:t>Notwithstanding the foregoing, this Policy will apply to Covered Persons whether or not any such person executes such certification.</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11.</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Successors</w:t>
      </w:r>
    </w:p>
    <w:p>
      <w:pPr>
        <w:pStyle w:val="TextBody"/>
        <w:bidi w:val="0"/>
        <w:spacing w:before="0" w:after="240"/>
        <w:jc w:val="both"/>
        <w:rPr>
          <w:rFonts w:ascii="Times New Roman" w:hAnsi="Times New Roman"/>
          <w:sz w:val="20"/>
        </w:rPr>
      </w:pPr>
      <w:r>
        <w:rPr>
          <w:rFonts w:ascii="Times New Roman" w:hAnsi="Times New Roman"/>
          <w:color w:val="171717"/>
          <w:sz w:val="24"/>
        </w:rPr>
        <w:t>This Policy shall be binding and enforceable against all Covered Persons and their beneficiaries, heirs, executors, administrators or other legal representatives and shall inure to the benefit of any successor to the Company.</w:t>
      </w:r>
      <w:r>
        <w:rPr>
          <w:rFonts w:ascii="Times New Roman" w:hAnsi="Times New Roman"/>
          <w:color w:val="171717"/>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12.</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Interpretation of Policy</w:t>
      </w:r>
    </w:p>
    <w:p>
      <w:pPr>
        <w:pStyle w:val="TextBody"/>
        <w:bidi w:val="0"/>
        <w:spacing w:before="0" w:after="240"/>
        <w:jc w:val="both"/>
        <w:rPr>
          <w:rFonts w:ascii="Times New Roman" w:hAnsi="Times New Roman"/>
          <w:sz w:val="20"/>
        </w:rPr>
      </w:pPr>
      <w:r>
        <w:rPr>
          <w:rFonts w:ascii="Times New Roman" w:hAnsi="Times New Roman"/>
          <w:color w:val="171717"/>
          <w:sz w:val="24"/>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w:t>
      </w:r>
      <w:r>
        <w:rPr>
          <w:rFonts w:ascii="Times New Roman" w:hAnsi="Times New Roman"/>
          <w:color w:val="171717"/>
          <w:sz w:val="20"/>
        </w:rPr>
        <w:t xml:space="preserve"> </w:t>
      </w:r>
    </w:p>
    <w:p>
      <w:pPr>
        <w:pStyle w:val="TextBody"/>
        <w:bidi w:val="0"/>
        <w:spacing w:before="0" w:after="240"/>
        <w:jc w:val="both"/>
        <w:rPr>
          <w:rFonts w:ascii="Times New Roman" w:hAnsi="Times New Roman"/>
          <w:sz w:val="20"/>
        </w:rPr>
      </w:pPr>
      <w:r>
        <w:rPr>
          <w:rFonts w:ascii="Times New Roman" w:hAnsi="Times New Roman"/>
          <w:color w:val="171717"/>
          <w:sz w:val="24"/>
        </w:rPr>
        <w:t>In the event any provision of this Policy is inconsistent with any requirement of any Final Rules, the Administrator, in its sole discretion, shall amend and administer this Policy and bring it into compliance with such rules.</w:t>
      </w:r>
      <w:r>
        <w:rPr>
          <w:rFonts w:ascii="Times New Roman" w:hAnsi="Times New Roman"/>
          <w:color w:val="1E1E1E"/>
          <w:sz w:val="20"/>
        </w:rPr>
        <w:t xml:space="preserve"> </w:t>
      </w:r>
    </w:p>
    <w:p>
      <w:pPr>
        <w:pStyle w:val="TextBody"/>
        <w:bidi w:val="0"/>
        <w:spacing w:before="0" w:after="240"/>
        <w:jc w:val="both"/>
        <w:rPr>
          <w:rFonts w:ascii="Times New Roman" w:hAnsi="Times New Roman"/>
          <w:sz w:val="20"/>
        </w:rPr>
      </w:pPr>
      <w:r>
        <w:rPr>
          <w:rFonts w:ascii="Times New Roman" w:hAnsi="Times New Roman"/>
          <w:color w:val="1E1E1E"/>
          <w:sz w:val="24"/>
        </w:rPr>
        <w:t>Any determination under this Policy by the Administrator shall be conclusive and binding on the applicable Covered Person. Determinations of the Administrator need not be uniform with respect to Covered Persons or from one payment or grant to another.</w:t>
      </w:r>
      <w:r>
        <w:rPr>
          <w:rFonts w:ascii="Times New Roman" w:hAnsi="Times New Roman"/>
          <w:color w:val="1E1E1E"/>
          <w:sz w:val="20"/>
        </w:rPr>
        <w:t xml:space="preserve"> </w:t>
      </w:r>
    </w:p>
    <w:p>
      <w:pPr>
        <w:pStyle w:val="TextBody"/>
        <w:bidi w:val="0"/>
        <w:spacing w:before="0" w:after="240"/>
        <w:jc w:val="left"/>
        <w:rPr>
          <w:rFonts w:ascii="Times New Roman" w:hAnsi="Times New Roman"/>
          <w:b/>
          <w:color w:val="171717"/>
          <w:sz w:val="24"/>
        </w:rPr>
      </w:pPr>
      <w:r>
        <w:rPr>
          <w:rFonts w:ascii="Times New Roman" w:hAnsi="Times New Roman"/>
          <w:b/>
          <w:color w:val="171717"/>
          <w:sz w:val="24"/>
        </w:rPr>
        <w:t>13.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Amendments; Termination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The Administrator may make any amendments to this Policy as required under applicable law, the Final Rules, and all other applicable rules and regulations, or as otherwise determined by the Administrator in its sole discretion.</w:t>
      </w:r>
    </w:p>
    <w:p>
      <w:pPr>
        <w:pStyle w:val="TextBody"/>
        <w:bidi w:val="0"/>
        <w:spacing w:before="0" w:after="240"/>
        <w:jc w:val="both"/>
        <w:rPr>
          <w:rFonts w:ascii="Times New Roman" w:hAnsi="Times New Roman"/>
          <w:sz w:val="20"/>
        </w:rPr>
      </w:pPr>
      <w:r>
        <w:rPr>
          <w:rFonts w:ascii="Times New Roman" w:hAnsi="Times New Roman"/>
          <w:color w:val="1E1E1E"/>
          <w:sz w:val="24"/>
        </w:rPr>
        <w:t>The Administrator may terminate this Policy at any time.</w:t>
      </w:r>
      <w:r>
        <w:rPr>
          <w:rFonts w:ascii="Times New Roman" w:hAnsi="Times New Roman"/>
          <w:color w:val="1E1E1E"/>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14.</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Definitions</w:t>
      </w:r>
    </w:p>
    <w:p>
      <w:pPr>
        <w:pStyle w:val="TextBody"/>
        <w:bidi w:val="0"/>
        <w:spacing w:before="0" w:after="240"/>
        <w:jc w:val="both"/>
        <w:rPr/>
      </w:pPr>
      <w:r>
        <w:rPr>
          <w:color w:val="1E1E1E"/>
        </w:rPr>
        <w:t>“</w:t>
      </w:r>
      <w:r>
        <w:rPr>
          <w:rFonts w:ascii="Times New Roman" w:hAnsi="Times New Roman"/>
          <w:b/>
          <w:i/>
          <w:color w:val="1E1E1E"/>
          <w:sz w:val="24"/>
        </w:rPr>
        <w:t>Administrator</w:t>
      </w:r>
      <w:r>
        <w:rPr>
          <w:rFonts w:ascii="Times New Roman" w:hAnsi="Times New Roman"/>
          <w:color w:val="1E1E1E"/>
          <w:sz w:val="20"/>
        </w:rPr>
        <w:t xml:space="preserve">” </w:t>
      </w:r>
      <w:r>
        <w:rPr>
          <w:rFonts w:ascii="Times New Roman" w:hAnsi="Times New Roman"/>
          <w:color w:val="1E1E1E"/>
          <w:sz w:val="24"/>
        </w:rPr>
        <w:t>means the Compensation Committee of the Board, or in the absence of a committee of independent directors responsible for executive compensation decisions, a majority of the independent directors serving on the Board.</w:t>
      </w:r>
      <w:r>
        <w:rPr>
          <w:rFonts w:ascii="Times New Roman" w:hAnsi="Times New Roman"/>
          <w:color w:val="1E1E1E"/>
          <w:sz w:val="20"/>
        </w:rPr>
        <w:t xml:space="preserve"> </w:t>
      </w:r>
    </w:p>
    <w:p>
      <w:pPr>
        <w:pStyle w:val="TextBody"/>
        <w:bidi w:val="0"/>
        <w:spacing w:before="0" w:after="240"/>
        <w:jc w:val="both"/>
        <w:rPr/>
      </w:pPr>
      <w:r>
        <w:rPr>
          <w:color w:val="1E1E1E"/>
        </w:rPr>
        <w:t>“</w:t>
      </w:r>
      <w:r>
        <w:rPr>
          <w:rFonts w:ascii="Times New Roman" w:hAnsi="Times New Roman"/>
          <w:b/>
          <w:i/>
          <w:color w:val="1E1E1E"/>
          <w:sz w:val="24"/>
        </w:rPr>
        <w:t>Board</w:t>
      </w:r>
      <w:r>
        <w:rPr>
          <w:rFonts w:ascii="Times New Roman" w:hAnsi="Times New Roman"/>
          <w:color w:val="1E1E1E"/>
          <w:sz w:val="20"/>
        </w:rPr>
        <w:t xml:space="preserve">” </w:t>
      </w:r>
      <w:r>
        <w:rPr>
          <w:rFonts w:ascii="Times New Roman" w:hAnsi="Times New Roman"/>
          <w:color w:val="1E1E1E"/>
          <w:sz w:val="24"/>
        </w:rPr>
        <w:t>means the Board of Directors of the Company.</w:t>
      </w:r>
    </w:p>
    <w:p>
      <w:pPr>
        <w:pStyle w:val="TextBody"/>
        <w:bidi w:val="0"/>
        <w:spacing w:before="0" w:after="240"/>
        <w:jc w:val="both"/>
        <w:rPr/>
      </w:pPr>
      <w:r>
        <w:rPr>
          <w:color w:val="171717"/>
        </w:rPr>
        <w:t>“</w:t>
      </w:r>
      <w:r>
        <w:rPr>
          <w:rFonts w:ascii="Times New Roman" w:hAnsi="Times New Roman"/>
          <w:b/>
          <w:i/>
          <w:color w:val="171717"/>
          <w:sz w:val="24"/>
        </w:rPr>
        <w:t>Clawback Measurement Date</w:t>
      </w:r>
      <w:r>
        <w:rPr>
          <w:rFonts w:ascii="Times New Roman" w:hAnsi="Times New Roman"/>
          <w:color w:val="171717"/>
          <w:sz w:val="20"/>
        </w:rPr>
        <w:t xml:space="preserve">” </w:t>
      </w:r>
      <w:r>
        <w:rPr>
          <w:rFonts w:ascii="Times New Roman" w:hAnsi="Times New Roman"/>
          <w:color w:val="171717"/>
          <w:sz w:val="24"/>
        </w:rPr>
        <w:t>is the earlier to occur of:</w:t>
      </w:r>
      <w:r>
        <w:rPr>
          <w:rFonts w:ascii="Times New Roman" w:hAnsi="Times New Roman"/>
          <w:color w:val="171717"/>
          <w:sz w:val="20"/>
        </w:rPr>
        <w:t xml:space="preserve"> </w:t>
      </w:r>
    </w:p>
    <w:p>
      <w:pPr>
        <w:pStyle w:val="TextBody"/>
        <w:bidi w:val="0"/>
        <w:spacing w:before="0" w:after="0"/>
        <w:jc w:val="both"/>
        <w:rPr>
          <w:rFonts w:ascii="Times New Roman" w:hAnsi="Times New Roman"/>
          <w:color w:val="171717"/>
          <w:sz w:val="24"/>
        </w:rPr>
      </w:pPr>
      <w:r>
        <w:rPr>
          <w:rFonts w:ascii="Times New Roman" w:hAnsi="Times New Roman"/>
          <w:color w:val="171717"/>
          <w:sz w:val="24"/>
        </w:rPr>
        <w:t>i.</w:t>
      </w:r>
    </w:p>
    <w:p>
      <w:pPr>
        <w:pStyle w:val="TextBody"/>
        <w:bidi w:val="0"/>
        <w:jc w:val="both"/>
        <w:rPr>
          <w:rFonts w:ascii="Times New Roman" w:hAnsi="Times New Roman"/>
          <w:color w:val="171717"/>
          <w:sz w:val="24"/>
        </w:rPr>
      </w:pPr>
      <w:r>
        <w:rPr>
          <w:rFonts w:ascii="Times New Roman" w:hAnsi="Times New Roman"/>
          <w:color w:val="171717"/>
          <w:sz w:val="24"/>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pStyle w:val="TextBody"/>
        <w:bidi w:val="0"/>
        <w:spacing w:before="0" w:after="240"/>
        <w:jc w:val="both"/>
        <w:rPr/>
      </w:pPr>
      <w:r>
        <w:rPr/>
        <w:t>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ii.</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The date a court, regulator, or other legally authorized body directs the Company to prepare an accounting restatement as described in this Policy.</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171717"/>
        </w:rPr>
        <w:t>“</w:t>
      </w:r>
      <w:r>
        <w:rPr>
          <w:rFonts w:ascii="Times New Roman" w:hAnsi="Times New Roman"/>
          <w:b/>
          <w:i/>
          <w:color w:val="171717"/>
          <w:sz w:val="24"/>
        </w:rPr>
        <w:t>Clawback Period</w:t>
      </w:r>
      <w:r>
        <w:rPr>
          <w:rFonts w:ascii="Times New Roman" w:hAnsi="Times New Roman"/>
          <w:color w:val="171717"/>
          <w:sz w:val="20"/>
        </w:rPr>
        <w:t xml:space="preserve">” </w:t>
      </w:r>
      <w:r>
        <w:rPr>
          <w:rFonts w:ascii="Times New Roman" w:hAnsi="Times New Roman"/>
          <w:color w:val="171717"/>
          <w:sz w:val="24"/>
        </w:rPr>
        <w:t>means the Company’s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w:t>
      </w:r>
      <w:r>
        <w:rPr>
          <w:rFonts w:ascii="Times New Roman" w:hAnsi="Times New Roman"/>
          <w:color w:val="171717"/>
          <w:sz w:val="20"/>
        </w:rPr>
        <w:t xml:space="preserve"> </w:t>
      </w:r>
    </w:p>
    <w:p>
      <w:pPr>
        <w:pStyle w:val="TextBody"/>
        <w:bidi w:val="0"/>
        <w:spacing w:before="0" w:after="240"/>
        <w:jc w:val="both"/>
        <w:rPr/>
      </w:pPr>
      <w:r>
        <w:rPr>
          <w:color w:val="1E1E1E"/>
        </w:rPr>
        <w:t>“</w:t>
      </w:r>
      <w:r>
        <w:rPr>
          <w:rFonts w:ascii="Times New Roman" w:hAnsi="Times New Roman"/>
          <w:b/>
          <w:i/>
          <w:color w:val="1E1E1E"/>
          <w:sz w:val="24"/>
        </w:rPr>
        <w:t>Company</w:t>
      </w:r>
      <w:r>
        <w:rPr>
          <w:rFonts w:ascii="Times New Roman" w:hAnsi="Times New Roman"/>
          <w:color w:val="1E1E1E"/>
          <w:sz w:val="20"/>
        </w:rPr>
        <w:t xml:space="preserve">” </w:t>
      </w:r>
      <w:r>
        <w:rPr>
          <w:rFonts w:ascii="Times New Roman" w:hAnsi="Times New Roman"/>
          <w:color w:val="1E1E1E"/>
          <w:sz w:val="24"/>
        </w:rPr>
        <w:t>means Day One Biopharmaceuticals, Inc., a Delaware corporation, or any successor corporation.</w:t>
      </w:r>
    </w:p>
    <w:p>
      <w:pPr>
        <w:pStyle w:val="TextBody"/>
        <w:bidi w:val="0"/>
        <w:spacing w:before="0" w:after="240"/>
        <w:jc w:val="both"/>
        <w:rPr/>
      </w:pPr>
      <w:r>
        <w:rPr>
          <w:color w:val="1E1E1E"/>
        </w:rPr>
        <w:t>“</w:t>
      </w:r>
      <w:r>
        <w:rPr>
          <w:rFonts w:ascii="Times New Roman" w:hAnsi="Times New Roman"/>
          <w:b/>
          <w:i/>
          <w:color w:val="1E1E1E"/>
          <w:sz w:val="24"/>
        </w:rPr>
        <w:t>Covered Person</w:t>
      </w:r>
      <w:r>
        <w:rPr>
          <w:rFonts w:ascii="Times New Roman" w:hAnsi="Times New Roman"/>
          <w:color w:val="1E1E1E"/>
          <w:sz w:val="20"/>
        </w:rPr>
        <w:t xml:space="preserve">” </w:t>
      </w:r>
      <w:r>
        <w:rPr>
          <w:rFonts w:ascii="Times New Roman" w:hAnsi="Times New Roman"/>
          <w:color w:val="1E1E1E"/>
          <w:sz w:val="24"/>
        </w:rPr>
        <w:t xml:space="preserve">means any Executive Officer (as defined in the Final Rules), including, but not limited to, </w:t>
      </w:r>
      <w:r>
        <w:rPr>
          <w:rFonts w:ascii="Times New Roman" w:hAnsi="Times New Roman"/>
          <w:color w:val="000000"/>
          <w:sz w:val="24"/>
        </w:rPr>
        <w:t>those persons who are or have been determined to be “officers” of the Company within the meaning of Section 16 of Rule 16a</w:t>
        <w:noBreakHyphen/>
        <w:t>1(f) of the rules promulgated under the Exchange Act, and “executive officers” of the Company within the meaning of Item 401(b) of Regulation S-K, Rule 3b</w:t>
        <w:noBreakHyphen/>
        <w:t>7 promulgated under the Exchange Act, and Rule 405 promulgated under the Securities Act of 1933, as amended</w:t>
      </w:r>
      <w:r>
        <w:rPr>
          <w:rFonts w:ascii="Times New Roman" w:hAnsi="Times New Roman"/>
          <w:color w:val="1E1E1E"/>
          <w:sz w:val="24"/>
        </w:rPr>
        <w:t>; provided that the Administrator may identify additional employees who shall be treated as Covered Persons for the purposes of this Policy with prospective effect, in accordance with the Final Rules</w:t>
      </w:r>
      <w:r>
        <w:rPr>
          <w:rFonts w:ascii="Times New Roman" w:hAnsi="Times New Roman"/>
          <w:color w:val="000000"/>
          <w:sz w:val="24"/>
        </w:rPr>
        <w:t>.</w:t>
      </w:r>
    </w:p>
    <w:p>
      <w:pPr>
        <w:pStyle w:val="TextBody"/>
        <w:bidi w:val="0"/>
        <w:spacing w:before="0" w:after="240"/>
        <w:jc w:val="both"/>
        <w:rPr/>
      </w:pPr>
      <w:r>
        <w:rPr>
          <w:color w:val="1E1E1E"/>
        </w:rPr>
        <w:t>“</w:t>
      </w:r>
      <w:r>
        <w:rPr>
          <w:rFonts w:ascii="Times New Roman" w:hAnsi="Times New Roman"/>
          <w:b/>
          <w:i/>
          <w:color w:val="1E1E1E"/>
          <w:sz w:val="24"/>
        </w:rPr>
        <w:t>Effective Date</w:t>
      </w:r>
      <w:r>
        <w:rPr>
          <w:rFonts w:ascii="Times New Roman" w:hAnsi="Times New Roman"/>
          <w:color w:val="1E1E1E"/>
          <w:sz w:val="20"/>
        </w:rPr>
        <w:t xml:space="preserve">” </w:t>
      </w:r>
      <w:r>
        <w:rPr>
          <w:rFonts w:ascii="Times New Roman" w:hAnsi="Times New Roman"/>
          <w:color w:val="1E1E1E"/>
          <w:sz w:val="24"/>
        </w:rPr>
        <w:t>means December 5, 2023, the date the Policy was adopted by the Board (or an authorized committee thereof).</w:t>
      </w:r>
    </w:p>
    <w:p>
      <w:pPr>
        <w:pStyle w:val="TextBody"/>
        <w:bidi w:val="0"/>
        <w:spacing w:before="0" w:after="240"/>
        <w:jc w:val="both"/>
        <w:rPr/>
      </w:pPr>
      <w:r>
        <w:rPr>
          <w:color w:val="1E1E1E"/>
        </w:rPr>
        <w:t>“</w:t>
      </w:r>
      <w:r>
        <w:rPr>
          <w:rFonts w:ascii="Times New Roman" w:hAnsi="Times New Roman"/>
          <w:b/>
          <w:i/>
          <w:color w:val="1E1E1E"/>
          <w:sz w:val="24"/>
        </w:rPr>
        <w:t>Exchange</w:t>
      </w:r>
      <w:r>
        <w:rPr>
          <w:rFonts w:ascii="Times New Roman" w:hAnsi="Times New Roman"/>
          <w:color w:val="1E1E1E"/>
          <w:sz w:val="20"/>
        </w:rPr>
        <w:t xml:space="preserve">” </w:t>
      </w:r>
      <w:r>
        <w:rPr>
          <w:rFonts w:ascii="Times New Roman" w:hAnsi="Times New Roman"/>
          <w:color w:val="1E1E1E"/>
          <w:sz w:val="24"/>
        </w:rPr>
        <w:t>means the Nasdaq Global Select Market or any other national securities exchange or national securities association in the United States on which the Company has listed its securities for trading.</w:t>
      </w:r>
      <w:r>
        <w:rPr>
          <w:rFonts w:ascii="Times New Roman" w:hAnsi="Times New Roman"/>
          <w:color w:val="1E1E1E"/>
          <w:sz w:val="20"/>
        </w:rPr>
        <w:t xml:space="preserve"> </w:t>
      </w:r>
    </w:p>
    <w:p>
      <w:pPr>
        <w:pStyle w:val="TextBody"/>
        <w:bidi w:val="0"/>
        <w:spacing w:before="0" w:after="240"/>
        <w:jc w:val="both"/>
        <w:rPr/>
      </w:pPr>
      <w:r>
        <w:rPr>
          <w:color w:val="1E1E1E"/>
        </w:rPr>
        <w:t>“</w:t>
      </w:r>
      <w:r>
        <w:rPr>
          <w:rFonts w:ascii="Times New Roman" w:hAnsi="Times New Roman"/>
          <w:b/>
          <w:i/>
          <w:color w:val="1E1E1E"/>
          <w:sz w:val="24"/>
        </w:rPr>
        <w:t>Exchange Act</w:t>
      </w:r>
      <w:r>
        <w:rPr>
          <w:rFonts w:ascii="Times New Roman" w:hAnsi="Times New Roman"/>
          <w:color w:val="1E1E1E"/>
          <w:sz w:val="20"/>
        </w:rPr>
        <w:t xml:space="preserve">” </w:t>
      </w:r>
      <w:r>
        <w:rPr>
          <w:rFonts w:ascii="Times New Roman" w:hAnsi="Times New Roman"/>
          <w:color w:val="1E1E1E"/>
          <w:sz w:val="24"/>
        </w:rPr>
        <w:t>means the Securities Exchange Act of 1934, as amended.</w:t>
      </w:r>
    </w:p>
    <w:p>
      <w:pPr>
        <w:pStyle w:val="TextBody"/>
        <w:bidi w:val="0"/>
        <w:spacing w:before="0" w:after="240"/>
        <w:jc w:val="both"/>
        <w:rPr/>
      </w:pPr>
      <w:r>
        <w:rPr>
          <w:color w:val="1E1E1E"/>
        </w:rPr>
        <w:t>“</w:t>
      </w:r>
      <w:r>
        <w:rPr>
          <w:rFonts w:ascii="Times New Roman" w:hAnsi="Times New Roman"/>
          <w:b/>
          <w:i/>
          <w:color w:val="1E1E1E"/>
          <w:sz w:val="24"/>
        </w:rPr>
        <w:t>Final Rules</w:t>
      </w:r>
      <w:r>
        <w:rPr>
          <w:rFonts w:ascii="Times New Roman" w:hAnsi="Times New Roman"/>
          <w:color w:val="1E1E1E"/>
          <w:sz w:val="20"/>
        </w:rPr>
        <w:t xml:space="preserve">” </w:t>
      </w:r>
      <w:r>
        <w:rPr>
          <w:rFonts w:ascii="Times New Roman" w:hAnsi="Times New Roman"/>
          <w:color w:val="1E1E1E"/>
          <w:sz w:val="24"/>
        </w:rPr>
        <w:t xml:space="preserve">means the final rules promulgated by the SEC under Section 954 of the Dodd-Frank Act, Rule 10D-1 and </w:t>
      </w:r>
      <w:r>
        <w:rPr>
          <w:rFonts w:ascii="Times New Roman" w:hAnsi="Times New Roman"/>
          <w:color w:val="171717"/>
          <w:sz w:val="24"/>
        </w:rPr>
        <w:t>Exchange listing standards, each as may be amended from time to time</w:t>
      </w:r>
      <w:r>
        <w:rPr>
          <w:rFonts w:ascii="Times New Roman" w:hAnsi="Times New Roman"/>
          <w:color w:val="1E1E1E"/>
          <w:sz w:val="24"/>
        </w:rPr>
        <w:t>.</w:t>
      </w:r>
    </w:p>
    <w:p>
      <w:pPr>
        <w:pStyle w:val="TextBody"/>
        <w:bidi w:val="0"/>
        <w:spacing w:before="0" w:after="240"/>
        <w:jc w:val="both"/>
        <w:rPr/>
      </w:pPr>
      <w:r>
        <w:rPr>
          <w:color w:val="171717"/>
        </w:rPr>
        <w:t>“</w:t>
      </w:r>
      <w:r>
        <w:rPr>
          <w:rFonts w:ascii="Times New Roman" w:hAnsi="Times New Roman"/>
          <w:b/>
          <w:i/>
          <w:color w:val="171717"/>
          <w:sz w:val="24"/>
        </w:rPr>
        <w:t>Financial Reporting Measure</w:t>
      </w:r>
      <w:r>
        <w:rPr>
          <w:rFonts w:ascii="Times New Roman" w:hAnsi="Times New Roman"/>
          <w:color w:val="171717"/>
          <w:sz w:val="20"/>
        </w:rPr>
        <w:t xml:space="preserve">” </w:t>
      </w:r>
      <w:r>
        <w:rPr>
          <w:rFonts w:ascii="Times New Roman" w:hAnsi="Times New Roman"/>
          <w:color w:val="171717"/>
          <w:sz w:val="24"/>
        </w:rPr>
        <w:t>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w:t>
      </w:r>
      <w:r>
        <w:rPr>
          <w:rFonts w:ascii="Times New Roman" w:hAnsi="Times New Roman"/>
          <w:color w:val="171717"/>
          <w:sz w:val="20"/>
        </w:rPr>
        <w:t xml:space="preserve"> </w:t>
      </w:r>
    </w:p>
    <w:p>
      <w:pPr>
        <w:pStyle w:val="TextBody"/>
        <w:bidi w:val="0"/>
        <w:spacing w:before="0" w:after="200"/>
        <w:jc w:val="both"/>
        <w:rPr/>
      </w:pPr>
      <w:r>
        <w:rPr>
          <w:color w:val="000000"/>
        </w:rPr>
        <w:t>“</w:t>
      </w:r>
      <w:r>
        <w:rPr>
          <w:rFonts w:ascii="Times New Roman" w:hAnsi="Times New Roman"/>
          <w:b/>
          <w:i/>
          <w:color w:val="000000"/>
          <w:sz w:val="24"/>
        </w:rPr>
        <w:t>Incentive-Based Compensation</w:t>
      </w:r>
      <w:r>
        <w:rPr>
          <w:rFonts w:ascii="Times New Roman" w:hAnsi="Times New Roman"/>
          <w:color w:val="000000"/>
          <w:sz w:val="20"/>
        </w:rPr>
        <w:t xml:space="preserve">” </w:t>
      </w:r>
      <w:r>
        <w:rPr>
          <w:rFonts w:ascii="Times New Roman" w:hAnsi="Times New Roman"/>
          <w:color w:val="000000"/>
          <w:sz w:val="24"/>
        </w:rPr>
        <w:t>means compensation that is granted, earned or vested based wholly or in part on the attainment of any Financial Reporting Measure.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SARs that are granted or become vested based wholly or in part on satisfying a Financial Reporting Measure goal; and proceeds received upon the sale of shares acquired through an incentive plan that were granted or vested based wholly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in part on satisfying a Financial Reporting Measure goal. “Incentive-Based Compensation” excludes, for example, time-based awards such as stock options or restricted stock units that are granted or vest </w:t>
      </w:r>
      <w:r>
        <w:rPr>
          <w:rFonts w:ascii="Times New Roman" w:hAnsi="Times New Roman"/>
          <w:i/>
          <w:color w:val="000000"/>
          <w:sz w:val="24"/>
        </w:rPr>
        <w:t>solely</w:t>
      </w:r>
      <w:r>
        <w:rPr>
          <w:rFonts w:ascii="Times New Roman" w:hAnsi="Times New Roman"/>
          <w:color w:val="000000"/>
          <w:sz w:val="20"/>
        </w:rPr>
        <w:t xml:space="preserve"> </w:t>
      </w:r>
      <w:r>
        <w:rPr>
          <w:rFonts w:ascii="Times New Roman" w:hAnsi="Times New Roman"/>
          <w:color w:val="000000"/>
          <w:sz w:val="24"/>
        </w:rPr>
        <w:t>upon completion of a service period; awards based on non-financial strategic or operating metrics such as the consummation of a merger or achievement of non-financial business goals; service-based retention bonuses; discretionary compensation; and salary.]</w:t>
      </w:r>
    </w:p>
    <w:p>
      <w:pPr>
        <w:pStyle w:val="TextBody"/>
        <w:bidi w:val="0"/>
        <w:spacing w:before="0" w:after="240"/>
        <w:jc w:val="both"/>
        <w:rPr/>
      </w:pPr>
      <w:r>
        <w:rPr>
          <w:color w:val="171717"/>
        </w:rPr>
        <w:t>“</w:t>
      </w:r>
      <w:r>
        <w:rPr>
          <w:rFonts w:ascii="Times New Roman" w:hAnsi="Times New Roman"/>
          <w:b/>
          <w:i/>
          <w:color w:val="171717"/>
          <w:sz w:val="24"/>
        </w:rPr>
        <w:t>Listing Rule Effective Date</w:t>
      </w:r>
      <w:r>
        <w:rPr>
          <w:rFonts w:ascii="Times New Roman" w:hAnsi="Times New Roman"/>
          <w:color w:val="171717"/>
          <w:sz w:val="20"/>
        </w:rPr>
        <w:t xml:space="preserve">” </w:t>
      </w:r>
      <w:r>
        <w:rPr>
          <w:rFonts w:ascii="Times New Roman" w:hAnsi="Times New Roman"/>
          <w:color w:val="171717"/>
          <w:sz w:val="24"/>
        </w:rPr>
        <w:t>means October 2, 2023.</w:t>
      </w:r>
    </w:p>
    <w:p>
      <w:pPr>
        <w:pStyle w:val="TextBody"/>
        <w:bidi w:val="0"/>
        <w:spacing w:before="0" w:after="240"/>
        <w:jc w:val="both"/>
        <w:rPr/>
      </w:pPr>
      <w:r>
        <w:rPr>
          <w:color w:val="000000"/>
        </w:rPr>
        <w:t>“</w:t>
      </w:r>
      <w:r>
        <w:rPr>
          <w:rFonts w:ascii="Times New Roman" w:hAnsi="Times New Roman"/>
          <w:b/>
          <w:i/>
          <w:color w:val="000000"/>
          <w:sz w:val="24"/>
        </w:rPr>
        <w:t>Policy</w:t>
      </w:r>
      <w:r>
        <w:rPr>
          <w:rFonts w:ascii="Times New Roman" w:hAnsi="Times New Roman"/>
          <w:color w:val="000000"/>
          <w:sz w:val="20"/>
        </w:rPr>
        <w:t xml:space="preserve">” </w:t>
      </w:r>
      <w:r>
        <w:rPr>
          <w:rFonts w:ascii="Times New Roman" w:hAnsi="Times New Roman"/>
          <w:color w:val="000000"/>
          <w:sz w:val="24"/>
        </w:rPr>
        <w:t>means this Compensation Recovery Policy.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71717"/>
          <w:sz w:val="24"/>
        </w:rPr>
        <w:t>Incentive-Based Compensation is deemed “</w:t>
      </w:r>
      <w:r>
        <w:rPr>
          <w:rFonts w:ascii="Times New Roman" w:hAnsi="Times New Roman"/>
          <w:b/>
          <w:i/>
          <w:color w:val="171717"/>
          <w:sz w:val="24"/>
        </w:rPr>
        <w:t>Received</w:t>
      </w:r>
      <w:r>
        <w:rPr>
          <w:rFonts w:ascii="Times New Roman" w:hAnsi="Times New Roman"/>
          <w:color w:val="171717"/>
          <w:sz w:val="20"/>
        </w:rPr>
        <w:t xml:space="preserve">” </w:t>
      </w:r>
      <w:r>
        <w:rPr>
          <w:rFonts w:ascii="Times New Roman" w:hAnsi="Times New Roman"/>
          <w:color w:val="171717"/>
          <w:sz w:val="24"/>
        </w:rPr>
        <w:t>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w:t>
      </w:r>
    </w:p>
    <w:p>
      <w:pPr>
        <w:pStyle w:val="TextBody"/>
        <w:bidi w:val="0"/>
        <w:spacing w:before="0" w:after="240"/>
        <w:jc w:val="both"/>
        <w:rPr/>
      </w:pPr>
      <w:r>
        <w:rPr>
          <w:color w:val="171717"/>
        </w:rPr>
        <w:t>“</w:t>
      </w:r>
      <w:r>
        <w:rPr>
          <w:rFonts w:ascii="Times New Roman" w:hAnsi="Times New Roman"/>
          <w:b/>
          <w:i/>
          <w:color w:val="171717"/>
          <w:sz w:val="24"/>
        </w:rPr>
        <w:t>Recoupment Amount</w:t>
      </w:r>
      <w:r>
        <w:rPr>
          <w:rFonts w:ascii="Times New Roman" w:hAnsi="Times New Roman"/>
          <w:color w:val="171717"/>
          <w:sz w:val="20"/>
        </w:rPr>
        <w:t xml:space="preserve">” </w:t>
      </w:r>
      <w:r>
        <w:rPr>
          <w:rFonts w:ascii="Times New Roman" w:hAnsi="Times New Roman"/>
          <w:color w:val="171717"/>
          <w:sz w:val="24"/>
        </w:rPr>
        <w:t>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 w:hAnsi="Times New Roman"/>
          <w:i/>
          <w:color w:val="171717"/>
          <w:sz w:val="24"/>
        </w:rPr>
        <w:t>i.e</w:t>
      </w:r>
      <w:r>
        <w:rPr>
          <w:rFonts w:ascii="Times New Roman" w:hAnsi="Times New Roman"/>
          <w:color w:val="171717"/>
          <w:sz w:val="24"/>
        </w:rPr>
        <w:t>., gross of taxes withheld).</w:t>
      </w:r>
    </w:p>
    <w:p>
      <w:pPr>
        <w:pStyle w:val="TextBody"/>
        <w:bidi w:val="0"/>
        <w:spacing w:before="0" w:after="240"/>
        <w:jc w:val="both"/>
        <w:rPr/>
      </w:pPr>
      <w:r>
        <w:rPr>
          <w:color w:val="171717"/>
        </w:rPr>
        <w:t>“</w:t>
      </w:r>
      <w:r>
        <w:rPr>
          <w:rFonts w:ascii="Times New Roman" w:hAnsi="Times New Roman"/>
          <w:b/>
          <w:i/>
          <w:color w:val="171717"/>
          <w:sz w:val="24"/>
        </w:rPr>
        <w:t>SARs</w:t>
      </w:r>
      <w:r>
        <w:rPr>
          <w:rFonts w:ascii="Times New Roman" w:hAnsi="Times New Roman"/>
          <w:color w:val="171717"/>
          <w:sz w:val="20"/>
        </w:rPr>
        <w:t xml:space="preserve">” </w:t>
      </w:r>
      <w:r>
        <w:rPr>
          <w:rFonts w:ascii="Times New Roman" w:hAnsi="Times New Roman"/>
          <w:color w:val="171717"/>
          <w:sz w:val="24"/>
        </w:rPr>
        <w:t>means stock appreciation rights.</w:t>
      </w:r>
    </w:p>
    <w:p>
      <w:pPr>
        <w:pStyle w:val="TextBody"/>
        <w:bidi w:val="0"/>
        <w:spacing w:before="0" w:after="240"/>
        <w:jc w:val="both"/>
        <w:rPr/>
      </w:pPr>
      <w:r>
        <w:rPr>
          <w:color w:val="171717"/>
        </w:rPr>
        <w:t>“</w:t>
      </w:r>
      <w:r>
        <w:rPr>
          <w:rFonts w:ascii="Times New Roman" w:hAnsi="Times New Roman"/>
          <w:b/>
          <w:i/>
          <w:color w:val="171717"/>
          <w:sz w:val="24"/>
        </w:rPr>
        <w:t>SEC</w:t>
      </w:r>
      <w:r>
        <w:rPr>
          <w:rFonts w:ascii="Times New Roman" w:hAnsi="Times New Roman"/>
          <w:color w:val="171717"/>
          <w:sz w:val="20"/>
        </w:rPr>
        <w:t xml:space="preserve">” </w:t>
      </w:r>
      <w:r>
        <w:rPr>
          <w:rFonts w:ascii="Times New Roman" w:hAnsi="Times New Roman"/>
          <w:color w:val="171717"/>
          <w:sz w:val="24"/>
        </w:rPr>
        <w:t>means the U.S. Securities and Exchange Commission.</w:t>
      </w:r>
    </w:p>
    <w:p>
      <w:pPr>
        <w:pStyle w:val="TextBody"/>
        <w:bidi w:val="0"/>
        <w:spacing w:before="0" w:after="240"/>
        <w:jc w:val="both"/>
        <w:rPr/>
      </w:pPr>
      <w:r>
        <w:rPr>
          <w:color w:val="171717"/>
        </w:rPr>
        <w:t>“</w:t>
      </w:r>
      <w:r>
        <w:rPr>
          <w:rFonts w:ascii="Times New Roman" w:hAnsi="Times New Roman"/>
          <w:b/>
          <w:i/>
          <w:color w:val="171717"/>
          <w:sz w:val="24"/>
        </w:rPr>
        <w:t>SOX 304</w:t>
      </w:r>
      <w:r>
        <w:rPr>
          <w:rFonts w:ascii="Times New Roman" w:hAnsi="Times New Roman"/>
          <w:color w:val="171717"/>
          <w:sz w:val="20"/>
        </w:rPr>
        <w:t xml:space="preserve">” </w:t>
      </w:r>
      <w:r>
        <w:rPr>
          <w:rFonts w:ascii="Times New Roman" w:hAnsi="Times New Roman"/>
          <w:color w:val="171717"/>
          <w:sz w:val="24"/>
        </w:rPr>
        <w:t>means Section 304 of the Sarbanes-Oxley Act of 2002.</w:t>
      </w:r>
    </w:p>
    <w:p>
      <w:pPr>
        <w:pStyle w:val="TextBody"/>
        <w:bidi w:val="0"/>
        <w:spacing w:before="0" w:after="240"/>
        <w:jc w:val="both"/>
        <w:rPr/>
      </w:pPr>
      <w:r>
        <w:rPr>
          <w:color w:val="1E1E1E"/>
        </w:rPr>
        <w:t>“</w:t>
      </w:r>
      <w:r>
        <w:rPr>
          <w:rFonts w:ascii="Times New Roman" w:hAnsi="Times New Roman"/>
          <w:b/>
          <w:i/>
          <w:color w:val="1E1E1E"/>
          <w:sz w:val="24"/>
        </w:rPr>
        <w:t>Triggering Event</w:t>
      </w:r>
      <w:r>
        <w:rPr>
          <w:rFonts w:ascii="Times New Roman" w:hAnsi="Times New Roman"/>
          <w:color w:val="1E1E1E"/>
          <w:sz w:val="20"/>
        </w:rPr>
        <w:t xml:space="preserve">” </w:t>
      </w:r>
      <w:r>
        <w:rPr>
          <w:rFonts w:ascii="Times New Roman" w:hAnsi="Times New Roman"/>
          <w:color w:val="1E1E1E"/>
          <w:sz w:val="24"/>
        </w:rPr>
        <w:t>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r>
        <w:rPr>
          <w:rFonts w:ascii="Times New Roman" w:hAnsi="Times New Roman"/>
          <w:color w:val="1E1E1E"/>
          <w:sz w:val="20"/>
        </w:rPr>
        <w:t xml:space="preserve"> </w:t>
      </w:r>
    </w:p>
    <w:p>
      <w:pPr>
        <w:pStyle w:val="TextBody"/>
        <w:bidi w:val="0"/>
        <w:spacing w:before="0" w:after="240"/>
        <w:jc w:val="both"/>
        <w:rPr/>
      </w:pPr>
      <w:r>
        <w:rPr>
          <w:color w:val="171717"/>
        </w:rPr>
        <w:t>“</w:t>
      </w:r>
      <w:r>
        <w:rPr>
          <w:rFonts w:ascii="Times New Roman" w:hAnsi="Times New Roman"/>
          <w:b/>
          <w:i/>
          <w:color w:val="171717"/>
          <w:sz w:val="24"/>
        </w:rPr>
        <w:t>TSR</w:t>
      </w:r>
      <w:r>
        <w:rPr>
          <w:rFonts w:ascii="Times New Roman" w:hAnsi="Times New Roman"/>
          <w:color w:val="171717"/>
          <w:sz w:val="20"/>
        </w:rPr>
        <w:t xml:space="preserve">” </w:t>
      </w:r>
      <w:r>
        <w:rPr>
          <w:rFonts w:ascii="Times New Roman" w:hAnsi="Times New Roman"/>
          <w:color w:val="171717"/>
          <w:sz w:val="24"/>
        </w:rPr>
        <w:t>means total stockholder return.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171717"/>
          <w:sz w:val="24"/>
        </w:rPr>
      </w:pPr>
      <w:r>
        <w:rPr>
          <w:rFonts w:ascii="Times New Roman" w:hAnsi="Times New Roman"/>
          <w:b/>
          <w:color w:val="171717"/>
          <w:sz w:val="24"/>
        </w:rPr>
        <w:t>EXHIBIT A</w:t>
      </w:r>
    </w:p>
    <w:p>
      <w:pPr>
        <w:pStyle w:val="TextBody"/>
        <w:bidi w:val="0"/>
        <w:spacing w:before="0" w:after="200"/>
        <w:jc w:val="center"/>
        <w:rPr>
          <w:rFonts w:ascii="Times New Roman" w:hAnsi="Times New Roman"/>
          <w:b/>
          <w:color w:val="171717"/>
          <w:sz w:val="24"/>
        </w:rPr>
      </w:pPr>
      <w:r>
        <w:rPr>
          <w:rFonts w:ascii="Times New Roman" w:hAnsi="Times New Roman"/>
          <w:b/>
          <w:color w:val="171717"/>
          <w:sz w:val="24"/>
        </w:rPr>
        <w:t>Certification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certify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I have read and understand the Company’s Compensation Recovery Policy (the “</w:t>
      </w:r>
      <w:r>
        <w:rPr>
          <w:rFonts w:ascii="Times New Roman" w:hAnsi="Times New Roman"/>
          <w:b/>
          <w:i/>
          <w:color w:val="000000"/>
          <w:sz w:val="24"/>
        </w:rPr>
        <w:t>Policy</w:t>
      </w:r>
      <w:r>
        <w:rPr>
          <w:color w:val="000000"/>
        </w:rPr>
        <w:t>”</w:t>
      </w:r>
      <w:r>
        <w:rPr>
          <w:rFonts w:ascii="Times New Roman" w:hAnsi="Times New Roman"/>
          <w:color w:val="000000"/>
          <w:sz w:val="24"/>
        </w:rPr>
        <w:t>). I understand that the Company’s General Counsel is available to answer any questions I have regarding the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understand that the Policy applies to all of my existing and future compensation-related agreements with the Company with respect to Incentive-Based Compensation Received after the Listing Rule Effective Date, whether or not explicitly stated therein.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the Policy, nothing herein limits any other</w:t>
      </w:r>
      <w:r>
        <w:rPr>
          <w:color w:val="171717"/>
        </w:rPr>
        <w:t xml:space="preserve"> </w:t>
      </w:r>
      <w:r>
        <w:rPr>
          <w:rFonts w:ascii="Times New Roman" w:hAnsi="Times New Roman"/>
          <w:color w:val="171717"/>
          <w:sz w:val="24"/>
        </w:rPr>
        <w:t>remedies or rights of recoupment that may be available to the Company.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agree to abide by the terms of the Policy, including, without limitation, by returning any Recoupment Amount to the Company to the extent required by, and in a manner permitted by, the Policy.</w:t>
      </w:r>
    </w:p>
    <w:p>
      <w:pPr>
        <w:pStyle w:val="TextBody"/>
        <w:bidi w:val="0"/>
        <w:spacing w:before="0" w:after="24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Signature: </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Date: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171717"/>
          <w:sz w:val="24"/>
        </w:rPr>
      </w:pPr>
      <w:r>
        <w:rPr>
          <w:rFonts w:ascii="Times New Roman" w:hAnsi="Times New Roman"/>
          <w:b/>
          <w:color w:val="171717"/>
          <w:sz w:val="24"/>
        </w:rPr>
        <w:t>EXHIBIT B</w:t>
      </w:r>
    </w:p>
    <w:p>
      <w:pPr>
        <w:pStyle w:val="TextBody"/>
        <w:bidi w:val="0"/>
        <w:spacing w:before="0" w:after="200"/>
        <w:jc w:val="center"/>
        <w:rPr>
          <w:rFonts w:ascii="Times New Roman" w:hAnsi="Times New Roman"/>
          <w:b/>
          <w:color w:val="1E1E1E"/>
          <w:sz w:val="24"/>
        </w:rPr>
      </w:pPr>
      <w:r>
        <w:rPr>
          <w:rFonts w:ascii="Times New Roman" w:hAnsi="Times New Roman"/>
          <w:b/>
          <w:color w:val="1E1E1E"/>
          <w:sz w:val="24"/>
        </w:rPr>
        <w:t>Calculation Guidelines</w:t>
      </w:r>
    </w:p>
    <w:p>
      <w:pPr>
        <w:pStyle w:val="TextBody"/>
        <w:bidi w:val="0"/>
        <w:spacing w:before="0" w:after="240"/>
        <w:jc w:val="both"/>
        <w:rPr>
          <w:rFonts w:ascii="Times New Roman" w:hAnsi="Times New Roman"/>
          <w:sz w:val="20"/>
        </w:rPr>
      </w:pPr>
      <w:r>
        <w:rPr>
          <w:rFonts w:ascii="Times New Roman" w:hAnsi="Times New Roman"/>
          <w:color w:val="171717"/>
          <w:sz w:val="24"/>
        </w:rPr>
        <w:t>The Recoupment Amount will be calculated in accordance with the Final Rules as determined by the Administrator, illustrative, non-exclusive examples of which are provided in the Calculation Guidelines below:</w:t>
      </w:r>
      <w:r>
        <w:rPr>
          <w:rFonts w:ascii="Times New Roman" w:hAnsi="Times New Roman"/>
          <w:color w:val="171717"/>
          <w:sz w:val="20"/>
        </w:rPr>
        <w:t xml:space="preserve">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 xml:space="preserve">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 </w:t>
      </w:r>
    </w:p>
    <w:p>
      <w:pPr>
        <w:pStyle w:val="TextBody"/>
        <w:bidi w:val="0"/>
        <w:spacing w:before="0" w:after="240"/>
        <w:jc w:val="both"/>
        <w:rPr/>
      </w:pPr>
      <w:r>
        <w:rPr/>
        <w:t>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ii.</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 xml:space="preserve">For cash awards paid from bonus pools, the erroneously awarded compensation is the pro rata portion of any deficiency that results from the aggregate bonus pool that is reduced based on applying the restated Financial Reporting Measure. </w:t>
      </w:r>
    </w:p>
    <w:p>
      <w:pPr>
        <w:pStyle w:val="TextBody"/>
        <w:bidi w:val="0"/>
        <w:spacing w:before="0" w:after="240"/>
        <w:jc w:val="both"/>
        <w:rPr/>
      </w:pPr>
      <w:r>
        <w:rPr/>
        <w:t>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iii.</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pStyle w:val="TextBody"/>
        <w:bidi w:val="0"/>
        <w:spacing w:before="0" w:after="240"/>
        <w:jc w:val="both"/>
        <w:rPr/>
      </w:pPr>
      <w:r>
        <w:rPr/>
        <w:t>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iv.</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For Incentive-Based Compensation based on stock price or TSR, where the amount of erroneously awarded compensation is not subject to mathematical recalculation directly from the information in an accounting restatement: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171717"/>
          <w:sz w:val="24"/>
        </w:rPr>
      </w:pPr>
      <w:r>
        <w:rPr>
          <w:rFonts w:ascii="Times New Roman" w:hAnsi="Times New Roman"/>
          <w:color w:val="171717"/>
          <w:sz w:val="24"/>
        </w:rPr>
        <w:t>The amount must be based on a reasonable estimate of the effect of the accounting restatement on the stock price or TSR upon which the Incentive-Based Compensation was Received; and</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The Company must maintain documentation of the determination of that reasonable estimate and the Company must provide such documentation to the Exchange in all cases.</w:t>
      </w:r>
    </w:p>
    <w:p>
      <w:pPr>
        <w:pStyle w:val="TextBody"/>
        <w:bidi w:val="0"/>
        <w:spacing w:before="0" w:after="20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jpeg"/><Relationship Id="rId19" Type="http://schemas.openxmlformats.org/officeDocument/2006/relationships/hyperlink" Target="https://www.sec.gov/Archives/edgar/data/1845337/000095017023039118/dawn-ex3_1.htm" TargetMode="External"/><Relationship Id="rId20" Type="http://schemas.openxmlformats.org/officeDocument/2006/relationships/hyperlink" Target="https://www.sec.gov/Archives/edgar/data/1845337/000119312523046522/d467705dex31.htm" TargetMode="External"/><Relationship Id="rId21" Type="http://schemas.openxmlformats.org/officeDocument/2006/relationships/hyperlink" Target="https://www.sec.gov/Archives/edgar/data/1845337/000095017022002959/dawn-ex3_3.htm" TargetMode="External"/><Relationship Id="rId22" Type="http://schemas.openxmlformats.org/officeDocument/2006/relationships/hyperlink" Target="https://www.sec.gov/Archives/edgar/data/1845337/000119312521169895/d155073dex41.htm" TargetMode="External"/><Relationship Id="rId23" Type="http://schemas.openxmlformats.org/officeDocument/2006/relationships/hyperlink" Target="https://www.sec.gov/Archives/edgar/data/1845337/000119312521150017/d155073dex42.htm" TargetMode="External"/><Relationship Id="rId24" Type="http://schemas.openxmlformats.org/officeDocument/2006/relationships/hyperlink" Target="https://www.sec.gov/Archives/edgar/data/1845337/000095017022002959/dawn-ex4_3.htm" TargetMode="External"/><Relationship Id="rId25" Type="http://schemas.openxmlformats.org/officeDocument/2006/relationships/hyperlink" Target="https://www.sec.gov/Archives/edgar/data/1845337/000119312521150017/d155073dex101.htm" TargetMode="External"/><Relationship Id="rId26" Type="http://schemas.openxmlformats.org/officeDocument/2006/relationships/hyperlink" Target="https://www.sec.gov/Archives/edgar/data/1845337/000095017022002959/dawn-ex10_2.htm" TargetMode="External"/><Relationship Id="rId27" Type="http://schemas.openxmlformats.org/officeDocument/2006/relationships/hyperlink" Target="https://www.sec.gov/Archives/edgar/data/1845337/000119312524002434/d698978dex991.htm" TargetMode="External"/><Relationship Id="rId28" Type="http://schemas.openxmlformats.org/officeDocument/2006/relationships/hyperlink" Target="https://www.sec.gov/Archives/edgar/data/1845337/000119312524002434/d698978dex992.htm" TargetMode="External"/><Relationship Id="rId29" Type="http://schemas.openxmlformats.org/officeDocument/2006/relationships/hyperlink" Target="https://www.sec.gov/Archives/edgar/data/1845337/000119312522273901/d387617dex991.htm" TargetMode="External"/><Relationship Id="rId30" Type="http://schemas.openxmlformats.org/officeDocument/2006/relationships/hyperlink" Target="https://www.sec.gov/Archives/edgar/data/1845337/000095017022014859/dawn-ex10_1.htm" TargetMode="External"/><Relationship Id="rId31" Type="http://schemas.openxmlformats.org/officeDocument/2006/relationships/hyperlink" Target="https://www.sec.gov/Archives/edgar/data/1845337/000119312521150017/d155073dex105.htm" TargetMode="External"/><Relationship Id="rId32" Type="http://schemas.openxmlformats.org/officeDocument/2006/relationships/hyperlink" Target="https://www.sec.gov/Archives/edgar/data/1845337/000119312521150017/d155073dex106.htm" TargetMode="External"/><Relationship Id="rId33" Type="http://schemas.openxmlformats.org/officeDocument/2006/relationships/hyperlink" Target="https://www.sec.gov/Archives/edgar/data/1845337/000119312521150017/d155073dex107.htm" TargetMode="External"/><Relationship Id="rId34" Type="http://schemas.openxmlformats.org/officeDocument/2006/relationships/hyperlink" Target="https://www.sec.gov/Archives/edgar/data/1845337/000119312521150017/d155073dex108.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113400</Words>
  <Characters>637505</Characters>
  <CharactersWithSpaces>751570</CharactersWithSpaces>
  <Paragraphs>8119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