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awn-20250630.htm"/>
      <w:bookmarkStart w:id="1" w:name="ksdawn20250630"/>
      <w:bookmarkEnd w:id="0"/>
      <w:bookmarkEnd w:id="1"/>
      <w:r>
        <w:rPr/>
        <w:t> </w:t>
      </w:r>
    </w:p>
    <w:p>
      <w:pPr>
        <w:pStyle w:val="TextBody"/>
        <w:pBdr>
          <w:top w:val="double" w:sz="6" w:space="1" w:color="000000"/>
        </w:pBdr>
        <w:bidi w:val="0"/>
        <w:jc w:val="center"/>
        <w:rPr>
          <w:rFonts w:ascii="Times New Roman" w:hAnsi="Times New Roman"/>
          <w:b/>
          <w:color w:val="000000"/>
          <w:sz w:val="2"/>
        </w:rPr>
      </w:pPr>
      <w:r>
        <w:rPr>
          <w:rFonts w:ascii="Times New Roman" w:hAnsi="Times New Roman"/>
          <w:b/>
          <w:color w:val="000000"/>
          <w:sz w:val="2"/>
        </w:rPr>
        <w:t>f</w:t>
      </w:r>
    </w:p>
    <w:p>
      <w:pPr>
        <w:pStyle w:val="TextBody"/>
        <w:bidi w:val="0"/>
        <w:spacing w:before="80" w:after="283"/>
        <w:jc w:val="center"/>
        <w:rPr>
          <w:rFonts w:ascii="Times New Roman" w:hAnsi="Times New Roman"/>
          <w:b/>
          <w:color w:val="000000"/>
          <w:sz w:val="34"/>
        </w:rPr>
      </w:pPr>
      <w:r>
        <w:rPr>
          <w:rFonts w:ascii="Times New Roman" w:hAnsi="Times New Roman"/>
          <w:b/>
          <w:color w:val="000000"/>
          <w:sz w:val="34"/>
        </w:rPr>
        <w:t>UNITED STATES</w:t>
      </w:r>
    </w:p>
    <w:p>
      <w:pPr>
        <w:pStyle w:val="TextBody"/>
        <w:bidi w:val="0"/>
        <w:jc w:val="center"/>
        <w:rPr>
          <w:rFonts w:ascii="Times New Roman" w:hAnsi="Times New Roman"/>
          <w:sz w:val="20"/>
        </w:rPr>
      </w:pPr>
      <w:r>
        <w:rPr>
          <w:rFonts w:ascii="Times New Roman" w:hAnsi="Times New Roman"/>
          <w:b/>
          <w:color w:val="000000"/>
          <w:sz w:val="3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4"/>
        </w:rPr>
        <w:t>FORM 10-Q</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color w:val="000000"/>
          <w:sz w:val="14"/>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2"/>
        </w:rPr>
        <w:t>QUARTERLY REPORT 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For the quarterly period ended June 30, 2025</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b/>
          <w:color w:val="000000"/>
          <w:sz w:val="22"/>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Commission File Number: 001-40431</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46"/>
        </w:rPr>
        <w:t>DAY ONE BIOPHARMACEUTICALS,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tbl>
      <w:tblPr>
        <w:tblW w:w="4217" w:type="dxa"/>
        <w:jc w:val="left"/>
        <w:tblInd w:w="0" w:type="dxa"/>
        <w:tblLayout w:type="fixed"/>
        <w:tblCellMar>
          <w:top w:w="28" w:type="dxa"/>
          <w:left w:w="28" w:type="dxa"/>
          <w:bottom w:w="28" w:type="dxa"/>
          <w:right w:w="28" w:type="dxa"/>
        </w:tblCellMar>
      </w:tblPr>
      <w:tblGrid>
        <w:gridCol w:w="2971"/>
        <w:gridCol w:w="1246"/>
      </w:tblGrid>
      <w:tr>
        <w:trPr/>
        <w:tc>
          <w:tcPr>
            <w:tcW w:w="297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97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83-2415215</w:t>
            </w:r>
          </w:p>
        </w:tc>
      </w:tr>
      <w:tr>
        <w:trPr/>
        <w:tc>
          <w:tcPr>
            <w:tcW w:w="29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9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1800 Sierra Point Parkway, Suite 200</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Brisbane,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94005</w:t>
            </w:r>
          </w:p>
        </w:tc>
      </w:tr>
      <w:tr>
        <w:trPr/>
        <w:tc>
          <w:tcPr>
            <w:tcW w:w="2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b/>
          <w:color w:val="000000"/>
          <w:sz w:val="18"/>
        </w:rPr>
      </w:pPr>
      <w:r>
        <w:rPr>
          <w:rFonts w:ascii="Times New Roman" w:hAnsi="Times New Roman"/>
          <w:b/>
          <w:color w:val="000000"/>
          <w:sz w:val="18"/>
        </w:rPr>
        <w:t>(650) 484-0899</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w:t>
      </w:r>
    </w:p>
    <w:p>
      <w:pPr>
        <w:pStyle w:val="TextBody"/>
        <w:bidi w:val="0"/>
        <w:jc w:val="center"/>
        <w:rPr>
          <w:rFonts w:ascii="Times New Roman" w:hAnsi="Times New Roman"/>
          <w:sz w:val="20"/>
        </w:rPr>
      </w:pPr>
      <w:r>
        <w:rPr>
          <w:rFonts w:ascii="Times New Roman" w:hAnsi="Times New Roman"/>
          <w:b/>
          <w:color w:val="000000"/>
          <w:sz w:val="14"/>
        </w:rPr>
        <w:t>(Former name, former address and former fiscal year, if changed since last report)</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tbl>
      <w:tblPr>
        <w:tblW w:w="7308" w:type="dxa"/>
        <w:jc w:val="left"/>
        <w:tblInd w:w="0" w:type="dxa"/>
        <w:tblLayout w:type="fixed"/>
        <w:tblCellMar>
          <w:top w:w="28" w:type="dxa"/>
          <w:left w:w="28" w:type="dxa"/>
          <w:bottom w:w="28" w:type="dxa"/>
          <w:right w:w="28" w:type="dxa"/>
        </w:tblCellMar>
      </w:tblPr>
      <w:tblGrid>
        <w:gridCol w:w="3526"/>
        <w:gridCol w:w="1081"/>
        <w:gridCol w:w="2701"/>
      </w:tblGrid>
      <w:tr>
        <w:trPr/>
        <w:tc>
          <w:tcPr>
            <w:tcW w:w="352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 Symbol</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par value $0.0001 per share</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DAWN</w:t>
            </w:r>
          </w:p>
        </w:tc>
        <w:tc>
          <w:tcPr>
            <w:tcW w:w="270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Nasdaq Global Select Market</w:t>
            </w:r>
          </w:p>
        </w:tc>
      </w:tr>
    </w:tbl>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As of July 31, 2025, the registrant had 102,431,933</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21E of the Securities Exchange Act of 1934, as amended, or the Exchange Act, and section 27A of the Securities Act of 1933, as amended, or the Securities Act. All statements contained in this Quarterly Report other than statements of historical fact, including statements regarding our future results of operations and financial position, business strategy, market size, potential growth opportunities, nonclinical and clinical development activities, efficacy and safety profile of OJEMDA (tovorafenib) and our product candidates, potential therapeutic benefits and economic value of OJEMDA and our product candidates, our ability to market and sell OJEMDA while maintaining full compliance with applicable federal and state laws, rules and regulations, use of net proceeds from our public offerings, our ability to maintain and recognize the benefits of certain designations received by products and product candidates, the timing and results of nonclinical studies and clinical trials, commercial collaboration with third parties, and our ability to recognize milestone and royalty payments from commercialization agreements, the potential impact of global business or macroeconomic conditions, including as a result of inflation, changing interest rates, cybersecurity incidents, significant political or regulatory developments or changes in tax or trade policy, including tariffs, shifting priorities within the U.S. Food and Drug Administration and reduced funding to federal healthcare programs, and global regional conflicts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other similar expressions that convey uncertainty of future events or outcomes are intended to identify forward-looking statements, although not all forward-looking statements contain these identifying words.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forward-looking statements are subject to a number of risks, uncertainties and assumptions, including those described in Part II, Item 1A, “Risk Factors” and elsewhere in this Quarterly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 You should read this Quarterly Report with the understanding that our actual future results, levels of activity, performance and events and circumstances may be materially different from what we expect.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the context indicates otherwise, as used in this Quarterly Report on Form 10-Q, the terms “Day One,” “the Company,” “we,” “us,” and “our” refer to Day One Biopharmaceuticals, Inc., a Delaware corporation unless otherwise noted. “Day One” and all product and product candidate names are our common law trademarks.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9948" w:type="dxa"/>
        <w:jc w:val="left"/>
        <w:tblInd w:w="0" w:type="dxa"/>
        <w:tblLayout w:type="fixed"/>
        <w:tblCellMar>
          <w:top w:w="28" w:type="dxa"/>
          <w:left w:w="28" w:type="dxa"/>
          <w:bottom w:w="28" w:type="dxa"/>
          <w:right w:w="28" w:type="dxa"/>
        </w:tblCellMar>
      </w:tblPr>
      <w:tblGrid>
        <w:gridCol w:w="1126"/>
        <w:gridCol w:w="8251"/>
        <w:gridCol w:w="571"/>
      </w:tblGrid>
      <w:tr>
        <w:trPr/>
        <w:tc>
          <w:tcPr>
            <w:tcW w:w="1126" w:type="dxa"/>
            <w:tcBorders/>
            <w:vAlign w:val="center"/>
          </w:tcPr>
          <w:p>
            <w:pPr>
              <w:pStyle w:val="TableContents"/>
              <w:bidi w:val="0"/>
              <w:spacing w:before="0" w:after="283"/>
              <w:jc w:val="left"/>
              <w:rPr>
                <w:sz w:val="4"/>
                <w:szCs w:val="4"/>
              </w:rPr>
            </w:pPr>
            <w:r>
              <w:rPr>
                <w:sz w:val="4"/>
                <w:szCs w:val="4"/>
              </w:rPr>
            </w:r>
          </w:p>
        </w:tc>
        <w:tc>
          <w:tcPr>
            <w:tcW w:w="825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
              <w:r>
                <w:rPr>
                  <w:rStyle w:val="InternetLink"/>
                  <w:rFonts w:ascii="Times New Roman" w:hAnsi="Times New Roman"/>
                  <w:color w:val="0000FF"/>
                  <w:sz w:val="20"/>
                  <w:u w:val="single"/>
                </w:rPr>
                <w:t>FINANCIAL INFORMATION</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2">
              <w:r>
                <w:rPr>
                  <w:rStyle w:val="InternetLink"/>
                  <w:rFonts w:ascii="Times New Roman" w:hAnsi="Times New Roman"/>
                  <w:color w:val="0000FF"/>
                  <w:sz w:val="20"/>
                  <w:u w:val="single"/>
                </w:rPr>
                <w:t>Interim Condensed Financial Statements (Unaudited)</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3">
              <w:r>
                <w:rPr>
                  <w:rStyle w:val="InternetLink"/>
                  <w:rFonts w:ascii="Times New Roman" w:hAnsi="Times New Roman"/>
                  <w:color w:val="0000FF"/>
                  <w:sz w:val="20"/>
                  <w:u w:val="single"/>
                </w:rPr>
                <w:t>Condensed Balance Sheets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4">
              <w:r>
                <w:rPr>
                  <w:rStyle w:val="InternetLink"/>
                  <w:rFonts w:ascii="Times New Roman" w:hAnsi="Times New Roman"/>
                  <w:color w:val="0000FF"/>
                  <w:sz w:val="20"/>
                  <w:u w:val="single"/>
                </w:rPr>
                <w:t>Condensed Statements of Operations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ocl">
              <w:r>
                <w:rPr>
                  <w:rStyle w:val="InternetLink"/>
                  <w:rFonts w:ascii="Times New Roman" w:hAnsi="Times New Roman"/>
                  <w:color w:val="0000FF"/>
                  <w:sz w:val="20"/>
                  <w:u w:val="single"/>
                </w:rPr>
                <w:t>Condensed Statements of Comprehensive Loss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6">
              <w:r>
                <w:rPr>
                  <w:rStyle w:val="InternetLink"/>
                  <w:rFonts w:ascii="Times New Roman" w:hAnsi="Times New Roman"/>
                  <w:color w:val="0000FF"/>
                  <w:sz w:val="20"/>
                  <w:u w:val="single"/>
                </w:rPr>
                <w:t>Condensed Statements of Stockholders’ Equity</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7">
              <w:r>
                <w:rPr>
                  <w:rStyle w:val="InternetLink"/>
                  <w:rFonts w:ascii="Times New Roman" w:hAnsi="Times New Roman"/>
                  <w:color w:val="0000FF"/>
                  <w:sz w:val="20"/>
                  <w:u w:val="single"/>
                </w:rPr>
                <w:t>Condensed Statements of Cash Flows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8">
              <w:r>
                <w:rPr>
                  <w:rStyle w:val="InternetLink"/>
                  <w:rFonts w:ascii="Times New Roman" w:hAnsi="Times New Roman"/>
                  <w:color w:val="0000FF"/>
                  <w:sz w:val="20"/>
                  <w:u w:val="single"/>
                </w:rPr>
                <w:t>Notes to Condensed Financial Statements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10</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9">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24</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0">
              <w:r>
                <w:rPr>
                  <w:rStyle w:val="InternetLink"/>
                  <w:rFonts w:ascii="Times New Roman" w:hAnsi="Times New Roman"/>
                  <w:color w:val="0000FF"/>
                  <w:sz w:val="20"/>
                  <w:u w:val="single"/>
                </w:rPr>
                <w:t>Quantitative and Qualitative Disclosures About Market Risk</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36</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1">
              <w:r>
                <w:rPr>
                  <w:rStyle w:val="InternetLink"/>
                  <w:rFonts w:ascii="Times New Roman" w:hAnsi="Times New Roman"/>
                  <w:color w:val="0000FF"/>
                  <w:sz w:val="20"/>
                  <w:u w:val="single"/>
                </w:rPr>
                <w:t>Controls and Procedures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36</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37</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legal_proeedings">
              <w:r>
                <w:rPr>
                  <w:rStyle w:val="InternetLink"/>
                  <w:rFonts w:ascii="Times New Roman" w:hAnsi="Times New Roman"/>
                  <w:color w:val="0000FF"/>
                  <w:sz w:val="20"/>
                  <w:u w:val="single"/>
                </w:rPr>
                <w:t>Legal Proceedings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37</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a_risk_factors">
              <w:r>
                <w:rPr>
                  <w:rStyle w:val="InternetLink"/>
                  <w:rFonts w:ascii="Times New Roman" w:hAnsi="Times New Roman"/>
                  <w:color w:val="0000FF"/>
                  <w:sz w:val="20"/>
                  <w:u w:val="single"/>
                </w:rPr>
                <w:t>Risk Factors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37</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5">
              <w:r>
                <w:rPr>
                  <w:rStyle w:val="InternetLink"/>
                  <w:rFonts w:ascii="Times New Roman" w:hAnsi="Times New Roman"/>
                  <w:color w:val="0000FF"/>
                  <w:sz w:val="20"/>
                  <w:u w:val="single"/>
                </w:rPr>
                <w:t>Unregistered Sales of Equity Securities, Use of Proceeds, and Issuer Purchases of Equity Securities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96</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6">
              <w:r>
                <w:rPr>
                  <w:rStyle w:val="InternetLink"/>
                  <w:rFonts w:ascii="Times New Roman" w:hAnsi="Times New Roman"/>
                  <w:color w:val="0000FF"/>
                  <w:sz w:val="20"/>
                  <w:u w:val="single"/>
                </w:rPr>
                <w:t>Defaults Upon Senior Securities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96</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7">
              <w:r>
                <w:rPr>
                  <w:rStyle w:val="InternetLink"/>
                  <w:rFonts w:ascii="Times New Roman" w:hAnsi="Times New Roman"/>
                  <w:color w:val="0000FF"/>
                  <w:sz w:val="20"/>
                  <w:u w:val="single"/>
                </w:rPr>
                <w:t>Mine Safety Disclosures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96</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8">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96</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9">
              <w:r>
                <w:rPr>
                  <w:rStyle w:val="InternetLink"/>
                  <w:rFonts w:ascii="Times New Roman" w:hAnsi="Times New Roman"/>
                  <w:color w:val="0000FF"/>
                  <w:sz w:val="20"/>
                  <w:u w:val="single"/>
                </w:rPr>
                <w:t>Exhibits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97</w:t>
            </w:r>
          </w:p>
        </w:tc>
      </w:tr>
      <w:tr>
        <w:trPr/>
        <w:tc>
          <w:tcPr>
            <w:tcW w:w="9377" w:type="dxa"/>
            <w:gridSpan w:val="2"/>
            <w:tcBorders/>
            <w:tcMar>
              <w:top w:w="0" w:type="dxa"/>
              <w:left w:w="0" w:type="dxa"/>
              <w:bottom w:w="0" w:type="dxa"/>
              <w:right w:w="0" w:type="dxa"/>
            </w:tcMar>
            <w:vAlign w:val="center"/>
          </w:tcPr>
          <w:p>
            <w:pPr>
              <w:pStyle w:val="TableContents"/>
              <w:bidi w:val="0"/>
              <w:spacing w:before="0" w:after="283"/>
              <w:jc w:val="left"/>
              <w:rPr/>
            </w:pPr>
            <w:hyperlink w:anchor="tx180355_20">
              <w:r>
                <w:rPr>
                  <w:rStyle w:val="InternetLink"/>
                  <w:rFonts w:ascii="Times New Roman" w:hAnsi="Times New Roman"/>
                  <w:color w:val="0000FF"/>
                  <w:sz w:val="20"/>
                  <w:u w:val="single"/>
                </w:rPr>
                <w:t>Signatures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98</w:t>
            </w:r>
          </w:p>
        </w:tc>
      </w:tr>
    </w:tbl>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tx180355_1"/>
      <w:bookmarkEnd w:id="2"/>
      <w:r>
        <w:rPr>
          <w:rFonts w:ascii="Times New Roman" w:hAnsi="Times New Roman"/>
          <w:b/>
          <w:caps/>
          <w:color w:val="000000"/>
          <w:sz w:val="20"/>
        </w:rPr>
        <w:t>PART I-FINANCIAL INFORMATION</w:t>
      </w:r>
      <w:r>
        <w:rPr>
          <w:rFonts w:ascii="Times New Roman" w:hAnsi="Times New Roman"/>
          <w:caps/>
          <w:color w:val="000000"/>
          <w:sz w:val="20"/>
        </w:rPr>
        <w:t xml:space="preserve"> </w:t>
      </w:r>
    </w:p>
    <w:p>
      <w:pPr>
        <w:pStyle w:val="TextBody"/>
        <w:bidi w:val="0"/>
        <w:spacing w:before="240" w:after="283"/>
        <w:jc w:val="center"/>
        <w:rPr>
          <w:rFonts w:ascii="Times New Roman" w:hAnsi="Times New Roman"/>
          <w:b/>
          <w:color w:val="000000"/>
          <w:sz w:val="20"/>
        </w:rPr>
      </w:pPr>
      <w:bookmarkStart w:id="3" w:name="tx180355_2"/>
      <w:bookmarkStart w:id="4" w:name="tx180355_3"/>
      <w:bookmarkEnd w:id="3"/>
      <w:bookmarkEnd w:id="4"/>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49"/>
        <w:gridCol w:w="146"/>
        <w:gridCol w:w="196"/>
        <w:gridCol w:w="826"/>
        <w:gridCol w:w="166"/>
        <w:gridCol w:w="146"/>
        <w:gridCol w:w="203"/>
        <w:gridCol w:w="860"/>
        <w:gridCol w:w="513"/>
      </w:tblGrid>
      <w:tr>
        <w:trPr/>
        <w:tc>
          <w:tcPr>
            <w:tcW w:w="7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7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2024</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1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124,968</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406,752</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13,876</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3,321</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13,413</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14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562,330</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2,285</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2,422</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15,630</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Deposits and 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14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519,037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582,788</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3,262</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68,625</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1,554</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14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73,451</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portion of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3,233</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2,592</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14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80,037</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500,000,000</w:t>
            </w:r>
            <w:r>
              <w:rPr>
                <w:rFonts w:ascii="Times New Roman" w:hAnsi="Times New Roman"/>
                <w:color w:val="000000"/>
                <w:sz w:val="20"/>
              </w:rPr>
              <w:t> </w:t>
            </w:r>
            <w:r>
              <w:rPr>
                <w:rFonts w:ascii="Times New Roman" w:hAnsi="Times New Roman"/>
                <w:color w:val="000000"/>
                <w:sz w:val="18"/>
              </w:rPr>
              <w:t>shares authorized as of June 30, 2025 and December 31, 2024; 102,431,933</w:t>
            </w:r>
            <w:r>
              <w:rPr>
                <w:rFonts w:ascii="Times New Roman" w:hAnsi="Times New Roman"/>
                <w:color w:val="000000"/>
                <w:sz w:val="20"/>
              </w:rPr>
              <w:t> </w:t>
            </w:r>
            <w:r>
              <w:rPr>
                <w:rFonts w:ascii="Times New Roman" w:hAnsi="Times New Roman"/>
                <w:color w:val="000000"/>
                <w:sz w:val="18"/>
              </w:rPr>
              <w:t>and 101,116,162</w:t>
            </w:r>
            <w:r>
              <w:rPr>
                <w:rFonts w:ascii="Times New Roman" w:hAnsi="Times New Roman"/>
                <w:color w:val="000000"/>
                <w:sz w:val="20"/>
              </w:rPr>
              <w:t> </w:t>
            </w:r>
            <w:r>
              <w:rPr>
                <w:rFonts w:ascii="Times New Roman" w:hAnsi="Times New Roman"/>
                <w:color w:val="000000"/>
                <w:sz w:val="18"/>
              </w:rPr>
              <w:t>shares issued and outstanding as of June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1,056,738</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(554,081</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714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502,751</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14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582,788</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the condensed financial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color w:val="000000"/>
          <w:sz w:val="2"/>
        </w:rPr>
        <w:t>4</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tx180355_4"/>
      <w:bookmarkEnd w:id="5"/>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884"/>
        <w:gridCol w:w="146"/>
        <w:gridCol w:w="196"/>
        <w:gridCol w:w="1006"/>
        <w:gridCol w:w="166"/>
        <w:gridCol w:w="146"/>
        <w:gridCol w:w="196"/>
        <w:gridCol w:w="916"/>
        <w:gridCol w:w="166"/>
        <w:gridCol w:w="146"/>
        <w:gridCol w:w="196"/>
        <w:gridCol w:w="1006"/>
        <w:gridCol w:w="166"/>
        <w:gridCol w:w="146"/>
        <w:gridCol w:w="196"/>
        <w:gridCol w:w="916"/>
        <w:gridCol w:w="611"/>
      </w:tblGrid>
      <w:tr>
        <w:trPr/>
        <w:tc>
          <w:tcPr>
            <w:tcW w:w="3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product and license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132,316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189,766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(181,574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from sale of priority review voucher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non-operating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111,952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116,307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(66,819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number of common shares used in net loss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103,069,154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87,121,310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102,890,506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86,864,545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number of common shares used in net loss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103,069,154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87,121,310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102,890,506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86,864,545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Times New Roman" w:hAnsi="Times New Roman"/>
          <w:i/>
          <w:color w:val="000000"/>
          <w:sz w:val="20"/>
        </w:rPr>
        <w:t>See accompanying notes to the condensed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condensed_consolidated_socl"/>
      <w:bookmarkEnd w:id="6"/>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Statements 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8217" w:type="dxa"/>
        <w:jc w:val="left"/>
        <w:tblInd w:w="0" w:type="dxa"/>
        <w:tblLayout w:type="fixed"/>
        <w:tblCellMar>
          <w:top w:w="28" w:type="dxa"/>
          <w:left w:w="28" w:type="dxa"/>
          <w:bottom w:w="28" w:type="dxa"/>
          <w:right w:w="28" w:type="dxa"/>
        </w:tblCellMar>
      </w:tblPr>
      <w:tblGrid>
        <w:gridCol w:w="3506"/>
        <w:gridCol w:w="146"/>
        <w:gridCol w:w="196"/>
        <w:gridCol w:w="661"/>
        <w:gridCol w:w="166"/>
        <w:gridCol w:w="146"/>
        <w:gridCol w:w="196"/>
        <w:gridCol w:w="571"/>
        <w:gridCol w:w="166"/>
        <w:gridCol w:w="146"/>
        <w:gridCol w:w="196"/>
        <w:gridCol w:w="661"/>
        <w:gridCol w:w="166"/>
        <w:gridCol w:w="146"/>
        <w:gridCol w:w="196"/>
        <w:gridCol w:w="661"/>
        <w:gridCol w:w="291"/>
      </w:tblGrid>
      <w:tr>
        <w:trPr/>
        <w:tc>
          <w:tcPr>
            <w:tcW w:w="3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(66,819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(66,850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tx180355_6"/>
      <w:bookmarkEnd w:id="7"/>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83"/>
        <w:gridCol w:w="146"/>
        <w:gridCol w:w="146"/>
        <w:gridCol w:w="1006"/>
        <w:gridCol w:w="166"/>
        <w:gridCol w:w="146"/>
        <w:gridCol w:w="271"/>
        <w:gridCol w:w="480"/>
        <w:gridCol w:w="146"/>
        <w:gridCol w:w="146"/>
        <w:gridCol w:w="200"/>
        <w:gridCol w:w="847"/>
        <w:gridCol w:w="146"/>
        <w:gridCol w:w="146"/>
        <w:gridCol w:w="525"/>
        <w:gridCol w:w="885"/>
        <w:gridCol w:w="166"/>
        <w:gridCol w:w="146"/>
        <w:gridCol w:w="233"/>
        <w:gridCol w:w="893"/>
        <w:gridCol w:w="166"/>
        <w:gridCol w:w="146"/>
        <w:gridCol w:w="255"/>
        <w:gridCol w:w="901"/>
        <w:gridCol w:w="214"/>
      </w:tblGrid>
      <w:tr>
        <w:trPr/>
        <w:tc>
          <w:tcPr>
            <w:tcW w:w="1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101,116,162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1,056,738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502,751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common stock forfeiture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(35,996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101,353,781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1,069,631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(590,077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479,512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pursuant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(30,322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102,431,933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1,081,315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460,834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95"/>
        <w:gridCol w:w="146"/>
        <w:gridCol w:w="146"/>
        <w:gridCol w:w="916"/>
        <w:gridCol w:w="166"/>
        <w:gridCol w:w="146"/>
        <w:gridCol w:w="271"/>
        <w:gridCol w:w="480"/>
        <w:gridCol w:w="146"/>
        <w:gridCol w:w="146"/>
        <w:gridCol w:w="215"/>
        <w:gridCol w:w="761"/>
        <w:gridCol w:w="146"/>
        <w:gridCol w:w="146"/>
        <w:gridCol w:w="621"/>
        <w:gridCol w:w="823"/>
        <w:gridCol w:w="166"/>
        <w:gridCol w:w="146"/>
        <w:gridCol w:w="233"/>
        <w:gridCol w:w="893"/>
        <w:gridCol w:w="166"/>
        <w:gridCol w:w="146"/>
        <w:gridCol w:w="258"/>
        <w:gridCol w:w="913"/>
        <w:gridCol w:w="214"/>
      </w:tblGrid>
      <w:tr>
        <w:trPr/>
        <w:tc>
          <w:tcPr>
            <w:tcW w:w="1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87,227,132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805,107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346,540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release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common stock forfeiture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(62,412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87,377,163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296,806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pursuant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common stock forfeiture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13,052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87,692,916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832,148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(525,404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306,731</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tx180355_7"/>
      <w:bookmarkEnd w:id="8"/>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9769" w:type="dxa"/>
        <w:jc w:val="left"/>
        <w:tblInd w:w="0" w:type="dxa"/>
        <w:tblLayout w:type="fixed"/>
        <w:tblCellMar>
          <w:top w:w="28" w:type="dxa"/>
          <w:left w:w="28" w:type="dxa"/>
          <w:bottom w:w="28" w:type="dxa"/>
          <w:right w:w="28" w:type="dxa"/>
        </w:tblCellMar>
      </w:tblPr>
      <w:tblGrid>
        <w:gridCol w:w="6606"/>
        <w:gridCol w:w="146"/>
        <w:gridCol w:w="196"/>
        <w:gridCol w:w="751"/>
        <w:gridCol w:w="166"/>
        <w:gridCol w:w="146"/>
        <w:gridCol w:w="196"/>
        <w:gridCol w:w="751"/>
        <w:gridCol w:w="811"/>
      </w:tblGrid>
      <w:tr>
        <w:trPr/>
        <w:tc>
          <w:tcPr>
            <w:tcW w:w="6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(66,819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25,674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discounts on short-term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operating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from sale of priority review voucher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Deposits and 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60,548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(98,858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purchase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(168,761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maturity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184,232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priority review voucher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106,345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upon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upon Employee Stock Purchase Plan 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230,784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239,616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noncash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not yet paid for acquired intangible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Right-of-use asset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not yet paid for upfront license agreement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55,000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the condensed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tx180355_8"/>
      <w:bookmarkEnd w:id="9"/>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Notes to the Condensed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Description of Business and Organization </w:t>
      </w:r>
    </w:p>
    <w:p>
      <w:pPr>
        <w:pStyle w:val="TextBody"/>
        <w:bidi w:val="0"/>
        <w:spacing w:before="120" w:after="283"/>
        <w:jc w:val="left"/>
        <w:rPr>
          <w:rFonts w:ascii="Times New Roman" w:hAnsi="Times New Roman"/>
          <w:sz w:val="20"/>
        </w:rPr>
      </w:pPr>
      <w:r>
        <w:rPr>
          <w:rFonts w:ascii="Times New Roman" w:hAnsi="Times New Roman"/>
          <w:b/>
          <w:i/>
          <w:color w:val="000000"/>
          <w:sz w:val="20"/>
        </w:rPr>
        <w:t>Organization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Day One Biopharmaceuticals, Inc. is a biopharmaceutical company dedicated to developing and commercializing targeted therapies for people of all ages with life-threatening diseases. The Company was founded in November 2018 and is headquartered in Brisbane, CA.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unaudited condensed financial statements have been prepared in accordance with accounting principles generally accepted in the United States, or U.S. GAAP, for interim financial information and Article 10 of Regulation S-X of the Securities and Exchange Commission, or SEC, and should be read in conjunction with the Company's financial statements and notes thereto contained in the Company's Annual Report on Form 10-K for the year ended December 31, 2024, filed with the SEC on February 25, 2025. The condensed financial statements presented in this Quarterly Report on Form 10-Q are unaudited; however, in the opinion of management, such financial statements reflect all adjustments, consisting solely of normal recurring adjustments, necessary for a fair statement of the results for the interim periods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reference in these notes to applicable guidance is meant to refer to the authoritative GAAP as found in Accounting Standards Codification, or ASC, and Accounting Standards Updates, or ASU, of the Financial Accounting Standards Board, or FASB.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prior period amounts in the Notes to the Condensed Financial Statements have been reclassified to conform to the current period's presentation. These reclassifications did not affect the prior period's total assets, liabilities, stockholders' equity, net loss or cash flows. Specifically, the reclassifications separately present accrued rebates, accrued royalties and accrued federal and state taxes within Note 5.</w:t>
      </w:r>
    </w:p>
    <w:p>
      <w:pPr>
        <w:pStyle w:val="TextBody"/>
        <w:bidi w:val="0"/>
        <w:spacing w:before="12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financial statements in conformity with U.S. GAAP requires management to make estimates and assumptions that affect the reported amounts of assets, liabilities and disclosure of contingent assets and liabilities at the date of the condensed financial statements, and the reported amounts of expenses during the reporting period. Estimates and assumptions made in the accompanying condensed financial statements include, but are not limited to, accruals for research and development expenses, variable consideration and other relevant inputs impacting the gross and net revenue recognition, the valuation of share-based awards, and the valuation of deferred tax assets. The Company bases its estimates on historical experience and on various other assumptions that are believed to be reasonable. Actual results may differ from those estimates or assumptions.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entity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subject the Company to significant concentrations of credit risk consist primarily of cash, cash equivalents, short-term investments, and accounts receivable. Amounts on deposit may at times exceed federally insured limits. The Company is exposed to credit risk in the event of default by the financial institutions holding its cash, cash equivalents and short-term investments that are recorded on its balance sheet. Per policy, the Company mitigates its risk by investing in high-grade instruments and limiting the concentration in any one non-United States government or government backed issuer, which limits its exposure. The Company has not experienced any losses on its cash, cash equivalents and short-term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2025, two individual customers accounted for 98.1% of total net product revenue, with these individual customers representing 61.8% and 36.3% of the Company's total net product revenue. As of June 30, 2025, two customers accounted for 92.7% of the accounts receivable balance, with these individual customers representing 49.1% and 43.6% of the accounts receivable balance. No other individual customers account for more than 10.0% of net product revenue or accounts receivable. The Company monitors the financial condition of its customers so that it can appropriately respond to changes in their creditworthiness. To date, the Company has not experienced any losses with respect to the collection of its accounts receivable.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certain risks and uncertainties and believes that changes in any of the following areas could have a material adverse effect on the Company's future financial position or results of its operations: ability to obtain future financing; regulatory requirements for approval and market acceptance of, and reimbursement for, product candidates; performance of third-party clinical research organizations and manufacturers upon which the Company relies; development of sales channels; protection of the Company’s intellectual property; litigation or claims against the Company based on intellectual property, patent, product, regulatory or other factors; changes to the market landscape; and the Company’s ability to attract and retain employees necessary to support its growth.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dependent on third-party manufacturers to supply products for commercial and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No. 2023-09, Income Taxes (Topic 740) – Improvements to Income Tax Disclosures, which enhances the transparency and decision usefulness of income tax disclosures by requiring disclosure of disaggregated income taxes paid, prescribes standard categories for the components of the effective tax rate reconciliation, and modifies other income tax-related disclosures. The ASU is effective for fiscal years beginning after December 15, 2024 and allows for adoption on a prospective basis, with a retrospective option. The Company is currently evaluating the effect of this update on its financial statement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No. 2024-03, Income Statement—Reporting Comprehensive Income—Expense Disaggregation Disclosures, which requires disclosure, in the notes to financial statements, of specified information about certain costs and expenses at each interim and annual reporting period. The ASU is effective for fiscal years beginning after December 15, 2026 and allows for adoption on a prospective basis, with a retrospective option. Early adoption is permitted. The Company is currently evaluating the effect of this update on its financial statement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Recurring Fair Value Measurements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Company’s financial instruments as of June 30, 2025 and December 31, 2024, which are measured at fair value on a recurring basis by level within the fair value hierarchy (in thousands):</w:t>
      </w:r>
    </w:p>
    <w:tbl>
      <w:tblPr>
        <w:tblW w:w="7825" w:type="dxa"/>
        <w:jc w:val="left"/>
        <w:tblInd w:w="0" w:type="dxa"/>
        <w:tblLayout w:type="fixed"/>
        <w:tblCellMar>
          <w:top w:w="28" w:type="dxa"/>
          <w:left w:w="28" w:type="dxa"/>
          <w:bottom w:w="28" w:type="dxa"/>
          <w:right w:w="28" w:type="dxa"/>
        </w:tblCellMar>
      </w:tblPr>
      <w:tblGrid>
        <w:gridCol w:w="3011"/>
        <w:gridCol w:w="146"/>
        <w:gridCol w:w="211"/>
        <w:gridCol w:w="676"/>
        <w:gridCol w:w="146"/>
        <w:gridCol w:w="146"/>
        <w:gridCol w:w="211"/>
        <w:gridCol w:w="781"/>
        <w:gridCol w:w="146"/>
        <w:gridCol w:w="146"/>
        <w:gridCol w:w="239"/>
        <w:gridCol w:w="391"/>
        <w:gridCol w:w="146"/>
        <w:gridCol w:w="146"/>
        <w:gridCol w:w="211"/>
        <w:gridCol w:w="781"/>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317,345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441,338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825" w:type="dxa"/>
        <w:jc w:val="left"/>
        <w:tblInd w:w="0" w:type="dxa"/>
        <w:tblLayout w:type="fixed"/>
        <w:tblCellMar>
          <w:top w:w="28" w:type="dxa"/>
          <w:left w:w="28" w:type="dxa"/>
          <w:bottom w:w="28" w:type="dxa"/>
          <w:right w:w="28" w:type="dxa"/>
        </w:tblCellMar>
      </w:tblPr>
      <w:tblGrid>
        <w:gridCol w:w="3011"/>
        <w:gridCol w:w="146"/>
        <w:gridCol w:w="211"/>
        <w:gridCol w:w="676"/>
        <w:gridCol w:w="146"/>
        <w:gridCol w:w="146"/>
        <w:gridCol w:w="211"/>
        <w:gridCol w:w="781"/>
        <w:gridCol w:w="146"/>
        <w:gridCol w:w="146"/>
        <w:gridCol w:w="239"/>
        <w:gridCol w:w="391"/>
        <w:gridCol w:w="146"/>
        <w:gridCol w:w="146"/>
        <w:gridCol w:w="211"/>
        <w:gridCol w:w="781"/>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311,487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183,375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511,590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money market funds are classified as Level 1 because they are measured using observable inputs from active markets for identical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U.S. treasury securities and U.S. government agency securities are classified as Level 2 because they are measured with inputs that are either directly or indirectly observable for the asset which include quoted prices for similar assets in active markets and quoted prices for identical or similar assets in markets that are not active.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assets or liabilities classified as Level 3 as of June 30, 2025 and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transfers between Level 1, Level 2 or Level 3 categories during the periods presented.</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estimated fair value of the Company's cash equivalents, available-for-sale securities classified as short-term investments, and associated unrealized gains and losses (in thousands): </w:t>
      </w:r>
    </w:p>
    <w:tbl>
      <w:tblPr>
        <w:tblW w:w="9969" w:type="dxa"/>
        <w:jc w:val="left"/>
        <w:tblInd w:w="0" w:type="dxa"/>
        <w:tblLayout w:type="fixed"/>
        <w:tblCellMar>
          <w:top w:w="28" w:type="dxa"/>
          <w:left w:w="28" w:type="dxa"/>
          <w:bottom w:w="28" w:type="dxa"/>
          <w:right w:w="28" w:type="dxa"/>
        </w:tblCellMar>
      </w:tblPr>
      <w:tblGrid>
        <w:gridCol w:w="3011"/>
        <w:gridCol w:w="146"/>
        <w:gridCol w:w="265"/>
        <w:gridCol w:w="980"/>
        <w:gridCol w:w="146"/>
        <w:gridCol w:w="146"/>
        <w:gridCol w:w="510"/>
        <w:gridCol w:w="840"/>
        <w:gridCol w:w="146"/>
        <w:gridCol w:w="146"/>
        <w:gridCol w:w="420"/>
        <w:gridCol w:w="960"/>
        <w:gridCol w:w="166"/>
        <w:gridCol w:w="146"/>
        <w:gridCol w:w="351"/>
        <w:gridCol w:w="1299"/>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100,136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317,345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417,481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969" w:type="dxa"/>
        <w:jc w:val="left"/>
        <w:tblInd w:w="0" w:type="dxa"/>
        <w:tblLayout w:type="fixed"/>
        <w:tblCellMar>
          <w:top w:w="28" w:type="dxa"/>
          <w:left w:w="28" w:type="dxa"/>
          <w:bottom w:w="28" w:type="dxa"/>
          <w:right w:w="28" w:type="dxa"/>
        </w:tblCellMar>
      </w:tblPr>
      <w:tblGrid>
        <w:gridCol w:w="3011"/>
        <w:gridCol w:w="146"/>
        <w:gridCol w:w="265"/>
        <w:gridCol w:w="980"/>
        <w:gridCol w:w="146"/>
        <w:gridCol w:w="146"/>
        <w:gridCol w:w="510"/>
        <w:gridCol w:w="840"/>
        <w:gridCol w:w="146"/>
        <w:gridCol w:w="146"/>
        <w:gridCol w:w="495"/>
        <w:gridCol w:w="885"/>
        <w:gridCol w:w="166"/>
        <w:gridCol w:w="146"/>
        <w:gridCol w:w="351"/>
        <w:gridCol w:w="1299"/>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75,163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104,838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108,212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298,540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406,752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maturities of our cash equivalents and available-for-sale securities (in thousands): </w:t>
      </w:r>
    </w:p>
    <w:tbl>
      <w:tblPr>
        <w:tblW w:w="5072" w:type="dxa"/>
        <w:jc w:val="left"/>
        <w:tblInd w:w="0" w:type="dxa"/>
        <w:tblLayout w:type="fixed"/>
        <w:tblCellMar>
          <w:top w:w="28" w:type="dxa"/>
          <w:left w:w="28" w:type="dxa"/>
          <w:bottom w:w="28" w:type="dxa"/>
          <w:right w:w="28" w:type="dxa"/>
        </w:tblCellMar>
      </w:tblPr>
      <w:tblGrid>
        <w:gridCol w:w="2206"/>
        <w:gridCol w:w="146"/>
        <w:gridCol w:w="265"/>
        <w:gridCol w:w="980"/>
        <w:gridCol w:w="146"/>
        <w:gridCol w:w="146"/>
        <w:gridCol w:w="211"/>
        <w:gridCol w:w="78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Mature in one year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5072" w:type="dxa"/>
        <w:jc w:val="left"/>
        <w:tblInd w:w="0" w:type="dxa"/>
        <w:tblLayout w:type="fixed"/>
        <w:tblCellMar>
          <w:top w:w="28" w:type="dxa"/>
          <w:left w:w="28" w:type="dxa"/>
          <w:bottom w:w="28" w:type="dxa"/>
          <w:right w:w="28" w:type="dxa"/>
        </w:tblCellMar>
      </w:tblPr>
      <w:tblGrid>
        <w:gridCol w:w="2206"/>
        <w:gridCol w:w="146"/>
        <w:gridCol w:w="265"/>
        <w:gridCol w:w="980"/>
        <w:gridCol w:w="146"/>
        <w:gridCol w:w="146"/>
        <w:gridCol w:w="211"/>
        <w:gridCol w:w="78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Mature in one year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regularly reviews the changes to the rating of its securities and monitors the surrounding economic conditions to assess the risk of expected credit losses. As of June 30, 2025 and December 31, 2024, there were no securities that were in an unrealized loss position for more than 12 months. As of June 30, 2025, the unrealized losses on the Company’s short-term investments were primarily caused by interest rate increases. The Company does not expect the issuers to settle any security at a price less than the amortized cost basis of the investment with the contractual cash flows of these investments guaranteed by the issuer. No allowance for credit losses has been recorded since it is not more-likely-than-not that the Company will be required to sell the investments before recovery of their amortized cost basis.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consisted of the following (in thousands):</w:t>
      </w:r>
    </w:p>
    <w:tbl>
      <w:tblPr>
        <w:tblW w:w="3962" w:type="dxa"/>
        <w:jc w:val="left"/>
        <w:tblInd w:w="0" w:type="dxa"/>
        <w:tblLayout w:type="fixed"/>
        <w:tblCellMar>
          <w:top w:w="28" w:type="dxa"/>
          <w:left w:w="28" w:type="dxa"/>
          <w:bottom w:w="28" w:type="dxa"/>
          <w:right w:w="28" w:type="dxa"/>
        </w:tblCellMar>
      </w:tblPr>
      <w:tblGrid>
        <w:gridCol w:w="1456"/>
        <w:gridCol w:w="146"/>
        <w:gridCol w:w="211"/>
        <w:gridCol w:w="571"/>
        <w:gridCol w:w="146"/>
        <w:gridCol w:w="146"/>
        <w:gridCol w:w="294"/>
        <w:gridCol w:w="801"/>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began capitalizing inventory for OJEMDA upon approval by the U.S. Food and Drug Administration, or FDA, in April 2024. Prior to regulatory approval, all direct and indirect manufacturing costs were charged to research and development expense in the period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is comprised of raw materials, work-in-process and finished goods, and includes costs related to third-party contract manufacturing, packaging, freight-in and overhead. Inventory is stated at the lower of cost or net realizable value with cost based on the first-in-first-out method. Raw and intermediate materials that may be used for either research and development or commercial purposes where the intended use is not yet known are classified as inventory until the material is consumed or otherwise allocated for research and development. If the material is used or otherwise allocated for research and development, it is expensed as research and development in the period that determination is made.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performs an assessment of the recoverability of capitalized inventory during each reporting period, and it writes down any excess and obsolete inventories to their estimated realizable value in the period in which the impairment is first identified. Such impairment charges, should they occur, are recorded within cost of product and license revenue. The determination of whether inventory costs will be realizable requires estimates by management. If actual market conditions are less favorable than projected by management, additional write-downs of inventory may be required, which would be recorded as a cost of product and license revenue in the statements of operations. There were no expenses recorded for excess inventory or other impairments during the three and six months ended June 30, 2025 and June 30,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Balance Sheet Items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 (in thousands):</w:t>
      </w:r>
    </w:p>
    <w:tbl>
      <w:tblPr>
        <w:tblW w:w="6542" w:type="dxa"/>
        <w:jc w:val="left"/>
        <w:tblInd w:w="0" w:type="dxa"/>
        <w:tblLayout w:type="fixed"/>
        <w:tblCellMar>
          <w:top w:w="28" w:type="dxa"/>
          <w:left w:w="28" w:type="dxa"/>
          <w:bottom w:w="28" w:type="dxa"/>
          <w:right w:w="28" w:type="dxa"/>
        </w:tblCellMar>
      </w:tblPr>
      <w:tblGrid>
        <w:gridCol w:w="3931"/>
        <w:gridCol w:w="146"/>
        <w:gridCol w:w="211"/>
        <w:gridCol w:w="676"/>
        <w:gridCol w:w="146"/>
        <w:gridCol w:w="146"/>
        <w:gridCol w:w="260"/>
        <w:gridCol w:w="835"/>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tbl>
      <w:tblPr>
        <w:tblW w:w="6887" w:type="dxa"/>
        <w:jc w:val="left"/>
        <w:tblInd w:w="0" w:type="dxa"/>
        <w:tblLayout w:type="fixed"/>
        <w:tblCellMar>
          <w:top w:w="28" w:type="dxa"/>
          <w:left w:w="28" w:type="dxa"/>
          <w:bottom w:w="28" w:type="dxa"/>
          <w:right w:w="28" w:type="dxa"/>
        </w:tblCellMar>
      </w:tblPr>
      <w:tblGrid>
        <w:gridCol w:w="4276"/>
        <w:gridCol w:w="146"/>
        <w:gridCol w:w="211"/>
        <w:gridCol w:w="676"/>
        <w:gridCol w:w="146"/>
        <w:gridCol w:w="146"/>
        <w:gridCol w:w="260"/>
        <w:gridCol w:w="835"/>
        <w:gridCol w:w="19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rebates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milestone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federal and state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Intangible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Intangible assets, net consisted of the following:</w:t>
      </w:r>
    </w:p>
    <w:tbl>
      <w:tblPr>
        <w:tblW w:w="6532" w:type="dxa"/>
        <w:jc w:val="left"/>
        <w:tblInd w:w="0" w:type="dxa"/>
        <w:tblLayout w:type="fixed"/>
        <w:tblCellMar>
          <w:top w:w="28" w:type="dxa"/>
          <w:left w:w="28" w:type="dxa"/>
          <w:bottom w:w="28" w:type="dxa"/>
          <w:right w:w="28" w:type="dxa"/>
        </w:tblCellMar>
      </w:tblPr>
      <w:tblGrid>
        <w:gridCol w:w="3501"/>
        <w:gridCol w:w="146"/>
        <w:gridCol w:w="211"/>
        <w:gridCol w:w="676"/>
        <w:gridCol w:w="166"/>
        <w:gridCol w:w="146"/>
        <w:gridCol w:w="260"/>
        <w:gridCol w:w="835"/>
        <w:gridCol w:w="591"/>
      </w:tblGrid>
      <w:tr>
        <w:trPr/>
        <w:tc>
          <w:tcPr>
            <w:tcW w:w="3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 with finite lives: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agreement milestone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PRV-related obligation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Intangible assets,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incurred amortization expense of $0.8 million and $1.5 million for the three and six months ended June 30, 2025, respectively. The Company incurred amortization expense of $0.3 million for the three and six months ended June 30, 2024.</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estimated aggregate amortization expense for amortizable, finite-lived intangible assets as of June 30, 2025 is as follows:</w:t>
      </w:r>
    </w:p>
    <w:tbl>
      <w:tblPr>
        <w:tblW w:w="5118" w:type="dxa"/>
        <w:jc w:val="left"/>
        <w:tblInd w:w="0" w:type="dxa"/>
        <w:tblLayout w:type="fixed"/>
        <w:tblCellMar>
          <w:top w:w="28" w:type="dxa"/>
          <w:left w:w="28" w:type="dxa"/>
          <w:bottom w:w="28" w:type="dxa"/>
          <w:right w:w="28" w:type="dxa"/>
        </w:tblCellMar>
      </w:tblPr>
      <w:tblGrid>
        <w:gridCol w:w="3746"/>
        <w:gridCol w:w="257"/>
        <w:gridCol w:w="824"/>
        <w:gridCol w:w="291"/>
      </w:tblGrid>
      <w:tr>
        <w:trPr/>
        <w:tc>
          <w:tcPr>
            <w:tcW w:w="37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Amortization</w:t>
              <w:br/>
              <w:t>Expense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future expected amortization expense</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Significant Agreements</w:t>
      </w:r>
    </w:p>
    <w:p>
      <w:pPr>
        <w:pStyle w:val="TextBody"/>
        <w:bidi w:val="0"/>
        <w:spacing w:before="120" w:after="283"/>
        <w:jc w:val="left"/>
        <w:rPr>
          <w:rFonts w:ascii="Times New Roman" w:hAnsi="Times New Roman"/>
          <w:sz w:val="20"/>
        </w:rPr>
      </w:pPr>
      <w:r>
        <w:rPr>
          <w:rFonts w:ascii="Times New Roman" w:hAnsi="Times New Roman"/>
          <w:b/>
          <w:i/>
          <w:color w:val="000000"/>
          <w:sz w:val="20"/>
        </w:rPr>
        <w:t>Takeda asset purchase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16, 2019, a subsidiary of the Company entered into an asset purchase agreement, or the Takeda Asset Agreement, with Millennium Pharmaceuticals, Inc., a related party and an affiliate of Takeda Pharmaceutical Company Limited, or Takeda. Effective December 31, 2021, the subsidiary was merged with and into the Company, with the Company being the surviving corporation and assuming the subsidiary’s obligations under the Takeda Asset Agreement. Pursuant to the Takeda Asset Agreement, the Company purchased certain technology rights and know-how related to TAK-580 (which is now OJEMDA (tovorafenib)) that provides a new approach for treating patients with primary brain tumors or brain metastases of solid tumors. The Company also received clinical inventory supplies to use in the Company's research and development activities of such RAF-inhibitor and an assigned investigator clinical trial agreement. Takeda also assigned to the Company its exclusive license agreement, or the Viracta License Agreement, with Viracta. Takeda also granted the Company a worldwide, sublicensable exclusive license under specified patents and know-how and non-exclusive license under other patents and know-how generated by Takeda under the Takeda Asset Agreement. The Company also granted Takeda a grant back license, as defined in the Takeda Asset Agreement, which is terminable either automatically or by the Company in the event Takeda does not achieve specified development milestones within the applicable timeframes set forth under the Takeda Asset Agreement. This grant back license to Takeda was terminated at the time of conversion of the Company from an LLC to a corporation in connection with the Millennium Stock Exchange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Takeda Asset Agreement will expire on a country-by-country basis upon expiration of all assigned patent rights and all licensed patent rights in such country. Takeda can terminate the Takeda Asset Agreement in the event of the Company's bankruptcy. In the event of termination of the Takeda Asset Agreement by Takeda as a result of the Company's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sale and assignment of assets and the grant of the license under the Takeda Asset Agreement, the Company made an upfront payment of $1.0 million in cash and issued 9,857,143 shares of Series A redeemable convertible preferred stock in the Company’s subsidiary in December 2019. The fair value of issued shares was estimated as $9.9 million, based on the price paid by other investors for issued shares in the Series A financing of the Company’s subsidiary. Based on the terms of the Millennium Stock Exchange Agreement, Takeda exchanged the 9,857,143 shares of Series A redeemable convertible preferred stock of the Company’s subsidiary for 6,470,382 shares of the Company's common stock upon the effectiveness of the conversion of the Company from an LLC to a corporation, on May 26, 2021.</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Viracta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16, 2019, a subsidiary of the Company amended and restated the Viracta License Agreement that was assigned pursuant to the Takeda Asset Agreement. Effective December 31, 2021, the subsidiary was merged with and into the Company, with the Company being the surviving corporation and assuming the subsidiary’s obligations under Viracta License Agreement. Under the Viracta License Agreement, the Company received a worldwide exclusive license under specified patent rights and know-how to develop, use, manufacture, and commercialize products containing compounds binding the RAF protein family.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Viracta License Agreement will expire on a licensed product-by-licensed product and country-by-country basis upon the expiration of the Company’s obligation to pay royalties to Viracta with respect to such product in such country. The Company has the right to terminate the Viracta License Agreement with respect to any or all of the licensed products at will upon a specified notice period.</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paid $2.0 million upfront in cash to Viracta in December 2019, which was recorded as research and development expenses as the technology does not have an alternative future 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4, 2024, the Company entered into an amendment to the Viracta License Agreement. As part of the amendment, the Company made a one-time payment in March 2024 to Viracta of $5.0 million, which was recorded as research and development expenses during the year ended December 31, 2024, in exchange for reduced future payment obligations ranging from the mid-teens to the high single-digit percentage related to the future sale or use of the rare pediatric disease priority review voucher, or PRV, received.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23, 2024, the FDA approved OJEMDA (a tablet formulation and powder solution formulation of tovorafenib) for the treatment of patients 6 months of age and older with relapsed or refractory pLGG harboring a BRAF fusion or rearrangement, or BRAF V600 mutation. The indication was approved under accelerated approval based on response rate and duration of response. With the approval, the Company received a rare pediatric disease PRV from the FDA. The Company made a $9.0 million milestone payment to Viracta in May 2024 for the achievement of this milestone. The $9.0 million milestone was accounted for as a finite-lived intangible asset and will be amortized over the life of the underlying asset. Related amortization expense will be recorded as cost of product and license revenue in the Company’s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29, 2024, the Company sold its rare pediatric disease PRV for $108.0 million to an undisclosed buyer. As part of the transaction, $8.1 million of the total consideration received from the sale of the rare pediatric disease PRV was paid to Viracta to fully satisfy PRV-related obligations under the Viracta License Agreement and was capitalized as a finite-lived intangible asset, which will be amortized on a straight-line basis over its estimated useful life. The gross proceeds of $108.0 million were recorded as a gain from sale of priority review voucher in the accompanying statements of operations during the year ended December 31, 2024. As of June 30, 2025, the unamortized finite-lived intangible asset was $6.9 million. Related amortization expense will be recorded as cost of product and license revenue in the Company’s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 2024, Viracta assigned the Viracta License Agreement to XOMA (US) LLC, or XOMA, pursuant to a Royalty Purchase Agreement dated March 22, 2021, between Viracta and XOMA, whereby Viracta sold its right, title, and interest in and to the Viracta License Agreement to XOMA. The Company has agreed to the assignment and novation of the Viracta License Agreement to XOMA as successor party, now referred to as the XOMA License Agreement. In connection with such assignment, the parties also agreed to assign all rights, title and interest in related intellectual property. No material terms of the XOMA License Agreement have been amended or modified in relation to the same.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27, 2025, Ipsen Pharma SAS received validation of its completed submission of the Marketing Authorization Application to the European Medicines Agency, or EMA, for tovorafenib for the treatment of patients with relapsed or refractory pLGG. As a result, the Company paid $4.0 million to XOMA for the achievement of this milestone in March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the Company could be required to make additional milestone payments of up to $36.0 million upon achievement of specified development and regulatory milestones for each licensed product in two indications, with milestones payable for the second indication upon achievement of a specified milestone event being lower than milestones payable for the first indication. Commencing with the first commercial sale of OJEMDA in a country, the Company is obligated to pay tiered royalties ranging in the mid-single-digit percentages on net sales of licensed products. The obligation to pay royalties will end on a country-by-country and licensed product-by-licensed product basis commencing on the first commercial sale in a country and continuing until the later of: (i) the expiration of the last valid claim of the XOMA licensed patents, jointly owned collaboration patents or specified patents owned by the Company covering the use or sale of such product in such country, (ii) the expiration of the last statutory exclusivity pertaining to such product in such country or (iii) the tenth anniversary of the first commercial sale of such product in such country. </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 with Merck KGaA, Darmstadt, Germany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10, 2021, a subsidiary of the Company entered into a license agreement, or the MRKDG License Agreement, with Merck KGaA, Darmstadt, Germany, a pharmaceutical corporation located in Darmstadt, Germany. Effective December 31, 2021, the subsidiary was merged with and into the Company, with the Company being the surviving corporation and assuming the subsidiary’s obligations under the MRKDG License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MRKDG License Agreement, Merck KGaA, Darmstadt, Germany granted to the Company an exclusive worldwide license, with the right to grant sublicenses through multiple tiers, under specified patent rights and know-how for the Company to research, develop, manufacture and commercialize products containing and comprising the pimasertib and MSC2015103B compounds. The Company also received clinical inventory supplies to use in its research and development activities. The Company's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 Under the MRKDG License Agreement, the Company has obligations to use commercially reasonable efforts to develop and commercialize at least two licensed products in at least two specified major market countries by the year 2029.</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MRKDG License Agreement will expire on a licensed product-by-licensed product and country-by-country basis upon the expiration of the Company's obligation to pay royalties to the licensor with respect to such licensed product in such country and will expire in its entirety upon the expiration of all of the Company's payment obligations with respect to all licensed products and all countries under the MRKDG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rights granted under the MRKDG License Agreement and clinical supplies, the Company made an upfront payment of $8.0 million in March 2021, which was recorded as research and development expenses, as the technology does not have an alternative future use and supplies are used for research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Company discontinued its monotherapy substudy due to a limited duration of response in this rare patient population despite observing responses with a generally well tolerated therapy. In July 2024, the Company informed Merck KGaA, Darmstadt, Germany that the Company decided to close the program because the benefit/risk profile, as well as the market opportunity, did not justify the significant investment required to continue the trial despite observing some clinical responses. As of June 30, 2025, the Company is in the process of finalizing a termination agreement.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collaboration and license agreement with Sprint Bioscience 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15, 2023, the Company entered into a research collaboration and license agreement, or the Sprint License Agreement, with Sprint Bioscience AB, or Sprint, a Swedish corporation located in Huddinge, Sweden. Under the Sprint License Agreement, Sprint granted to the Company an exclusive, worldwide license, with the right to grant sublicenses through multiple tiers, to research, develop, and commercialize pharmaceutical products and to engage in research aimed at discovery, optimization and development of an inhibitor targeting Vaccinia Related Kinase 1, or VRK1. In consideration for the rights granted under the Sprint License Agreement, the Company paid $3.0 million upfront in cash to Sprint in September 2023, which was recorded as research and development expenses as the technology does not have an alternative future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Sprint License Agreement will expire on a licensed product and country basis upon the expiration of the royalty term with respect to such licensed product and such country, unless terminated earlier. The Company has the right to terminate the Sprint License Agreement in its entirety, or on a licensed product-by-licensed product basis, at will upon a specified notice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9, 2025, the Company notified Sprint of its decision to discontinue its investment in the VRK1 program and terminated the Sprint License Agreement, with termination taking effect on August 15, 2025. This decision was made following careful consideration of the current development status of the program and the Company's overall strategic objectives.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MabCare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17, 2024, the Company entered into a license agreement, or the MabCare License Agreement, with MabCare Therapeutics, or MabCare, a pharmaceutical corporation located in Shanghai, China. Under the MabCare License Agreement, MabCare granted to the Company an exclusive worldwide license, excluding Greater China, with the right to grant sublicenses through multiple tiers, under specified patent rights and know-how for the Company to develop, manufacture and commercialize DAY301 (formerly MTX-13), a novel Antibody Drug Conjugate, or ADC, targeting protein-tyrosine kinase 7, or PTK7. The Company will also receive clinical inventory supplies to use in its research and development activities. Under the MabCare License Agreement, the Company has obligations to use commercially reasonable efforts to develop, obtain regulatory approval for, and commercialize at least one licensed product in one indication in each of the United States, Japan, and three European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MabCare License Agreement will expire in its entirety upon the expiration of the last to expire royalty term with respect to all licensed products in the Company's territory, unless terminated earlier. Following the expiration of the royalty term for a licensed product in a country, the license granted to the Company shall become non-exclusive, fully paid-up, royalty-free, perpetual, and irrevocable for such licensed product in such country. Upon the expiration of the term, the license granted to the Company shall become non-exclusive, transferable, sublicensable, fully paid, royalty free, perpetual, and irrevocable in its entirety.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rights granted under the MabCare License Agreement, the Company made a $55.0 million upfront payment in July 2024. The upfront payment was recorded as research and development expenses, as the technology and supplies licensed do not have an alternative future use. As of June 30, 2025, the Company could be required to make additional payments of $1,132.0 million based upon the achievement of specified development, regulatory, and commercial success-based milestones plus low-to-mid single-digit royalties on net sales outside of Greater China. Milestones and royalties are contingent upon future events and will be recorded when the milestones are achieved and when payments are due. In January 2025, the Company cleared the first cohort (a single-patient accelerated titration cohort) in the Phase 1a portion of the DAY301 Phase 1a/b clinical trial. The Company made a $20.0 million milestone payment to MabCare in January 2025 for the achievement of this milestone.</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Ipsen Pharma SAS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23, 2024, the Company entered into the Ipsen License Agreement, pursuant to which, the Company licensed to Ipsen, on an exclusive basis, the right to commercialize tovorafenib in all territories outside the United States and agreed to provide certain research and development and manufacturing services. Ipsen shall have the right to grant sublicenses to third-parties.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Ipsen License Agreement, (i) Ipsen paid the Company an upfront license fee in the amount of $70.8 million in August 2024 and (ii) the Investor, a fully-owned United States affiliate of Ipsen, purchased 2,341,495 shares of the Company’s common stock in a private placement for $40.0 million, at a price per share representing a 17.0% premium to the VWAP of the Company’s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the Company and the Investor dated July 23,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the Company is also eligible to receive up to approximately $380.0 million in additional commercial launch and sales-based milestone payments based on exchange rates as of the reporting date. The Company is also entitled to tiered, double-digit royalty payments starting at mid-teens percentage of annual net sales of tovorafenib, subject to customary adjustments specified in the Ipsen License Agreement. The royalty payment obligations under the Ipsen License Agreement expire on a country-by-country basis no earlier than ten years following the first commercial sale of tovorafenib in the applicable country.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Ipsen License Agreement provides that the Company will supply to Ipsen, and Ipsen will purchase from the Company, all required quantities of tovorafenib for all territories outside the United States in accordance with a supply agreement to be entered into by and between the Company and Ipsen, or the Ipsen Supply Agreement. The Company determined that the cost-plus rate to be charged for the supply of tovorafenib does not represent a material right. Ipsen has the right to request a manufacturing technology transfer of the then-current manufacturing process of tovorafenib under the Ipsen License Agreement, and such consent shall not be unreasonably withheld, such that upon completion of the manufacturing technology transfer, Ipsen or a third-party would be solely responsible for the manufacture of tovorafenib for all territories outside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two-year anniversary of July 23, 2024, the effective date of the Ipsen License Agreement, Ipsen may terminate the Ipsen License Agreement for convenience with six months’ prior written notice or for certain other specified reasons. The Company may terminate the Ipsen License Agreement if Ipsen or any of its affiliates challenge the validity of any patents controlled by the Company that are licensed under the Ipsen License Agreement. Both Ipsen and the Company may terminate the Ipsen License Agreement (i) for material breach by the other party and a failure to cure such breach within the time period specified in the Ipsen License Agreement or (ii) the other party’s bankruptcy event.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evaluated the Ipsen License Agreement under Accounting Standards Codification, or ASC, 606 and concluded that Ipsen represents a customer in the transaction. The Company identified two distinct performance obligations for licenses to intellectual property in the form of the exclusive license to </w:t>
      </w:r>
      <w:r>
        <w:rPr>
          <w:rFonts w:ascii="Times New Roman" w:hAnsi="Times New Roman"/>
          <w:color w:val="212529"/>
          <w:sz w:val="20"/>
        </w:rPr>
        <w:t xml:space="preserve">commercialize tovorafenib outside the United States for both (i) relapsed or </w:t>
      </w:r>
      <w:r>
        <w:rPr>
          <w:rFonts w:ascii="Times New Roman" w:hAnsi="Times New Roman"/>
          <w:color w:val="000000"/>
          <w:sz w:val="20"/>
        </w:rPr>
        <w:t>refractory and (ii) front-line pLGG;</w:t>
      </w:r>
      <w:r>
        <w:rPr>
          <w:rFonts w:ascii="Times New Roman" w:hAnsi="Times New Roman"/>
          <w:color w:val="212529"/>
          <w:sz w:val="20"/>
        </w:rPr>
        <w:t xml:space="preserve"> </w:t>
      </w:r>
      <w:r>
        <w:rPr>
          <w:rFonts w:ascii="Times New Roman" w:hAnsi="Times New Roman"/>
          <w:color w:val="000000"/>
          <w:sz w:val="20"/>
        </w:rPr>
        <w:t>and three distinct research and development performance obligations related to tovorafenib for completion of (i) the pivotal Phase 2 relapsed or refractory pLGG trial, or FIREFLY-1, (ii) the pivotal Phase 3 front-line pLGG trial, or FIREFLY-2, and (iii) the European Union, or EU, companion diagnostic for pLGG. Both the FIREFLY-1 and FIREFLY-2 trials related to pLGG pertain to later-stage intellectual property and only involve validating the efficacy of tovorafenib with respect to each distinct designation and are not expected to significantly modify or customize the licensed intellectual property. The FIREFLY-1 and FIREFLY-2 trials, and EU companion diagnostic research and development services related to pLGG could be performed by a third-party. The Company determined that the promise of the manufacturing technology transfer is a customer option that does not represent a material right given the value of the services is not material and fulfillment of this promise is ancillary to the main transaction. Accordingly, the manufacturing technology transfer is not a performance obligation at the outset of the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execution of the Ipsen License Agreement, the transaction price was determined to be $78.2 million, representing the aggregate of the upfront license fee of $70.8 million and the premium paid by Ipsen on its equity investment in the Company of $7.4 million (the excess of the value of the shares of the Company issued to Ipsen), representing additional consideration from Ipsen for the rights under the Ipsen License Agreement. Commercial launch milestones related to first commercial sale(s) in certain territories, sales-based milestones and royalties on net sales upon commercialization by Ipsen were excluded from the transaction price and will be recognized when the related sales occur as they were determined to predominantly relate to the intellectual property and, therefore, have been excluded from the transaction price in accordance with the sales-based royalty exception.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allocated the transaction price to the performance obligations based on their relative standalone selling price. The Company developed the estimated stand-alone selling price for each license using discounted cash flow models. In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developing this estimate, the Company applied judgment in the determination of the assumptions relating to forecasted future revenues, the discount rate, and the probability of success. The stand-alone selling price for each of the research and development services was estimated based on the Company’s forecasted costs to be incurred to fulfill the obligations plus a reasonable margin. The portion of the transaction price allocable to the</w:t>
      </w:r>
      <w:r>
        <w:rPr>
          <w:rFonts w:ascii="Times New Roman" w:hAnsi="Times New Roman"/>
          <w:color w:val="212529"/>
          <w:sz w:val="20"/>
        </w:rPr>
        <w:t xml:space="preserve"> relapsed or </w:t>
      </w:r>
      <w:r>
        <w:rPr>
          <w:rFonts w:ascii="Times New Roman" w:hAnsi="Times New Roman"/>
          <w:color w:val="000000"/>
          <w:sz w:val="20"/>
        </w:rPr>
        <w:t>refractory and front-line pLGG</w:t>
      </w:r>
      <w:r>
        <w:rPr>
          <w:rFonts w:ascii="Times New Roman" w:hAnsi="Times New Roman"/>
          <w:color w:val="212529"/>
          <w:sz w:val="20"/>
        </w:rPr>
        <w:t xml:space="preserve"> </w:t>
      </w:r>
      <w:r>
        <w:rPr>
          <w:rFonts w:ascii="Times New Roman" w:hAnsi="Times New Roman"/>
          <w:color w:val="000000"/>
          <w:sz w:val="20"/>
        </w:rPr>
        <w:t xml:space="preserve">licenses to intellectual property was recognized as license revenue at the point in time in which Ipsen had the right to use the license/know-how, which occurred during the year ended December 31, 2024. The portion of the transaction price allocable to the </w:t>
      </w:r>
      <w:r>
        <w:rPr>
          <w:rFonts w:ascii="Times New Roman" w:hAnsi="Times New Roman"/>
          <w:color w:val="212529"/>
          <w:sz w:val="20"/>
        </w:rPr>
        <w:t xml:space="preserve">relapsed or </w:t>
      </w:r>
      <w:r>
        <w:rPr>
          <w:rFonts w:ascii="Times New Roman" w:hAnsi="Times New Roman"/>
          <w:color w:val="000000"/>
          <w:sz w:val="20"/>
        </w:rPr>
        <w:t xml:space="preserve">refractory, front-line and companion diagnostic research and development services performance obligations, as well as other services subsequently contracted by Ipsen with the Company on an ad-hoc basis that were not specifically identified as part of the Ipsen License Agreement and therefore considered separate performance obligations, will be recognized over time as the services are delivered based on costs incurred relative to the total estimated cost to deliver the services. During the three and six months ended June 30, 2025, $0.3 million and $0.6 million of license revenue was recognized, respectively, with $1.8 million and $3.4 million of the undelivered </w:t>
      </w:r>
      <w:r>
        <w:rPr>
          <w:rFonts w:ascii="Times New Roman" w:hAnsi="Times New Roman"/>
          <w:color w:val="212529"/>
          <w:sz w:val="20"/>
        </w:rPr>
        <w:t xml:space="preserve">relapsed or </w:t>
      </w:r>
      <w:r>
        <w:rPr>
          <w:rFonts w:ascii="Times New Roman" w:hAnsi="Times New Roman"/>
          <w:color w:val="000000"/>
          <w:sz w:val="20"/>
        </w:rPr>
        <w:t>refractory, front-line and companion diagnostic research and development services included in current and non-current deferred revenue, respectively. During the three and six months ended June 30, 2024, no license revenue was recognized.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2022, the Company entered into a lease agreement for approximately 12,000 square feet of general use office space in Brisbane, California. The agreement was determined to be a lease since the right to control the use of the identified asset was conveyed to the Company for a period of time in exchange for consideration. The lease commenced in May 2022 and expired in November 2024. The Company was obligated to pay monthly rent expense and its pro rata share of the landlord's operating expenses which include utilities, common area maintenance expenses, and property taxes. Such expenses were a non-lease component and a variable consideration and included in the Company's operating expenses as incurred. The Company concluded that this lease was an operating lease.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2024, the Company entered into a lease agreement for approximately 19,000 square feet of general use office space in Brisbane, California. The agreement was determined to be a lease since the right to control the use of the identified asset was conveyed to the Company for a period of time in exchange for consideration. The term of the lease is approximately 7.4 years and commenced in August 2024. There is no option to extend the lease term nor is there an option to terminate the lease term prior to its expiration. The Company is obligated to pay monthly rent expense and its pro rata share of the landlord's operating expenses which include utilities, common area maintenance expenses, and property taxes. Such expenses are a non-lease component and a variable consideration and included in the Company's operating expenses as incurred. The Company concluded that this lease is an operating lease. The total payments for base rent over the term of the lease is approximately $4.4 million. Upon execution of the agreement, the Company paid a security deposit of approximately $86,000 classified as deposits and other long-term assets on the condensed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the lease incremental borrowing rate, or IBR, based on the information available at the applicable lease commencement date as the Company’s leases do not provide an implicit rate. The IBR is determined by using the rate of interest that the Company would pay to borrow on a collateralized basis an amount equal to the lease payments for a similar term and in a similar economic environment where the asset is located. As of June 30, 2025, the weighted-average remaining lease term and weighted-average discount rate were 6.2 years and 12.9%,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leases do not require any contingent rental payments, impose financial restrictions, or contain any residual value guarantees.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Lease expense of right-of-use assets is recognized on a straight-line basis over the applicable lease term. Lease expense was $0.1 million for the three months ended June 30, 2025 and 2024 and was $0.3 million for the six months ended June 30, 2025 and $0.2 million for the six months ended June 30, 2024. There was no cash paid for amounts included in the measurement of operating lease liabilities for the six months ended June 30, 2025. Cash paid for amounts included in the measurement of operating lease liabilities was $0.2 million for the six months ended June 30, 2024. Variable payments expensed during the three and six months ended June 30, 2025 and 2024 were immaterial.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the future lease obligations were as follows (in thousands): </w:t>
      </w:r>
    </w:p>
    <w:tbl>
      <w:tblPr>
        <w:tblW w:w="5164" w:type="dxa"/>
        <w:jc w:val="left"/>
        <w:tblInd w:w="0" w:type="dxa"/>
        <w:tblLayout w:type="fixed"/>
        <w:tblCellMar>
          <w:top w:w="28" w:type="dxa"/>
          <w:left w:w="28" w:type="dxa"/>
          <w:bottom w:w="28" w:type="dxa"/>
          <w:right w:w="28" w:type="dxa"/>
        </w:tblCellMar>
      </w:tblPr>
      <w:tblGrid>
        <w:gridCol w:w="4111"/>
        <w:gridCol w:w="211"/>
        <w:gridCol w:w="631"/>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operating lease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portion of operating lease liabilities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contracts in the normal course of business with clinical research organizations, contract manufacturing organizations, and other third-party vendors for clinical trial, manufacturing, testing, and other research and development activities. These contracts generally provide for termination on notice, with the exception of one vendor where certain costs are non-cancellable after the approval of the project. As of June 30, 2025 and December 31, 2024, there were no amounts accrued related to termination and cancellation charges as these are not probable.</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entered into license agreements, as disclosed in Note 7, with various parties under which it is obligated to make contingent and non-contingent payments.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Purchase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support product needs for OJEMDA, the Company entered into a manufacturing and supply agreement with Quotient Sciences - Philadelphia, LLC in July 2023 that requires the Company to meet minimum purchase obligations on an annual basis. The remaining amount of future minimum purchase obligations under the manufacturing and supply agreement over the next five years is approximately $11.6 million, in aggregate, as of June 30, 2025. For the six months ended June 30, 2025 and 2024, the Company made purchases of $2.5 million and $0.5 million, respectively, under the purchase obligation. </w:t>
      </w:r>
    </w:p>
    <w:p>
      <w:pPr>
        <w:pStyle w:val="TextBody"/>
        <w:bidi w:val="0"/>
        <w:spacing w:before="120" w:after="283"/>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from time to time, may be party to litigation, claims and assessments arising in the ordinary course of business. The Company accrues liabilities for such matters when it is probable that future expenditures will be made and such expenditures can be reasonably estimated. The Company is not subject to any material legal proceedings, and to the best of its knowledge, no material legal proceedings are currently pending or threatened. </w:t>
      </w:r>
    </w:p>
    <w:p>
      <w:pPr>
        <w:pStyle w:val="TextBody"/>
        <w:bidi w:val="0"/>
        <w:spacing w:before="120" w:after="283"/>
        <w:jc w:val="left"/>
        <w:rPr>
          <w:rFonts w:ascii="Times New Roman" w:hAnsi="Times New Roman"/>
          <w:sz w:val="20"/>
        </w:rPr>
      </w:pPr>
      <w:r>
        <w:rPr>
          <w:rFonts w:ascii="Times New Roman" w:hAnsi="Times New Roman"/>
          <w:b/>
          <w:i/>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indemnification for certain liabilities. The exposure under these agreements is unknown because it involves claims that may be made against it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directors and executive officers for specified events or occurrences, subject to some limits, while they are serving at its request in such capacities. There have been no claims to date, and the Company believes the fair value of these indemnification agreements is minimal. Accordingly, the Company had not recorded any liabilities for these agreements as of June 30, 2025 and December 31,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its certificate of incorporation, the Company is authorized to issue 500.0 million shares of common stock at a par value of $0.0001 per share. As of June 30, 2025, 102,431,933 shares of common stock were issued and outstanding.</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reserved shares of common stock for future issuances as follows:</w:t>
      </w:r>
    </w:p>
    <w:tbl>
      <w:tblPr>
        <w:tblW w:w="5450" w:type="dxa"/>
        <w:jc w:val="left"/>
        <w:tblInd w:w="0" w:type="dxa"/>
        <w:tblLayout w:type="fixed"/>
        <w:tblCellMar>
          <w:top w:w="28" w:type="dxa"/>
          <w:left w:w="28" w:type="dxa"/>
          <w:bottom w:w="28" w:type="dxa"/>
          <w:right w:w="28" w:type="dxa"/>
        </w:tblCellMar>
      </w:tblPr>
      <w:tblGrid>
        <w:gridCol w:w="3931"/>
        <w:gridCol w:w="146"/>
        <w:gridCol w:w="146"/>
        <w:gridCol w:w="1036"/>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14,168,853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available for future grants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4,900,020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available for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3,305,854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2,962,822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827,586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26,165,135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2024 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2024, the Company entered into a securities purchase agreement with certain institutional and accredited investors, or the PIPE Investors, pursuant to which the Company agreed to sell and issue to the PIPE Investors in a private placement, or the Private Placement, an aggregate of (i) 10,551,718 shares of the Company’s common stock, par value $0.0001 per share, at a purchase price of $14.50 per share and (ii) 1,517,241 pre-funded warrants, or the Pre-Funded Warrants, to purchase up to an aggregate of 1,517,241 shares of the Company's common stock, or the Warrant Shares, at a purchase price of $14.4999 per Pre-Funded Warrant. Each Pre-Funded Warrant has an exercise price of $0.0001 per Warrant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Pre-Funded Warrants are exercisable at any time after their original issuance at the option of each holder, in such holder’s discretion, by (i) payment in full in immediately available funds for the number of shares of common stock purchased upon such exercise or (ii) a cashless exercise, in which case the holder would receive upon such exercise the net number of shares of common stock determined according to the formula set forth in the Pre-Funded Warrant. A holder will not be entitled to exercise any portion of any Pre-Funded Warrant if the holder’s ownership of the Company’s common stock would exceed 9.99% following such exercise.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certain fundamental transactions, the holders of the Pre-Funded Warrants will be entitled to receive upon exercise of the Pre-Funded Warrants the kind of amounts of securities, cash or other property that the holders would have received had they exercised the Pre-Funded Warrants immediately prior to such fundamental transaction without regard to any limitations on exercise contained in the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Pre-Funded Warrants were classified as a component of permanent stockholders’ equity within additional paid-in capital and were recorded at the issuance date using a relative fair value allocation method. The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 The Company valued the Pre-Funded Warrants at issuance, concluding that their sales price approximated their fair value, and allocated net proceeds from the Private Placement proportionately to the Company's common stock and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Private Placement closed on August 1, 2024, and the Company received net proceeds of $166.5 million, after deducting placement agent fees, offering costs, and other expenses, of which $145.6 million was allocated to the common stock and $20.9 million was allocated to the Pre-Funded Warrants. The net proceeds were recorded as a component of additional paid-in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Investment agreement with Ipsen Biopharmaceuticals,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the Company entered into the Ipsen License Agreement, pursuant to which, the Company licensed to Ipsen, on an exclusive basis, the right to commercialize tovorafenib in all territories outside the United States and agreed to provide certain research and development and manufacturing services. Under the terms of the Ipsen License Agreement, (i) Ipsen paid the Company an upfront license fee in the amount of $70.8 million in August 2024 and (ii) the Investor, a fully-owned United States affiliate of Ipsen, purchased 2,341,495 shares of the Company’s common stock in a private placement for $40.0 million, at a price per share representing a 17.0% premium to the VWAP of the Company’s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the Company and the Investor dated July 23, 2024. The Company valued the shares at issuance at $32.6 million, concluding that the Company's common stock price as traded on The Nasdaq Stock Market LLC on the closing date of the transaction approximated fair value, which was recorded as a component of additional paid-in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an equity distribution agreement, or the Equity Distribution Agreement, with Piper Sandler &amp; Co. and JonesTrading Institutional Services LLC, as sales agents, relating to the issuance and sale of shares of the Company’s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for an aggregate offering price of up to $250.0 million under an at-the-market offering program, or the ATM. The Company has no obligation to sell any shares and could at any time suspend solicitations and offers under the ATM. No shares of the Company’s common stock have been sold under the ATM as of June 30,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expense recorded in the accompanying condensed statements of operations is as follows (in thousands):</w:t>
      </w:r>
    </w:p>
    <w:tbl>
      <w:tblPr>
        <w:tblW w:w="8422" w:type="dxa"/>
        <w:jc w:val="left"/>
        <w:tblInd w:w="0" w:type="dxa"/>
        <w:tblLayout w:type="fixed"/>
        <w:tblCellMar>
          <w:top w:w="28" w:type="dxa"/>
          <w:left w:w="28" w:type="dxa"/>
          <w:bottom w:w="28" w:type="dxa"/>
          <w:right w:w="28" w:type="dxa"/>
        </w:tblCellMar>
      </w:tblPr>
      <w:tblGrid>
        <w:gridCol w:w="3661"/>
        <w:gridCol w:w="146"/>
        <w:gridCol w:w="211"/>
        <w:gridCol w:w="676"/>
        <w:gridCol w:w="146"/>
        <w:gridCol w:w="146"/>
        <w:gridCol w:w="211"/>
        <w:gridCol w:w="676"/>
        <w:gridCol w:w="146"/>
        <w:gridCol w:w="146"/>
        <w:gridCol w:w="211"/>
        <w:gridCol w:w="676"/>
        <w:gridCol w:w="146"/>
        <w:gridCol w:w="146"/>
        <w:gridCol w:w="211"/>
        <w:gridCol w:w="676"/>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2022 Equity 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the Company's board of directors approved the 2022 Equity Inducement Plan, or the 2022 Plan. The 2022 Plan provides for the grant of non-statutory stock options and restricted stock units. The number of shares of common stock reserved for issuance under the 2022 Plan is 1,000,000 shares.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2021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in connection with the IPO, the board of directors and stockholders approved the 2021 Equity Incentive Plan, or the 2021 Plan, which became effective on the day before the date of the effectiveness of the IPO. The 2021 Plan provides for the grant of incentive stock options, non-statutory stock options, stock appreciation rights, awards of restricted stock, restricted stock units and other share-based awards. The number of shares of common stock reserved for issuance under the 2021 Plan is equal to the sum of: (x) 6,369,000 shares of common stock; plus (y) 4,719,605 shares of common stock issued in respect of the conversion of incentive shares that were subject to vesting immediately prior to the effectiveness of the registration statement for the IPO that expire, terminate or are otherwise surrendered, canceled, forfeited or repurchased by us at their original issuance price pursuant to a contractual repurchase right. The number of shares available for grant and issuance under the 2021 Plan will be automatically increased on the first day of each fiscal year, beginning with the fiscal year commencing on January 1, 2021 and continuing for each fiscal year until, and including, the fiscal year commencing on January 1, 2031, by the lesser of (a) 5% of the number of shares of all classes of the Company’s common stock, plus the total number of shares of Company common stock issuable upon conversion of any preferred stock or exercise of any warrants to acquire shares of Company common stock for a nominal exercise price issued and outstanding on each December 31 immediately prior to the date of increase or (b) such number of shares determined by the board of directors.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a summary of stock option activity during the six months ended June 30, 2025. </w:t>
      </w:r>
    </w:p>
    <w:tbl>
      <w:tblPr>
        <w:tblW w:w="10205" w:type="dxa"/>
        <w:jc w:val="left"/>
        <w:tblInd w:w="0" w:type="dxa"/>
        <w:tblLayout w:type="fixed"/>
        <w:tblCellMar>
          <w:top w:w="28" w:type="dxa"/>
          <w:left w:w="28" w:type="dxa"/>
          <w:bottom w:w="28" w:type="dxa"/>
          <w:right w:w="28" w:type="dxa"/>
        </w:tblCellMar>
      </w:tblPr>
      <w:tblGrid>
        <w:gridCol w:w="3686"/>
        <w:gridCol w:w="146"/>
        <w:gridCol w:w="146"/>
        <w:gridCol w:w="1036"/>
        <w:gridCol w:w="166"/>
        <w:gridCol w:w="146"/>
        <w:gridCol w:w="396"/>
        <w:gridCol w:w="1075"/>
        <w:gridCol w:w="146"/>
        <w:gridCol w:w="146"/>
        <w:gridCol w:w="458"/>
        <w:gridCol w:w="1013"/>
        <w:gridCol w:w="146"/>
        <w:gridCol w:w="146"/>
        <w:gridCol w:w="438"/>
        <w:gridCol w:w="722"/>
        <w:gridCol w:w="193"/>
      </w:tblGrid>
      <w:tr>
        <w:trPr/>
        <w:tc>
          <w:tcPr>
            <w:tcW w:w="3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 xml:space="preserve">Remaining </w:t>
              <w:br/>
              <w:t>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Intrinsic Value</w:t>
              <w:br/>
              <w:t>(in thousands)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12,127,435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14,168,853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14,168,853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8,679,591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Aggregate intrinsic value represents the difference between the estimated fair value of the underlying common stock and the exercise price of outstanding, in-the-money options. There were no options exercised during the six months ended June 30, 2025. The total intrinsic value of options exercised during the six months ended June 30, 2024 was less than $0.1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fair value of options that vested during the six months ended June 30, 2025 and 2024 was $15.5 million and $17.9 million, respectively. The weighted-average grant date fair value of options granted during the six months ended June 30, 2025 and 2024 was $6.97 per share and $9.26 per share,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Unrecognized share-based compensation for stock options as of June 30, 2025 was $47.2 million, which is expected to be recognized over a weighted-average period of 2.4 years.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used the Black-Scholes option pricing model to estimate the fair value of stock option awards granted with the following assumptions:</w:t>
      </w:r>
    </w:p>
    <w:tbl>
      <w:tblPr>
        <w:tblW w:w="8824" w:type="dxa"/>
        <w:jc w:val="left"/>
        <w:tblInd w:w="0" w:type="dxa"/>
        <w:tblLayout w:type="fixed"/>
        <w:tblCellMar>
          <w:top w:w="28" w:type="dxa"/>
          <w:left w:w="28" w:type="dxa"/>
          <w:bottom w:w="28" w:type="dxa"/>
          <w:right w:w="28" w:type="dxa"/>
        </w:tblCellMar>
      </w:tblPr>
      <w:tblGrid>
        <w:gridCol w:w="2131"/>
        <w:gridCol w:w="146"/>
        <w:gridCol w:w="1516"/>
        <w:gridCol w:w="146"/>
        <w:gridCol w:w="1516"/>
        <w:gridCol w:w="146"/>
        <w:gridCol w:w="1516"/>
        <w:gridCol w:w="146"/>
        <w:gridCol w:w="156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5.3 - 6.1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5.3 - 6.1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5.3 - 6.7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5.3 - 6.7</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68.91% - 70.18%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68.57% - 69.18%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68.30% - 70.18%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68.27% - 70.57%</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3.85% - 4.15%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4.24% - 4.47%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3.85% - 4.48%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3.90% - 4.47%</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summary of restricted stock units activity under the 2021 Plan during the six months ended June 30, 2025:</w:t>
      </w:r>
    </w:p>
    <w:tbl>
      <w:tblPr>
        <w:tblW w:w="7922" w:type="dxa"/>
        <w:jc w:val="left"/>
        <w:tblInd w:w="0" w:type="dxa"/>
        <w:tblLayout w:type="fixed"/>
        <w:tblCellMar>
          <w:top w:w="28" w:type="dxa"/>
          <w:left w:w="28" w:type="dxa"/>
          <w:bottom w:w="28" w:type="dxa"/>
          <w:right w:w="28" w:type="dxa"/>
        </w:tblCellMar>
      </w:tblPr>
      <w:tblGrid>
        <w:gridCol w:w="4426"/>
        <w:gridCol w:w="146"/>
        <w:gridCol w:w="146"/>
        <w:gridCol w:w="931"/>
        <w:gridCol w:w="166"/>
        <w:gridCol w:w="146"/>
        <w:gridCol w:w="476"/>
        <w:gridCol w:w="1294"/>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2,962,822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Unamortized share-based compensation for restricted stock units as of June 30, 2025 was $35.5 million, which is expected to be recognized over a weighted-average period of 2.8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Stock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a summary of the unvested common stock awards activity during the six months ended June 30, 2025. </w:t>
      </w:r>
    </w:p>
    <w:tbl>
      <w:tblPr>
        <w:tblW w:w="7460" w:type="dxa"/>
        <w:jc w:val="left"/>
        <w:tblInd w:w="0" w:type="dxa"/>
        <w:tblLayout w:type="fixed"/>
        <w:tblCellMar>
          <w:top w:w="28" w:type="dxa"/>
          <w:left w:w="28" w:type="dxa"/>
          <w:bottom w:w="28" w:type="dxa"/>
          <w:right w:w="28" w:type="dxa"/>
        </w:tblCellMar>
      </w:tblPr>
      <w:tblGrid>
        <w:gridCol w:w="4156"/>
        <w:gridCol w:w="146"/>
        <w:gridCol w:w="146"/>
        <w:gridCol w:w="739"/>
        <w:gridCol w:w="166"/>
        <w:gridCol w:w="146"/>
        <w:gridCol w:w="476"/>
        <w:gridCol w:w="1294"/>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common stock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common stock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there is no unamortized share-based compensation for restricted stock awards.</w:t>
      </w:r>
    </w:p>
    <w:p>
      <w:pPr>
        <w:pStyle w:val="TextBody"/>
        <w:bidi w:val="0"/>
        <w:spacing w:before="120" w:after="283"/>
        <w:jc w:val="left"/>
        <w:rPr>
          <w:rFonts w:ascii="Times New Roman" w:hAnsi="Times New Roman"/>
          <w:sz w:val="20"/>
        </w:rPr>
      </w:pPr>
      <w:r>
        <w:rPr>
          <w:rFonts w:ascii="Times New Roman" w:hAnsi="Times New Roman"/>
          <w:b/>
          <w:i/>
          <w:color w:val="000000"/>
          <w:sz w:val="20"/>
        </w:rPr>
        <w:t>2021 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the board of directors adopted and the stockholders approved the 2021 Employee Stock Purchase Plan, or the ESPP, which became effective on May 26, 2021. A total of 603,000 shares of common stock were initially reserved for issuance under the ESPP. The number of shares of the common stock reserved for issuance under the ESPP will automatically increase on the first day of each fiscal year, beginning with the fiscal year commencing on January 1, 2021 and continuing for each fiscal year until, and including, the fiscal year commencing on January 1, 2031, by the lesser of: (a) 1% of the total number of outstanding shares of common stock of the Company (on an as converted basis outstanding on the immediately preceding December 31 (rounded down to the nearest whole share)) and (b) an amount determined by the board of directors. 549,887 shares have been issued under the ESPP as of June 30, 2025. The Company recognized compensation expense related to the ESPP of $0.1 million and $0.2 million for the three months ended June 30, 2025 and 2024, respectively, and $0.3 million and $0.4 million for the six months ended June 30, 2025 and 2024,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record an income tax provision for the three and six months ended June 30, 2025 as it generated tax losses during each of the periods. For the three and six months ended June 30, 2024, the Company recognized income tax expense of $1.6 million resulting in an effective tax rate of (54.4)% and (2.4)%, respectively. The primary reconciling items between the federal statutory rate of 21.0% for the three and six months ended June 30, 2024 and the Company’s overall effective tax rate of (54.4)% and (2.4)%, respectively, was the effect of equity compensation, generation of tax credits, deferred state income taxes and the valuation allowance recorded against the full amount of its net deferred tax assets.</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valuation allowance is established when it is more likely than not that some portion or all of a deferred tax asset will not be realized. The realization of deferred tax assets depends on the generation of future taxable income during the period in which related temporary differences become deductible. The Company continues to establish a valuation allowance against the full amount of its net deferred tax assets since it is more likely than not that benefits will not be realized, including those benefits created in the current year. This assessment is based on the Company's historical cumulative losses, which provide strong objective evidence that cannot be overcome with projections of income, as well as the fact that the Company expects continuing losses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the United States government passed the One Big Beautiful Bill Act into law. This legislation includes significant tax law changes with various effective dates, which may have an impact on the Company's business. The Company is currently evaluating the effect of this legislation on its financial statement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Net Loss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net loss per share attributable to common stockholders is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714"/>
        <w:gridCol w:w="146"/>
        <w:gridCol w:w="211"/>
        <w:gridCol w:w="1141"/>
        <w:gridCol w:w="166"/>
        <w:gridCol w:w="146"/>
        <w:gridCol w:w="211"/>
        <w:gridCol w:w="1036"/>
        <w:gridCol w:w="166"/>
        <w:gridCol w:w="146"/>
        <w:gridCol w:w="211"/>
        <w:gridCol w:w="1141"/>
        <w:gridCol w:w="166"/>
        <w:gridCol w:w="146"/>
        <w:gridCol w:w="211"/>
        <w:gridCol w:w="1036"/>
        <w:gridCol w:w="211"/>
      </w:tblGrid>
      <w:tr>
        <w:trPr/>
        <w:tc>
          <w:tcPr>
            <w:tcW w:w="3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103,069,154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87,121,310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102,890,506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86,864,545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outstanding potentially dilutive securities have been excluded from the calculation of diluted net loss per share, as their effect is anti-dilutive:</w:t>
      </w:r>
    </w:p>
    <w:tbl>
      <w:tblPr>
        <w:tblW w:w="5544" w:type="dxa"/>
        <w:jc w:val="left"/>
        <w:tblInd w:w="0" w:type="dxa"/>
        <w:tblLayout w:type="fixed"/>
        <w:tblCellMar>
          <w:top w:w="28" w:type="dxa"/>
          <w:left w:w="28" w:type="dxa"/>
          <w:bottom w:w="28" w:type="dxa"/>
          <w:right w:w="28" w:type="dxa"/>
        </w:tblCellMar>
      </w:tblPr>
      <w:tblGrid>
        <w:gridCol w:w="2551"/>
        <w:gridCol w:w="146"/>
        <w:gridCol w:w="146"/>
        <w:gridCol w:w="1036"/>
        <w:gridCol w:w="146"/>
        <w:gridCol w:w="146"/>
        <w:gridCol w:w="146"/>
        <w:gridCol w:w="1036"/>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14,168,853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12,203,622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1,916,588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17,228,838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14,556,189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Defined Contribution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an employee savings plan pursuant to Section 401(k) of the Internal Revenue Code. All employees are eligible to participate provided that they meet the requirements of the plan. For each of the three months ended June 30, 2025 and 2024, the Company made matching contributions of $0.5 million and $0.4 million, respectively. For the six months ended June 30, 2025 and 2024, the Company made matching contributions of $1.2 million and $1.0 million,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views its operations and manages its business in one operating and one reportable segment, which includes all activities related to the identification, development and commercialization of medicines for childhood and adult diseases with equal intensity. The determination of a single operating segment is consistent with the consolidated financial information regularly provided to the Company’s chief operating decision maker, or CODM. The Company’s CODM is its Chief Executive Officer, who reviews and evaluates net loss for purposes of assessing performance, making operating decisions, allocating resources, and planning and forecasting for future periods. Our CODM does not evaluate the operating segment using asset or liability information. The operating segment derives all net product revenues from the sales of OJEMDA in the United States through contractual arrangements with its specialty pharmacy and specialty distributor customers. All the Company’s assets are located in the United States.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to the significant expense categories included within net loss presented on the Company's condensed statements of operations, see below for disaggregated amounts that comprise research and development expenses:</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tbl>
      <w:tblPr>
        <w:tblW w:w="10205" w:type="dxa"/>
        <w:jc w:val="left"/>
        <w:tblInd w:w="0" w:type="dxa"/>
        <w:tblLayout w:type="fixed"/>
        <w:tblCellMar>
          <w:top w:w="28" w:type="dxa"/>
          <w:left w:w="28" w:type="dxa"/>
          <w:bottom w:w="28" w:type="dxa"/>
          <w:right w:w="28" w:type="dxa"/>
        </w:tblCellMar>
      </w:tblPr>
      <w:tblGrid>
        <w:gridCol w:w="5339"/>
        <w:gridCol w:w="146"/>
        <w:gridCol w:w="211"/>
        <w:gridCol w:w="676"/>
        <w:gridCol w:w="146"/>
        <w:gridCol w:w="146"/>
        <w:gridCol w:w="211"/>
        <w:gridCol w:w="676"/>
        <w:gridCol w:w="146"/>
        <w:gridCol w:w="146"/>
        <w:gridCol w:w="211"/>
        <w:gridCol w:w="676"/>
        <w:gridCol w:w="146"/>
        <w:gridCol w:w="146"/>
        <w:gridCol w:w="211"/>
        <w:gridCol w:w="781"/>
        <w:gridCol w:w="191"/>
      </w:tblGrid>
      <w:tr>
        <w:trPr/>
        <w:tc>
          <w:tcPr>
            <w:tcW w:w="5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CRO, CMO and other third-party clinical trial costs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agreement related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132,316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Costs incurred under agreements with third-party CROs, CMOs, and other third parties that conduct clinical activities on the Company's behalf.</w:t>
      </w:r>
    </w:p>
    <w:p>
      <w:pPr>
        <w:pStyle w:val="TextBody"/>
        <w:bidi w:val="0"/>
        <w:spacing w:before="360" w:after="283"/>
        <w:jc w:val="left"/>
        <w:rPr>
          <w:rFonts w:ascii="Times New Roman" w:hAnsi="Times New Roman"/>
          <w:sz w:val="20"/>
        </w:rPr>
      </w:pPr>
      <w:bookmarkStart w:id="10" w:name="tx180355_9"/>
      <w:bookmarkEnd w:id="10"/>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consolidated financial statements and related notes, our interim condensed financial statements and related notes, and other financial information appearing in our Annual Report on Form 10-K for the year ended December 31, 2024, or our Annual Report, and this Quarterly Report on Form 10-Q. Some of the information contained in this discussion and analysis includes forward-looking statements that involve risks and uncertainties. As a result of many factors, including those factors set forth in the “Risk Factors” in this Quarterly Report on Form 10-Q, our actual results could differ materially from the results described in or implied by the forward-looking statements contained in the following discussion and analysis.</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Day One Biopharmaceuticals, Inc. is a biopharmaceutical company dedicated to developing and commercializing targeted therapies for people of all ages with life-threatening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Day One, we aim to identify and develop breakthrough medicines with the goal of improving the outcomes and life trajectories of patients of any age facing serious diseases — starting from Day One. Our “search &amp; development” strategy enables us to find, acquire, and develop potential best- or first-in-class programs with the goal of introducing new medicines that will make a real difference in the treatment of children and adults with cancer.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first commercial product, tovorafenib, is an oral, brain-penetrant, highly selective type II rapidly accelerated fibrosarcoma, or RAF, kinase inhibitor. Tovorafenib was granted breakthrough therapy designation by the U.S. Food and Drug Administration, or the FDA, in August 2020 for the treatment of relapsed or refractory low-grade glioma, or pLGG, based on initial results from a Phase 1 trial which showed evidence of rapid anti-tumor activity and durable responses in patients with pLGG. Pediatric low-grade glioma is the most common brain tumor diagnosed in children. While new targeted therapeutic options have recently become available for patients with pLGG, there is no consensual standard of care and a vast majority of patients with pLGG do not yet have access to approved therapies. Tovorafenib received orphan drug designation for the treatment of malignant glioma from the FDA in September 2020 and from the EU Commission for the treatment of glioma in May 2021. Additionally, the FDA granted rare pediatric disease designation in July 2021 to tovorafenib for treatment of low-grade gliomas, or LGGs, harboring an activating RAF alteration.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23, 2024, we announced that the FDA approved OJEMDA (tovorafenib) for the treatment of patients 6 months of age and older with relapsed or refractory pLGG harboring a BRAF fusion or rearrangement, or BRAF V600 mutation. The indication was approved under accelerated approval based on a regulatory endpoint of overall response rate and the totality of the Company’s pivotal open-label Phase 2 trial, or FIREFLY-1, data, including duration of response. With the approval, we received a rare pediatric disease priority review voucher, or PRV, from the FDA. We have commenced the commercial launch of OJEMDA in the United States. OJEMDA is the only systemic therapy for pLGG that offers once-weekly dosing, with or without food, as a tablet or oral suspension.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accelerated approval of OJEMDA is based on data from FIREFLY-1, which enrolled a total of 137 relapsed or refractory BRAF-altered pLGG patients across two study arms. Arm 1, which accrued 77 patients, was used for the efficacy analyses. Arm 2 provided additional safety data from an incremental 60 patients and was initiated to enable access to OJEMDA once Arm 1 had fully accrued. Details of this trial were presented in November 2023 at the Society for Neuro-Oncology meeting through two oral plenary presentations and in parallel through a publication in </w:t>
      </w:r>
      <w:r>
        <w:rPr>
          <w:rFonts w:ascii="Times New Roman" w:hAnsi="Times New Roman"/>
          <w:i/>
          <w:color w:val="000000"/>
          <w:sz w:val="20"/>
        </w:rPr>
        <w:t>Nature Medicine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OJEMDA was based, in part, on the major efficacy outcome measure of overall response rate, or ORR, defined as the proportion of patients with complete response, partial response, or PR, or minor response, or MR, by independent review based on Response Assessment in Pediatric Neuro-Oncology Low-Grade Glioma, or RAPNO LGG.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Arm 1, data from the 76 RAPNO LGG evaluable patients include (May 2024 data cutoff to support the ongoing evaluation of OJEMDA):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best ORR of 52.6% (95% CI: 40.8 - 64.2), which included 29% PRs and 11% MRs.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ORR for OJEMDA was 53% among the 64 patients with BRAF fusions or rearrangements and 50% for the 12 patients with a BRAF V600 mutation.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ORR was 51% among the 45 patients who had received a prior MAPK-targeted therapy, and 55% among the 31 patients who had not received a prior MAPK-targeted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May 10, 2024 data cutoff, the median duration of response by RAPNO LGG was 18.0 months (95% CI: 12.0, 22.8). In Arm 1, of the 77 patients enrolled, 66 (85.7%) patients have discontinued primary tovorafenib treatment, most commonly due to being on drug holiday (33 [42.9%] patients); 10 (13.0%) patients discontinued the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median time to response, following initiation of treatment, with OJEMDA was 5.4 months (range 1.6 months, 17.5 months).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RANO LGG criteria, the ORR was 53.9% [95% CI: (42.1, 65.5)].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of OJEMDA was evaluated in 137 patients with relapsed or refractory pLGG, with the majority of adverse events being Grade 1 or Grade 2. The most common side effects were rash, hair color changes, tiredness, viral infection, vomiting, headache, fever, decrease in growth velocity, dry skin, constipation, nausea, acne and upper respiratory tract infection.</w:t>
      </w:r>
    </w:p>
    <w:p>
      <w:pPr>
        <w:pStyle w:val="TextBody"/>
        <w:bidi w:val="0"/>
        <w:spacing w:before="120" w:after="283"/>
        <w:jc w:val="left"/>
        <w:rPr>
          <w:rFonts w:ascii="Times New Roman" w:hAnsi="Times New Roman"/>
          <w:sz w:val="20"/>
        </w:rPr>
      </w:pPr>
      <w:r>
        <w:rPr>
          <w:rFonts w:ascii="Times New Roman" w:hAnsi="Times New Roman"/>
          <w:color w:val="000000"/>
          <w:sz w:val="20"/>
        </w:rPr>
        <w:t>We initiated a pivotal Phase 3 trial, or FIREFLY-2, evaluating tovorafenib as a front-line therapy in patients ages 6 months to 25 years with pLGG in June 2022. The first patient was dosed in FIREFLY-2 in March 2023. To date, patients continue to enroll in the United States, Canada, Europe, Australia, South America, Middle East and Asia, with approximately 125 sites activated. In June 2024, we announced the following changes to our FIREFLY-2 trial: the primary endpoint of objective response rate will be assessed according to the RAPNO-LGG criteria, key secondary endpoints of progression free survival and duration of response will be assessed according to RAPNO-LGG criteria, new patients will be initiated on a starting dose of 380 mg/m</w:t>
      </w:r>
      <w:r>
        <w:rPr>
          <w:rFonts w:ascii="Times New Roman" w:hAnsi="Times New Roman"/>
          <w:color w:val="000000"/>
          <w:sz w:val="13"/>
        </w:rPr>
        <w:t>2</w:t>
      </w:r>
      <w:r>
        <w:rPr>
          <w:rFonts w:ascii="Times New Roman" w:hAnsi="Times New Roman"/>
          <w:color w:val="000000"/>
          <w:sz w:val="20"/>
        </w:rPr>
        <w:t>/dose once weekly, and the addition of a once-monthly carboplatin regime as a fourth standard of care option for arm 2. We expect to complete enrollment of FIREFLY-2 in the first half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Ipsen License Agreement, (i) Ipsen paid us an upfront license fee in the amount of $70.8 million in August 2024 and (ii) Ipsen Biopharmaceuticals, Inc., or the Investor, a fully-owned Affiliate of Ipsen, purchased 2,341,495 shares of our common stock in a private placement for $40.0 million, at a price per share representing a 17.0% premium to the volume weighted average price, or VWAP, of our common stock as traded on The Nasdaq Stock Market LLC for the ten consecutive trading days prior to and including the date of our public release of U.S. GAAP revenue for the quarter ended June 30, 2024 on July 30, 2024, or the Revenue Release, and the ten consecutive trading days following the Revenue Release, in accordance with the terms set forth in an investment agreement by and between us and the Investor dated July 23,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eligible to receive up to approximately $380.0 million in additional commercial launch and sales-based milestone payments based on exchange rates as of the reporting date. We are also entitled tiered, double-digit royalty payments starting at mid-teens percentage of annual net sales of tovorafenib, subject to customary adjustments specified in the Ipsen License Agreement. The royalty payment obligations under the Ipsen License Agreement expire on a country-by-country basis no earlier than ten years following the first commercial sale of tovorafenib in the applicable country.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27, 2025, Ipsen Pharma SAS received validation of its completed submission of the Marketing Authorization Application to the EMA for tovorafenib for the treatment of patients with relapsed or refractory pLGG.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2023, we entered into a research collaboration and license agreement, or the Sprint License Agreement, with Sprint Bioscience AB, or Sprint, a Swedish corporation located in Huddinge, Sweden.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an inhibitor targeting Vaccinia Related Kinase 1, or VRK1. In May 2025, we notified Sprint of our decision to discontinue our investment in the VRK1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program and terminated the Sprint License Agreement, with termination taking effect on August 15, 2025. This decision was made following careful consideration of the current development status of the program and our overall strategic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2024, we entered into a license agreement, or the MabCare License Agreement, with MabCare Therapeutics, or MabCare, a pharmaceutical corporation located in Shanghai, China. Under the MabCare License Agreement, MabCare granted to us an exclusive worldwide license, excluding Greater China, with the right to grant sublicenses through multiple tiers, under specified patent rights and know-how for the Company to develop, manufacture and commercialize DAY301 (formerly MTX-13 or CB-002). DAY301 is a novel Antibody Drug Conjugate, or ADC, targeting protein-tyrosine kinase 7, or PTK7. In pre-clinical studies, DAY301 showed antitumor activity in a wide range of solid tumors. DAY301 targets PTK7, a highly-conserved, catalytically inactive transmembrane protein that is overexpressed in multiple adult cancers, including esophageal, ovarian, lung, and endometrial cancer, as well as pediatric cancers such as neuroblastoma, rhabdomyosarcoma and osteosarcoma. In April 2024, the FDA cleared the investigational new drug application for DAY301. In January 2025, we cleared the first cohort (a single-patient accelerated titration cohort) in the Phase 1a portion of the DAY301 Phase 1a/b clinical trial, and the study continues to enroll in the dose escalation phase of the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business development capabilities combined with our extensive experience in oncology drug development and deep ties within the research and patient advocacy communities, particularly within the pediatric setting, positions us to be a leader in identifying, acquiring and developing therapies for patients of all ages. We hold exclusive rights to develop tovorafenib for all therapeutic areas worldwide and DAY301 for all therapeutic areas worldwide, excluding Greater China, subject to certain milestone and royalty payments. Further, we hold exclusive rights to commercialize tovorafenib in the United States subject to royalty payments. Pursuant to the Ipsen License Agreement, we licensed to Ipsen, on an exclusive basis, the right to commercialize tovorafenib outside of the United States, in exchange for certain milestone and royalty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product and product candidate pipeline.</w:t>
      </w:r>
    </w:p>
    <w:p>
      <w:pPr>
        <w:pStyle w:val="TextBody"/>
        <w:bidi w:val="0"/>
        <w:spacing w:before="120" w:after="283"/>
        <w:jc w:val="center"/>
        <w:rPr/>
      </w:pPr>
      <w:r>
        <w:rPr/>
        <w:drawing>
          <wp:inline distT="0" distB="0" distL="0" distR="0">
            <wp:extent cx="5610225" cy="3190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10225" cy="3190875"/>
                    </a:xfrm>
                    <a:prstGeom prst="rect">
                      <a:avLst/>
                    </a:prstGeom>
                  </pic:spPr>
                </pic:pic>
              </a:graphicData>
            </a:graphic>
          </wp:inline>
        </w:drawing>
      </w:r>
    </w:p>
    <w:p>
      <w:pPr>
        <w:pStyle w:val="TextBody"/>
        <w:bidi w:val="0"/>
        <w:spacing w:before="360" w:after="283"/>
        <w:jc w:val="left"/>
        <w:rPr>
          <w:rFonts w:ascii="Times New Roman" w:hAnsi="Times New Roman"/>
          <w:sz w:val="20"/>
        </w:rPr>
      </w:pPr>
      <w:r>
        <w:rPr>
          <w:rFonts w:ascii="Times New Roman" w:hAnsi="Times New Roman"/>
          <w:b/>
          <w:color w:val="000000"/>
          <w:sz w:val="20"/>
        </w:rPr>
        <w:t>Significant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Takeda asset purchase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16, 2019, our subsidiary entered into an asset purchase agreement, or the Takeda Asset Agreement, with Millennium Pharmaceuticals, Inc., a related party and an affiliate of Takeda Pharmaceutical Company Limited, or Takeda. Effective December 31, 2021, the subsidiary was merged with and into our company, with our company being the surviving corporation and assuming the subsidiary’s obligations under the Takeda Asset Agreement. Pursuant to the Takeda Asset Agreement, we purchased certain technology rights and know-how related to TAK-580 (which is now OJEMDA) that provides a new approach for treating patients with primary brain tumors or brain metastases of solid tumors. Takeda also assigned us its exclusive license agreement, or the Viracta License Agreement, with Viracta. Takeda also granted us a worldwide, sublicensable exclusive license under specified patents and know-how and non-exclusive license under other patents and know-how generated by Takeda under the Takeda Asset Agreement. We also granted Takeda a grant back license, as defined in the Takeda Asset Agreement, which is terminable either automatically or by us in the event Takeda does not achieve specified development milestones within the applicable timeframes set forth under the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Takeda Asset Agreement. This grant back license to Takeda was terminated at the time of conversion of the Company from an LLC to a corporation in connection with the Millennium Stock Exchange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Takeda Asset Agreement will expire on a country-by-country basis upon expiration of all assigned patent rights and all licensed patent rights in such country. Takeda can terminate the Takeda Asset Agreement in the event of our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sale and assignment of assets and the grant of the license under the Takeda Asset Agreement, we made an upfront payment of $1.0 million in cash and issued 9,857,143 shares of our Series A redeemable convertible preferred stock in our subsidiary in December 2019. Based on the terms of the Millennium Stock Exchange Agreement, Takeda exchanged the 9,857,143 shares of Series A redeemable convertible preferred stock of our subsidiary for 6,470,382 shares of our common stock upon the effectiveness of the conversion of the Company from an LLC to a corporation, on May 26, 2021.</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Viracta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16, 2019, our subsidiary amended and restated the Viracta License Agreement that was assigned pursuant to the Takeda Asset Agreement. Effective December 31, 2021, our subsidiary was merged with and into our company, with our company being the surviving corporation and assuming our subsidiary’s obligations under Viracta License Agreement. Under the Viracta License Agreement, we received a worldwide exclusive license under specified patent rights and know-how to develop, use, manufacture, and commercialize products containing compounds binding the RAF protein family. We paid $2.0 million upfront in cash to Viracta in December 2019.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Viracta License Agreement will expire on a licensed product-by-licensed product and country-by-country basis upon the expiration of our obligation to pay royalties to Viracta with respect to such product in such country. We have the right to terminate the Viracta License Agreement with respect to any or all of the licensed products at will upon a specified notice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4, 2024, we entered into an amendment to the Viracta License Agreement. As part of the amendment, we made a one-time payment in March 2024 to Viracta of $5.0 million in exchange for reduced future payment obligations related to the future sale or use of the rare pediatric disease PRV received.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23, 2024, the FDA approved OJEMDA (a tablet formulation and powder solution formulation of tovorafenib) for the treatment of patients 6 months of age and older with relapsed or refractory pLGG harboring a BRAF fusion or rearrangement, or BRAF V600 mutation. The indication was approved under accelerated approval based on response rate and duration of response. With the approval, we received a rare pediatric disease PRV from the FDA. We made a $9.0 million milestone payment to Viracta in May 2024 for the achievement of this milestone.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29, 2024, we sold our rare pediatric disease PRV for $108.0 million to an undisclosed buyer. As part of the transaction, $8.1 million of the total consideration received from the sale of the rare pediatric disease PRV was paid to Viracta to fully satisfy PRV-related obligations under the Viracta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 2024, Viracta assigned the Viracta License Agreement to XOMA (US) LLC, or XOMA, pursuant to a Royalty Purchase Agreement dated March 22, 2021, between Viracta and XOMA, whereby Viracta sold its right, title, and interest in and to the Viracta License Agreement to XOMA. We have agreed to the assignment and novation of the Viracta License Agreement to XOMA as successor party, now referred to as the XOMA License Agreement. No material terms of the XOMA License Agreement have been amended or modified in relation to the same.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27, 2025, Ipsen Pharma SAS received validation of its completed submission of the Marketing Authorization Application to the EMA for tovorafenib for the treatment of patients with relapsed or refractory pLGG. As a result, we paid $4.0 million to XOMA for the achievement of this milestone in March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we could be required to make additional milestone payments of up to $36.0 million upon achievement of specified development and regulatory milestones for each licensed product in two indications. Commencing with the first commercial sale of OJEMDA in a country, we are obligated to pay tiered royalties ranging in the mid-single-digit percentages on net sales of licensed products. The obligation to pay royalties will end on a country-by-country and licensed product-by-licensed product basis commencing on the first commercial sale in a country and continuing until the later of: (i) the expiration of the last valid claim of the XOMA licensed patents, jointly owned collaboration patents or specified patents owned by us covering the use or sale of such product in such country, (ii) the expiration of the last statutory exclusivity pertaining to such product in such country or (iii) the tenth anniversary of the first commercial sale of such product in such country. </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 with Merck KGaA, Darmstadt, Germany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10, 2021, our subsidiary entered into a license agreement, or the MRKDG License Agreement, with Merck KGaA, Darmstadt, Germany, a pharmaceutical corporation located in Darmstadt, Germany. Effective December 31, 2021, the subsidiary was merged with and into our company, with our company being the surviving corporation and assuming the subsidiary’s obligations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MRKDG License Agreement. Under the MRKDG License Agreement, Merck KGaA, Darmstadt, Germany granted to us an exclusive worldwide license, with the right to grant sublicenses through multiple tiers, under specified patent rights and know-how for us to research, develop, manufacture and commercialize products containing and comprising the pimasertib and MSC2015103B compounds. Under the MRKDG License Agreement, we have obligations to use commercially reasonable efforts to develop and commercialize at least two licensed products in at least two specified major market countries by the year 2029.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MRKDG License Agreement will expire on a licensed product-by-licensed product and country-by-country basis upon the expiration of our obligation to pay royalties to the licensor with respect to such licensed product in such country and will expire in its entirety upon the expiration of all of our payment obligations with respect to all licensed products and all countries under the MRKDG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rights granted under the MRKDG License Agreement and clinical supplies, we made an upfront payment of $8.0 million in March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we discontinued our monotherapy substudy due to a limited duration of response in this rare patient population despite observing responses with a generally well tolerated therapy. In July 2024, we informed Merck KGaA, Darmstadt, Germany that we decided to close the program because the benefit/risk profile and the market opportunity did not justify the significant investment required to continue the trial despite observing some clinical responses. As of June 30, 2025, we are in the process of finalizing a termination agreement.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collaboration and license agreement with Sprint Bioscience 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15, 2023, we entered into the Sprint License Agreement.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an inhibitor targeting VRK1. In consideration for the rights granted under the Sprint License Agreement, we paid $3.0 million upfront in cash to Sprint in September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Sprint License Agreement will expire on a licensed product and country basis upon the expiration of the royalty term with respect to such licensed product and such country, unless terminated earlier. We have the right to terminate the Sprint License Agreement in its entirety, or on a licensed product-by-licensed product basis, at will upon a specified notice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9, 2025, we notified Sprint of our decision to discontinue our investment in the VRK1 program and terminated the Sprint License Agreement, with termination taking effect on August 15, 2025. This decision was made following careful consideration of the current development status of the program and our overall strategic objectives.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MabCare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17, 2024, we entered into the MabCare License Agreement. Under the MabCare License Agreement, MabCare granted to us an exclusive worldwide license, excluding Greater China, with the right to grant sublicenses through multiple tiers, under specified patent rights and know-how for us to develop, manufacture and commercialize DAY301, a novel ADC targeting PTK7. Under the MabCare License Agreement, we have obligations to use commercially reasonable efforts to develop, obtain regulatory approval for, and commercialize at least one licensed product in one indication in each of the United States, Japan, and three European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MabCare License Agreement will expire in its entirety upon the expiration of the last to expire royalty term with respect to all licensed products in our territory, unless terminated earlier. Following the expiration of the royalty term for a licensed product in a country, the license granted to us shall become non-exclusive, fully paid-up, royalty-free, perpetual, and irrevocable for such licensed product in such country. Upon the expiration of the term, the license granted to us shall become non-exclusive, transferable, sublicensable, fully paid, royalty free, perpetual, and irrevocable in its entirety.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rights granted under the MabCare License Agreement, we made an upfront payment of $55.0 million in July 2024. As of June 30, 2025, we could be required to make additional payments of $1,132.0 million based upon the achievement of specified development, regulatory, and commercial success-based milestones plus low-to-mid single-digit royalties on net sales outside of Greater China.</w:t>
      </w:r>
    </w:p>
    <w:p>
      <w:pPr>
        <w:pStyle w:val="TextBody"/>
        <w:bidi w:val="0"/>
        <w:spacing w:before="120" w:after="160"/>
        <w:jc w:val="left"/>
        <w:rPr>
          <w:rFonts w:ascii="Times New Roman" w:hAnsi="Times New Roman"/>
          <w:b/>
          <w:i/>
          <w:color w:val="000000"/>
          <w:sz w:val="20"/>
        </w:rPr>
      </w:pPr>
      <w:r>
        <w:rPr>
          <w:rFonts w:ascii="Times New Roman" w:hAnsi="Times New Roman"/>
          <w:b/>
          <w:i/>
          <w:color w:val="000000"/>
          <w:sz w:val="20"/>
        </w:rPr>
        <w:t>License agreement with Ipsen Pharma SAS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July 23, 2024, we entered into the Ipsen License Agreement, pursuant to which, we licensed to Ipsen, on an exclusive basis, the right to commercialize tovorafenib in all territories outside the United States and agreed to provide certain research and development and manufacturing services. Ipsen shall have the right to grant sublicenses to third-parties.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Under the terms of the Ipsen License Agreement, (i) Ipsen paid us an upfront license fee in the amount of $70.8 million in August 2024 and (ii) the Investor, a fully-owned United States affiliate of Ipsen, purchased 2,341,495 shares of our common stock in a private placement for $40.0 million, at a price per share representing a 17.0% premium to the VWAP of our common stock as traded on The Nasdaq Stock Market LLC for the ten consecutive trading days prior to and including the date of the Revenue Release, and the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ten consecutive trading days following the Revenue Release, in accordance with the terms set forth in an investment agreement by and between us and the Investor dated July 23, 2024.</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of June 30, 2025, we are also eligible to receive up to approximately $380.0 million in additional commercial launch and sales-based milestone payments based on exchange rates as of the reporting date. We are also entitled to tiered, double-digit royalty payments starting at mid-teens percentage of annual net sales of tovorafenib, subject to customary adjustments specified in the Ipsen License Agreement. The royalty payment obligations under the Ipsen License Agreement expire on a country-by-country basis no earlier than ten years following the first commercial sale of tovorafenib in the applicable country.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the Ipsen License Agreement provides that we will supply to Ipsen, and Ipsen will purchase from us, all required quantities of tovorafenib for all territories outside the United States in accordance with a supply agreement to be entered into by and between us and Ipsen, or the Ipsen Supply Agreement.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Following the two-year anniversary of July 23, 2024, the effective date of the Ipsen License Agreement, Ipsen may terminate the Ipsen License Agreement for convenience with six months’ prior written notice or for certain other specified reasons. We may terminate the Ipsen License Agreement if Ipsen or any of its affiliates challenge the validity of any patents controlled by us that are licensed under the Ipsen License Agreement. Both we and Ipsen may terminate the Ipsen License Agreement (i) for material breach by the other party and a failure to cure such breach within the time period specified in the Ipsen License Agreement or (ii) the other party’s bankruptcy event.</w:t>
      </w:r>
    </w:p>
    <w:p>
      <w:pPr>
        <w:pStyle w:val="TextBody"/>
        <w:bidi w:val="0"/>
        <w:spacing w:before="20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2024, the FDA approved OJEMDA for the treatment of patients 6 months of age and older with relapsed or refractory pLGG harboring a BRAF fusion or rearrangement, or BRAF V600 mutation. We record product revenue net of estimated discounts, chargebacks, rebates, specialty distributor fees, copay assistance, and product returns.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 The portion of the transaction price allocated to the licenses was recognized as revenue upon delivery of the licenses in the year ended of December 31, 2024. The transaction price allocated to the research and development services is being recognized over time as services are delivered.</w:t>
      </w:r>
    </w:p>
    <w:p>
      <w:pPr>
        <w:pStyle w:val="TextBody"/>
        <w:bidi w:val="0"/>
        <w:spacing w:before="120" w:after="283"/>
        <w:jc w:val="left"/>
        <w:rPr>
          <w:rFonts w:ascii="Times New Roman" w:hAnsi="Times New Roman"/>
          <w:sz w:val="20"/>
        </w:rPr>
      </w:pPr>
      <w:r>
        <w:rPr>
          <w:rFonts w:ascii="Times New Roman" w:hAnsi="Times New Roman"/>
          <w:b/>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Cost of product and license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product and license revenue includes the cost of inventory sold, amortization expense of intangible assets and third-party royalties payable on our net product revenue. Cost of inventory sold may also include costs related to excess or obsolete inventory adjustment charges, abnormal costs, unabsorbed manufacturing and overhead costs, and manufacturing variances. We expect to use inventory previously expensed to research and development by the third quarter of 2025, and accordingly, we expect our cost of product and license revenue of OJEMDA to increase as a percentage of product revenue in future periods as we produce and sell inventory that reflects the full cost of manufacturing the product. Cost of license revenue includes the cost of delivering the performance obligations under the Ipsen License Agreement. </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external and internal expenses incurred for our research activities, including our discovery and in-licensing undertakings, and the development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External expenses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under agreements with third-party contract research organizations, or CROs, contract manufacturing organizations, or CMOs, and other third parties that conduct clinical activities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acquiring technology and intellectual property licenses that have no alternative future uses;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business operational costs, such as rent, facilities and maintenance, travel and information technology, incurred related to research and development activities, but are not allocable to a specific product or product candidate.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expenses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costs, including salaries, bonuses, benefits and share-based compensation expense, for our research and development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expenses as incurred. We track external costs by program, which currently consist of expenses for our tovorafenib, pimasertib, DAY301, and the VRK1 inhibitor program. We do not track indirect costs on a program specific basis because these costs are deployed across multiple programs and, as such, are not separately classified.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We expect that our research and development expenses will increase for the foreseeable future as we continue to implement our business strategy; advance our product candidates through clinical trials and conduct larger clinical trials; expand our research and development efforts; and identify, acquire and develop additional product candidates, particularly as more of our product candidates move into clinical development and later stages of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development of our drug candidates is uncertain and subject to a number of risks. We cannot guarantee that results of clinical trials will be favorable or sufficient to support marketing authorizations for any of our product development programs. We could decide to abandon development or be required to spend considerable resources not otherwise contemplated. For additional discussion regarding the risks and uncertainties regarding our research and development programs, please refer to Part II, Item 1A “Risk Factors” in this Quarterly Report on Form 10-Q.</w:t>
      </w:r>
    </w:p>
    <w:p>
      <w:pPr>
        <w:pStyle w:val="TextBody"/>
        <w:bidi w:val="0"/>
        <w:spacing w:before="12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expenses consist primarily of employee-related costs, professional services and other operational costs. Employee-related costs include salaries, bonuses, benefits and share-based compensation expense for our selling, general and administrative personnel. Professional service expenses include legal fees; professional fees for accounting, marketing, human resources, business development, and other consulting services. Other operational costs include expenses for rent and facilities maintenance, travel, insurance and information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selling, general and administrative expenses will remain relatively consistent in the near-term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three months ended June 30, 2025 and 2024</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June 30, 2025 and 2024 (unaudited):</w:t>
      </w:r>
    </w:p>
    <w:tbl>
      <w:tblPr>
        <w:tblW w:w="9431" w:type="dxa"/>
        <w:jc w:val="left"/>
        <w:tblInd w:w="0" w:type="dxa"/>
        <w:tblLayout w:type="fixed"/>
        <w:tblCellMar>
          <w:top w:w="28" w:type="dxa"/>
          <w:left w:w="28" w:type="dxa"/>
          <w:bottom w:w="28" w:type="dxa"/>
          <w:right w:w="28" w:type="dxa"/>
        </w:tblCellMar>
      </w:tblPr>
      <w:tblGrid>
        <w:gridCol w:w="3651"/>
        <w:gridCol w:w="146"/>
        <w:gridCol w:w="211"/>
        <w:gridCol w:w="736"/>
        <w:gridCol w:w="166"/>
        <w:gridCol w:w="146"/>
        <w:gridCol w:w="211"/>
        <w:gridCol w:w="841"/>
        <w:gridCol w:w="166"/>
        <w:gridCol w:w="146"/>
        <w:gridCol w:w="211"/>
        <w:gridCol w:w="841"/>
        <w:gridCol w:w="166"/>
        <w:gridCol w:w="146"/>
        <w:gridCol w:w="177"/>
        <w:gridCol w:w="694"/>
        <w:gridCol w:w="776"/>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and license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from sale of priority review voucher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non-operating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962.1</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588.0</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Amount and/or percentage not meaningful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Product revenue, net</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revenue, net increased $25.4 million, from $8.2 million for the three months ended June 30, 2024 to $33.6 million for the three months ended June 30, 2025 due to the increase in sales of OJEMDA in the United States.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License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2025, we recorded license revenue of $0.3 million related to the Ipsen License Agreement.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Cost of product and license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product and license revenue increased $3.1 million, from $0.7 million for the three months ended June 30, 2024 to $3.8 million for the three months ended June 30, 2025 due to the increase in sales of OJEMDA in the United States.</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decreased $56.0 million, from $92.1 million for the three months ended June 30, 2024 to $36.1 million for the three months ended June 30, 2025. Third-party expenses decreased by $0.5 million due primarily to reductions in pimasertib clinical development costs and personnel related expenses decreased by $0.2 million driven by lower share-based compensation. Additionally, license related payments decreased by $55.0 million due to no upfront or milestone payments during the three months ended June 30, 2025 compared to a $55.0 million upfront payment related to the MabCare License Agreement during the three months ended June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external and internal research and development expenses for the three months ended June 30, 2025 and 2024:</w:t>
      </w:r>
    </w:p>
    <w:tbl>
      <w:tblPr>
        <w:tblW w:w="7924" w:type="dxa"/>
        <w:jc w:val="left"/>
        <w:tblInd w:w="0" w:type="dxa"/>
        <w:tblLayout w:type="fixed"/>
        <w:tblCellMar>
          <w:top w:w="28" w:type="dxa"/>
          <w:left w:w="28" w:type="dxa"/>
          <w:bottom w:w="28" w:type="dxa"/>
          <w:right w:w="28" w:type="dxa"/>
        </w:tblCellMar>
      </w:tblPr>
      <w:tblGrid>
        <w:gridCol w:w="5521"/>
        <w:gridCol w:w="146"/>
        <w:gridCol w:w="211"/>
        <w:gridCol w:w="676"/>
        <w:gridCol w:w="146"/>
        <w:gridCol w:w="146"/>
        <w:gridCol w:w="211"/>
        <w:gridCol w:w="676"/>
        <w:gridCol w:w="191"/>
      </w:tblGrid>
      <w:tr>
        <w:trPr/>
        <w:tc>
          <w:tcPr>
            <w:tcW w:w="5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CRO, CMO and other third-party clinical trial costs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MabCare license agreement upfront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CRO, CMO and other clinical trial costs for the tovorafenib, pimasertib, DAY301, and the VRK1 inhibitor programs were $18.0 million, $0.2 million, $2.6 million, and $1.3 million, respectively, for three months ended June 30, 2025 compared to $19.3 million, $1.5 million, $0.0 million, and $1.7 million, respectively, for the three months ended June 30, 2024. </w:t>
      </w:r>
    </w:p>
    <w:p>
      <w:pPr>
        <w:pStyle w:val="TextBody"/>
        <w:bidi w:val="0"/>
        <w:spacing w:before="12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decreased $1.2 million, from $30.2 million for the three months ended June 30, 2024 to $29.0 million for the three months ended June 30, 2025. The decrease in selling, general and administrative expenses was primarily due to a decrease of $0.8 million in personnel-related expenses driven by lower share-based compensation, a decrease of $1.0 million in professional services driven by reductions in commercial launch activities, and offset by an increase of $0.6 million in other selling, general and administrative costs.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2025, we did not record an income tax provision since we generated tax losses during this period. Income tax expense for the three months ended June 30, 2024, was $1.6 million resulting in an effective tax rate of (54.4%) driven by the effect of equity compensation, generation of tax credits, deferred state income taxes and the valuation allowance recorded against the full amount of our net deferred tax assets.</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six months ended June 30,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six months ended June 30, 2025 and 2024 (unaudited):</w:t>
      </w:r>
    </w:p>
    <w:tbl>
      <w:tblPr>
        <w:tblW w:w="9416" w:type="dxa"/>
        <w:jc w:val="left"/>
        <w:tblInd w:w="0" w:type="dxa"/>
        <w:tblLayout w:type="fixed"/>
        <w:tblCellMar>
          <w:top w:w="28" w:type="dxa"/>
          <w:left w:w="28" w:type="dxa"/>
          <w:bottom w:w="28" w:type="dxa"/>
          <w:right w:w="28" w:type="dxa"/>
        </w:tblCellMar>
      </w:tblPr>
      <w:tblGrid>
        <w:gridCol w:w="3651"/>
        <w:gridCol w:w="146"/>
        <w:gridCol w:w="211"/>
        <w:gridCol w:w="781"/>
        <w:gridCol w:w="166"/>
        <w:gridCol w:w="146"/>
        <w:gridCol w:w="211"/>
        <w:gridCol w:w="841"/>
        <w:gridCol w:w="166"/>
        <w:gridCol w:w="146"/>
        <w:gridCol w:w="211"/>
        <w:gridCol w:w="841"/>
        <w:gridCol w:w="166"/>
        <w:gridCol w:w="146"/>
        <w:gridCol w:w="177"/>
        <w:gridCol w:w="694"/>
        <w:gridCol w:w="716"/>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689.4</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and license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840.5</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Non-operating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from sale of priority review voucher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non-operating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Amount and/or percentage not meaningful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revenue, net increased $55.9 million, from $8.2 million for the six months ended June 30, 2024 to $64.1 million for the six months ended June 30, 2025 due to the increase in sales of OJEMDA in the United States.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License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2025, we recorded license revenue of $0.6 million related to the Ipsen License Agreement.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Cost of product and license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product and license revenue increased $5.9 million, from $0.7 million for the six months ended June 30, 2024 to $6.6 million for the six months ended June 30, 2025 due to the increase in sales of OJEMDA in the United States.</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decreased $56.5 million, from $132.3 million for the six months ended June 30, 2024 to $75.8 million for the six months ended June 30, 2025. Third-party expenses increased by $0.8 million due primarily to an increase in clinical trial and manufacturing activities associated with DAY301 and personnel-related expenses decreased by $0.9 million driven by lower share-based compensation. Additionally, license related payments decreased by $56.0 million due to a $4.0 million milestone payment related to the XOMA License Agreement in the six months ended June 30, 2025 compared to a $55.0 million upfront payment related to the MabCare License Agreement and a $5.0 million amendment payment related to the Viracta License Agreement in the six months ended June 30, 2024.</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external and internal research and development expenses for the six months ended June 30, 2025 and 2024:</w:t>
      </w:r>
    </w:p>
    <w:tbl>
      <w:tblPr>
        <w:tblW w:w="8029" w:type="dxa"/>
        <w:jc w:val="left"/>
        <w:tblInd w:w="0" w:type="dxa"/>
        <w:tblLayout w:type="fixed"/>
        <w:tblCellMar>
          <w:top w:w="28" w:type="dxa"/>
          <w:left w:w="28" w:type="dxa"/>
          <w:bottom w:w="28" w:type="dxa"/>
          <w:right w:w="28" w:type="dxa"/>
        </w:tblCellMar>
      </w:tblPr>
      <w:tblGrid>
        <w:gridCol w:w="5521"/>
        <w:gridCol w:w="146"/>
        <w:gridCol w:w="211"/>
        <w:gridCol w:w="676"/>
        <w:gridCol w:w="146"/>
        <w:gridCol w:w="146"/>
        <w:gridCol w:w="211"/>
        <w:gridCol w:w="781"/>
        <w:gridCol w:w="191"/>
      </w:tblGrid>
      <w:tr>
        <w:trPr/>
        <w:tc>
          <w:tcPr>
            <w:tcW w:w="5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CRO, CMO and other third-party clinical trial costs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XOMA License Agreement milestone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MabCare license agreement upfront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Viracta license agreement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132,316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CRO, CMO and other clinical trial costs for the tovorafenib, pimasertib, DAY301, and the VRK1 inhibitor programs were $34.5 million, $0.6 million, $4.8 million, and $3.0 million, respectively, for six months ended June 30, 2025 compared to $36.1 million, $2.5 million, $0.0 million, and $3.5 million, respectively, for the six months ended June 30, 2024. </w:t>
      </w:r>
    </w:p>
    <w:p>
      <w:pPr>
        <w:pStyle w:val="TextBody"/>
        <w:bidi w:val="0"/>
        <w:spacing w:before="12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increased $1.6 million, from $56.7 million for the six months ended June 30, 2024 to $58.3 million for the six months ended June 30, 2025. The increase in selling, general and administrative expenses was primarily due to an increase of $1.2 million in personnel-related expenses driven by headcount growth and an increase of $0.4 million in other selling, general and administrative costs.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2025, we did not record an income tax provision since we generated tax losses during this period. Income tax expense for the six months ended June 30, 2024, was $1.6 million resulting in an effective tax rate of (2.4%) driven by the effect of equity compensation, generation of tax credits, deferred state income taxes and the valuation allowance recorded against the full amount of our net deferred tax assets.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we entered into a securities purchase agreement with certain institutional and accredited investors, or the PIPE Investors, pursuant to which we agreed to sell and issue to the PIPE Investors in a private placement, or the Private Placement, an aggregate of (i) 10,551,718 shares of our common stock at a purchase price of $14.50 per share and (ii) 1,517,241 pre-funded warrants, or the Pre-Funded Warrants, to purchase up to an aggregate of 1,517,241 shares of our common stock, or the Warrant Shares, at a purchase price of $14.4999 per Pre-Funded Warrant. Each Pre-Funded Warrant has an exercise price of $0.0001 per Warrant Share. The Pre-Funded Warrants are exercisable at any time after their original issuance and will not expire. The Private Placement closed on August 1, 2024 and we received net proceeds of $166.5 million, after deducting placement agent fees, offering costs and other expenses, of which $145.6 million was allocated to the common stock and $20.9 million was allocated to the Pre-Funded Warrants. The net proceeds were recorded as a component of additional paid-in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 Under the terms of the Ipsen License Agreement, (i) Ipsen paid us an upfront license fee in the amount of $70.8 million in August 2024 and (ii) the Investor, a fully-owned United States affiliate of Ipsen, purchased 2,341,495 shares of our common stock in a private placement for $40.0 million, at a price per share representing a 17.0% premium to the VWAP of our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we and the Investor dated July 23, 2024. We valued the shares at issuance at $32.6 million, concluding that our Company's common stock price as traded on The Nasdaq Stock Market LLC on the closing date of the transaction approximated fair value, which was then recorded as a component of additional paid-in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an equity distribution agreement, or the Equity Distribution Agreement, with Piper Sandler &amp; Co. and JonesTrading Institutional Services LLC, as sales agents, relating to the issuance and sale of shares of our common stock for an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aggregate offering price of up to $250.0 million under an at-the-market offering program, or the ATM. No shares of our common stock have been sold under the ATM as of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we had an accumulated deficit of $620.4 million and $453.1 million in cash, cash equivalents and short-term investments. We believe our cash, cash equivalents and short-term investments will be sufficient to satisfy our capital requirements through at least twelve months after the date that this Quarterly Report is filed.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use of cash is to fund operating expenses, which consist of research and development expenditures and selling, general and administrative expenditures. Cash used to fund operating expenses is impacted by the timing of when we pay these expenses, as reflected in the change in our outstanding accounts payable and accrued expenses. Our material cash requirements include the following contractual and other obligations.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an operating lease obligation for office space. As of June 30, 2025, we had fixed lease payment obligations of approximately $0.5 million payable, within 12 months.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Contract Research Organizations and Contract Manufacturing Organizations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contracts in the normal course of business with CROs, CMOs, and other third-party vendors for clinical trial, manufacturing, testing, and other research and development activities. These contracts generally provide for termination on notice, with the exception of one vendor where certain costs are non-cancellable after the approval of the project. As of June 30, 2025, there were no amounts accrued related to termination and cancellation charges as these are not probable.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our license agreements, we have payment obligations that are contingent upon future events such as our achievement of specified development, regulatory and commercial milestones and are required to make royalty payments in connection with the sale of products developed under those agreements. The amount and timing of milestone obligations are unknown or uncertain as we are unable to estimate the timing or likelihood of achieving the milestone events. Additionally, the amount of royalty payments are based upon future product sales, which we are unable to predict with certainty. These potential obligations are further described in Note 7 to the financial statements.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sources and uses of cash for the periods presented: </w:t>
      </w:r>
    </w:p>
    <w:tbl>
      <w:tblPr>
        <w:tblW w:w="6929" w:type="dxa"/>
        <w:jc w:val="left"/>
        <w:tblInd w:w="0" w:type="dxa"/>
        <w:tblLayout w:type="fixed"/>
        <w:tblCellMar>
          <w:top w:w="28" w:type="dxa"/>
          <w:left w:w="28" w:type="dxa"/>
          <w:bottom w:w="28" w:type="dxa"/>
          <w:right w:w="28" w:type="dxa"/>
        </w:tblCellMar>
      </w:tblPr>
      <w:tblGrid>
        <w:gridCol w:w="4321"/>
        <w:gridCol w:w="146"/>
        <w:gridCol w:w="211"/>
        <w:gridCol w:w="736"/>
        <w:gridCol w:w="166"/>
        <w:gridCol w:w="146"/>
        <w:gridCol w:w="211"/>
        <w:gridCol w:w="781"/>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2025 was $83.8 million consisting of our net loss of $66.3 million and changes in net operating assets and liabilities of $34.8 million, which were offset by non-cash charges of $17.3 million. Changes in operating assets and liabilities were primarily related to a decrease in accrued expenses and other current liabilities of $26.5 million, an increase in accounts receivable of $5.8 million, an increase in inventory of $3.1 million, an increase in prepaid expenses and other current assets of $1.7 million, and an increase in deposits and other long-term assets of $0.1 million. This was offset by an increase in accounts payable of $1.8 million, an increase in deferred revenue of $0.4 million, and an increase in operating lease liability of $0.2 million. Non-cash charges consisted primarily of share-based compensation expense of $23.8 million, amortization of intangible assets of $1.5 million, depreciation expense of $0.2 million, amortization of operating right-of-use asset of $0.1 million, and loss from sale of property and equipment of $0.1 million. This was offset by accretion of discounts on short-term investments of $8.4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2024 was $98.9 million, consisting of our net loss of $66.8 million, non-cash charges of $84.0 million and net changes in operating assets and liabilities of $52.0 million. Non-cash charges are primarily related to a gain from the sale of our rare pediatric disease PRV of $108.0 million and accretion of discounts on short-term investments of $2.2 million, which was partially offset by share-based compensation expense of $25.7 million. Net changes in operating assets and liabilities are primarily related to an increase in accrued expenses and other current liabilities of $60.5 million and accounts payable of $3.9 million, which was partially offset by an increase in accounts receivable of $9.1 million and prepaid expenses and other current assets of $3.1 million.</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for the six months ended June 30, 2025 was $6.3 million attributable to the purchase of short-term investments of $428.3 million, acquisition of intangible assets of $3.5 million, and the acquisition of property and equipment of $0.3 million. This was partially offset by the proceeds from maturity of short-term investments of $425.8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six months ended June 30, 2024 was $106.3 million related to the proceeds from the maturity of short-term investments of $184.2 million and from the sale of our rare pediatric disease PRV of $108.0 million, partially offset by the purchase of short-term investments of $168.8 million and acquisition of intangible assets of $17.1 million.</w:t>
      </w:r>
    </w:p>
    <w:p>
      <w:pPr>
        <w:pStyle w:val="TextBody"/>
        <w:bidi w:val="0"/>
        <w:spacing w:before="12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financing activities for the six months ended June 30, 2025 was $0.7 million related to net proceeds from the purchases made under our 2021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financing activities for the six months ended June 30, 2024 was $1.3 million related to net proceeds from the issuance of common stock upon stock option exercises and purchases made under our 2021 Employee Stock Purchase Plan.</w:t>
      </w:r>
    </w:p>
    <w:p>
      <w:pPr>
        <w:pStyle w:val="TextBody"/>
        <w:bidi w:val="0"/>
        <w:spacing w:before="360" w:after="283"/>
        <w:jc w:val="left"/>
        <w:rPr>
          <w:rFonts w:ascii="Times New Roman" w:hAnsi="Times New Roman"/>
          <w:sz w:val="20"/>
        </w:rPr>
      </w:pPr>
      <w:r>
        <w:rPr>
          <w:rFonts w:ascii="Times New Roman" w:hAnsi="Times New Roman"/>
          <w:b/>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significant operating losses. We expect to continue to incur significant expenses and increasing operating losses for the foreseeable future in connection with our ongoing activities. As of June 30, 2025, we had $453.1 million in cash and cash equivalents and short-term investments. We believe our cash, cash equivalents and short-term investments will be sufficient to satisfy our capital requirements at least twelve months after the date that this Quarterly Report is filed.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cash, cash equivalents and short-term investments are not sufficient to meet capital needs until such time that we can generate substantial revenue, we expect to finance our cash needs through a combination of equity offerings, debt financings, collaborations, strategic alliances and marketing, distribution or licensing arrangements.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that we raise additional capital through the sale of equity or convertible debt securities, stockholder ownership interest will be diluted, and the terms of these securities may include liquidation or other preferences that adversely affect stockholder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raise additional funds may be adversely impacted by potential worsening global economic conditions, and disruptions to and volatility in the credit and financial markets in the United States and worldwide resulting from inflation, changing interest rates, significant political, trade or regulatory developments, global regional conflicts, public health epidemics, or otherwise. Because of the numerous risks and uncertainties associated with product development, we cannot predict the timing or amount of increased expenses and cannot assure that we will ever be profitable or generate positive cash flow from operating activities.</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condensed financial statements, which have been prepared in accordance with U.S. GAAP. The preparation of condensed financial statements in conformity with U.S. GAAP requires management to make estimates and assumptions that affect the reported amounts of assets, liabilities and disclosure of contingent assets and liabilities at the date of the financial statements and the reported amounts of expenses during the reporting period.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our significant accounting policies are described in more detail in the Notes to our Condensed Financial Statements appearing within Item 2 of this Quarterly Report, we believe that the following accounting policies are the most critical to the judgments and estimates used in the preparation of our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Accrued 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accrued liabilities for estimated costs of our clinical trials conducted by third-party service providers. We record the estimated costs of the clinical trials as research and development expense based upon the estimated amount of services provided but not yet invoiced. We accrue for these costs based on factors such as estimates of the work completed and in accordance with terms established with our third-party service providers under the service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make payments in connection with the clinical trials under contracts with CROs who conduct and manage our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 and materials basis. We accrue costs for clinical trial activities performed by CROs based upon the estimated amount of work completed on each trial. For clinical trials, the significant factors used in estimating accruals include the number of patients enrolled, the activities to be performed for each patient, the number of active clinical sites and the duration for which the patients will be enrolled in the trial. We monitor patient enrollment levels and related activities to the extent possible through internal reviews, correspondence with CROs and review of contractual terms. We base our estimates on the best information available at the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identify costs that have begun to be incurred or if we under- or over-estimate the level of services performed or the costs of these services, actual expenses could differ from our estimates. To date, we have not experienced any material differences between accrued costs and actual costs incurred. However, due to the nature of estimates, we cannot assure that we will not make changes to our estimates in the future as we become aware of additional information about the status or conduct of our clinical trials.</w:t>
      </w:r>
    </w:p>
    <w:p>
      <w:pPr>
        <w:pStyle w:val="TextBody"/>
        <w:bidi w:val="0"/>
        <w:spacing w:before="360" w:after="283"/>
        <w:jc w:val="left"/>
        <w:rPr>
          <w:rFonts w:ascii="Times New Roman" w:hAnsi="Times New Roman"/>
          <w:sz w:val="20"/>
        </w:rPr>
      </w:pPr>
      <w:r>
        <w:rPr>
          <w:rFonts w:ascii="Times New Roman" w:hAnsi="Times New Roman"/>
          <w:b/>
          <w:color w:val="000000"/>
          <w:sz w:val="20"/>
        </w:rPr>
        <w:t>New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Refer to Note 2 of the Notes to our Financial Statements included in this Quarterly Report on Form 10-Q for a summary of recently issued and adopted accounting pronouncements. </w:t>
      </w:r>
    </w:p>
    <w:p>
      <w:pPr>
        <w:pStyle w:val="TextBody"/>
        <w:bidi w:val="0"/>
        <w:spacing w:before="360" w:after="283"/>
        <w:jc w:val="left"/>
        <w:rPr>
          <w:rFonts w:ascii="Times New Roman" w:hAnsi="Times New Roman"/>
          <w:sz w:val="20"/>
        </w:rPr>
      </w:pPr>
      <w:bookmarkStart w:id="11" w:name="tx180355_10"/>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material changes to our market risks from those described in Part II Item 7A. Quantitative and qualitative disclosures about market risk of our 2024 Form 10-K.</w:t>
      </w:r>
    </w:p>
    <w:p>
      <w:pPr>
        <w:pStyle w:val="TextBody"/>
        <w:bidi w:val="0"/>
        <w:spacing w:before="360" w:after="283"/>
        <w:jc w:val="left"/>
        <w:rPr>
          <w:rFonts w:ascii="Times New Roman" w:hAnsi="Times New Roman"/>
          <w:sz w:val="20"/>
        </w:rPr>
      </w:pPr>
      <w:bookmarkStart w:id="12" w:name="tx180355_11"/>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management, with the participation of our Principal Executive Officer and Principal Financial Officer, performed an evaluation of the effectiveness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Officer concluded that, as of June 30, 2025, our disclosure controls and procedures were effective at a reasonable assurance level. </w:t>
      </w:r>
    </w:p>
    <w:p>
      <w:pPr>
        <w:pStyle w:val="TextBody"/>
        <w:bidi w:val="0"/>
        <w:spacing w:before="12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that occurred during the three months ended June 30, 2025 that have materially affected, or are reasonably likely to materially affect, our internal control over financial reporting.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jc w:val="center"/>
        <w:rPr>
          <w:rFonts w:ascii="Times New Roman" w:hAnsi="Times New Roman"/>
          <w:sz w:val="20"/>
        </w:rPr>
      </w:pPr>
      <w:bookmarkStart w:id="13" w:name="part_ii_other_information"/>
      <w:bookmarkEnd w:id="13"/>
      <w:r>
        <w:rPr>
          <w:rFonts w:ascii="Times New Roman" w:hAnsi="Times New Roman"/>
          <w:b/>
          <w:caps/>
          <w:color w:val="000000"/>
          <w:sz w:val="20"/>
        </w:rPr>
        <w:t>PART II-OTHER</w:t>
      </w:r>
      <w:r>
        <w:rPr>
          <w:rFonts w:ascii="Times New Roman" w:hAnsi="Times New Roman"/>
          <w:caps/>
          <w:color w:val="000000"/>
          <w:sz w:val="20"/>
        </w:rPr>
        <w:t xml:space="preserve"> </w:t>
      </w:r>
      <w:r>
        <w:rPr>
          <w:rFonts w:ascii="Times New Roman" w:hAnsi="Times New Roman"/>
          <w:b/>
          <w:caps/>
          <w:color w:val="000000"/>
          <w:sz w:val="20"/>
        </w:rPr>
        <w:t>INFORMATION</w:t>
      </w:r>
      <w:r>
        <w:rPr>
          <w:rFonts w:ascii="Times New Roman" w:hAnsi="Times New Roman"/>
          <w:caps/>
          <w:color w:val="000000"/>
          <w:sz w:val="20"/>
        </w:rPr>
        <w:t xml:space="preserve"> </w:t>
      </w:r>
    </w:p>
    <w:p>
      <w:pPr>
        <w:pStyle w:val="TextBody"/>
        <w:bidi w:val="0"/>
        <w:spacing w:before="360" w:after="283"/>
        <w:jc w:val="left"/>
        <w:rPr>
          <w:rFonts w:ascii="Times New Roman" w:hAnsi="Times New Roman"/>
          <w:sz w:val="20"/>
        </w:rPr>
      </w:pPr>
      <w:bookmarkStart w:id="14" w:name="item_1_legal_proeedings"/>
      <w:bookmarkEnd w:id="14"/>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 </w:t>
      </w:r>
    </w:p>
    <w:p>
      <w:pPr>
        <w:pStyle w:val="TextBody"/>
        <w:bidi w:val="0"/>
        <w:spacing w:before="360" w:after="283"/>
        <w:jc w:val="left"/>
        <w:rPr>
          <w:rFonts w:ascii="Times New Roman" w:hAnsi="Times New Roman"/>
          <w:sz w:val="20"/>
        </w:rPr>
      </w:pPr>
      <w:bookmarkStart w:id="15" w:name="item_1a_risk_factors"/>
      <w:bookmarkEnd w:id="1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in our common stock involves a high degree of risk. Before making your decision to invest in shares of our common stock, you should carefully consider the risks and uncertainties described below, together with the other information contained in this quarterly report,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Summary of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several risks and uncertainties, including those immediately following this summary. Some of these risks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commercial stage biopharmaceutical company with a limited operating history in the initial stages of the commercialization of our product, OJEMDA, which may make it difficult for investors to evaluate our current business and likelihood of success and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net losses since our inception. We expect to incur continued losses for the foreseeable future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near-term revenues are highly dependent on the successful commercialization of OJEMDA, which received marketing approval in April 2024 from the FDA for the treatment of patients 6 months of age and older with relapsed or refractory pLGG harboring a BRAF fusion or rearrangement, or BRAF V600 mutation. To the extent that OJEMDA is not commercially successful, our business, financial condition and results of operations would be materially and adversely affected and the price of our common stock would decline.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profitability depends significantly on our ability to achieve several objectives relating to the discovery or identification, development and commercialization of OJEMDA and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require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OJEMDA and our product candidates may not have favorable results in later clinical trials, if any, or receive marketing authorization. If we fail to demonstrate the safety and effectiveness of our product candidates, our reputation may be harmed and our business will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rely on data from investigator-initiated studies, as we did for the Phase 1 clinical trial, and we do not control the trial operations or reporting of the results of such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pharmaceutical products are subject to extensive regulation, and we may not obtain marketing authorizations for DAY301 or any future product candidates, on a timely basis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manufacture of pharmaceutical products, including OJEMDA and our product candidate, DAY301, is complex. Our third-party manufacturers may encounter difficulties in production, which could delay or entirely halt their ability to supply our product candidates for clinical trials or, if approved, our products for commercial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success depends on our ability to retain our executive officers and key employees and to attract, retain and motivate qualified personnel and manage our human capital.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grow the size and capabilities of our organization, and we may experience difficulties in managing this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Financial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a commercial-stage biopharmaceutical company with a limited operating history in the initial stages of the commercialization our product OJEMDA, which may make it difficult for investors to evaluate our current business and likelihood of success and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commercial-stage biopharmaceutical company with a limited operating history upon which you can evaluate our business and prospects. Investment in drug development is a highly speculative undertaking and involves a substantial degree of risk. We commenced operations in 2018, and, to date, we have devoted substantially all of our resources to identifying, acquiring and developing OJEMDA and our product candidates, including DAY 301, which we licensed from MabCare Therapeutics in June 2024, building our pipeline, organizing and staffing our company, business planning, building a commercial organization, establishing and maintaining our intellectual property portfolio, establishing arrangements with third parties for the manufacture of our product candidates, raising capital and providing selling, general and administrative support for these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continuing to transition from a company with a research and development focus to a company capable of supporting commercial activities and we may not be successful in such transition. We are still at the early stages of demonstrating our ability to manufacture at commercial scale, or arrange for a third party to do so on our behalf, or conduct sales, marketing and distribution activities necessary for successful product commercialization. As a result, it may be more difficult for you to accurately predict our likelihood of success and viability than it could be if we had a longer operating history.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encounter unforeseen expenses, difficulties, complications, delays and other known and unknown factors and risks frequently experienced by biopharmaceutical companies in rapidly evolving fields and with recently approved therapies. If we do not adequately address these risks and difficulties or successfully make a commercial transition, our business will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incurred significant net losses since our inception. We expect to incur continued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net losses in each reporting period since our inception, and as of June 30, 2025, we have generated approximately $121.3 million of revenue from product sales of OJEMDA. We have financed our operations principally through the sale and issuance of redeemable convertible preferred shares, the completion of our initial public offering, or IPO, and follow-on public offerings of our common stock. For the six months ended June 30, 2025 and 2024 we reported a net loss of $66.3 million and $66.8 million, respectively. We had an accumulated deficit of $620.4 million as of June 30, 2025. We expect to incur increasing levels of operating losses for the foreseeable future, particularly as we advance tovorafenib and DAY301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product and product candidates, including our ongoing pivotal Phase 3 FIREFLY-2 trial of tovorafenib as a potential front-line therapy in pLGG, our post-marketing commitments and requirements for OJEMDA, our Phase 1a/b trial of DAY301 targeting PTK7 and development of and subsequent Investigational New Drug Applications, or INDs, for any future product candidates we may choose to pursue. In October 2023, the U.S. Food and Drug Administration, or FDA, accepted our New Drug Applications, or NDAs, and granted priority review for OJEMDA as a monotherapy in relapsed or refractory pLGG. On April 23, 2024, the FDA approved the NDAs for OJEMDA for use in the treatment of patients 6 months of age and older with relapsed or refractory pLGG harboring a BRAF fusion or rearrangement, or BRAF V600 mutation. We will incur significant sales, marketing and outsourced manufacturing expenses in connection with the commercialization of OJEMDA, or our product candidate, DAY301, if marketing authorization is received. We have also incurred, and will continue to incur, additional costs associated with operating as a public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we expect to continue to incur significant and increasing net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In addition,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near-term revenues are highly dependent on the successful commercialization of OJEMDA, which received marketing approval in April 2024 from the FDA for the treatment of patients 6 months of age and older with relapsed or refractory pLGG harboring a BRAF fusion or rearrangement, or BRAF V600 mutation. To the extent that OJEMDA is not commercially successful, our business, financial condition and results of operations would be materially and adversely affected and the price of our common stock would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is highly dependent on our ability to timely complete successful clinical trials, obtain marketing authorization for, and then successfully commercialize, OJEMDA and our product candidates. OJEMDA is our only drug that has been approved for sale and it has only been approved for the treatment of patients 6 months of age and older with relapsed or refractory pLGG harboring a BRAF fusion or rearrangement, or BRAF V600 mutation. Prior to OJEMDA, we have not, as an organization, launched or commercialized a product, and there is no guarantee that we will be able to do so successfully with OJEMDA. There are numerous examples of unsuccessful product launches and failures to meet high expectations of market potential. We are focusing a significant portion of our activities and resources on OJEMDA, and we believe our near-term revenues are highly dependent on, and a meaningful portion of the value of our company relates to, our ability to successfully commercialize OJEMDA in the United States. If the launch or commercialization of OJEMDA is unsuccessful or perceived as disappointing, our stock price could decline significantly and the long-term success of the product and our company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OJEMDA will depend on several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making arrangements with third-party manufacturers, or establishing manufacturing capabilities, for both clinical and commercial supplies of OJEMDA and ensuring a resilient, effective supply chain that produces supply that outpaces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implementing marketing, pricing and reimbursement strategies, as well as adequate demand forecasts for supply and sales planning;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sales, marketing and distribution capabilities for OJEMDA, whether alone or in collaboration with others in a market where promotional sales approaches are rapidly moving to digital platforms and access of sales representatives to major institutions remains uncertain;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OJEMDA by patients, physicians, the medical community and third-party payors underpinned by adequate health economic data and a meaningful value proposition;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third-party payor coverage and adequate reimbursement in both public and private payor spaces across multiple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effectively competing with other therapies, including those that have not yet entered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effectively competing with other companies in the pharmaceutical and biotechnology industries, which are characterized by rapidly advancing technologies, intense competition and a strong emphasis on proprietary and novel products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appropriate support from patient advocacy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effectively shaping the market in the early years following launch to help providers understand a new way of thinking about treating relevant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our patents will be sufficient to prevent generic competition for OJEMDA after our orphan drug exclusivity expires;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completion of any required or committed post-marketing studies and available funding to perform any such post-marketing requirements or post-marketing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the products following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these factors are beyond our control, and if we cannot address any of them in a timely manner or at all, we could experience significant delays or an inability to successfully commercialize OJEMDA and our product candidates, which would materially harm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generate revenue and achieve profitability depends significantly on our ability to achieve several objectives relating to the development and commercialization of OJEMDA and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entirely on the successful commercialization of OJEMDA and development of our product candidates. We are early in our development efforts for other indications, and our product tovorafenib is currently in a pivotal Phase 3 clinical trial as a potential front-line therapy in pLGG. Our product candidate, DAY301, is in the earlier stages of development and is not approved for sale in any jurisdiction. There can be no assurance that tovorafenib and DAY301 or any future product candidates we develop, if any, will achieve success in their ongoing clinical trials or obtain marketing authorization.</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future revenue at the levels or timing we expect and achieve profitability depends on several factors, including, but not limited to, our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market and sell OJEMDA while maintaining full compliance with applicable federal and state laws, rules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a successful pivotal Phase 3 FIREFLY-2 trial with tovorafenib that achieves a competitive, clinically meaningful and generally well-tolerated target product profile for the front-line treatment of pLGG;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a successful Phase 1a/b trial of DAY301;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successfully complete all safety, pharmacokinetic and other studies required to support Ipsen to obtain foreign marketing authorization for OJEMDA as a treatment for patients with pLGGs;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complete additional, successful late-stage clinical trials that meet their clinical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favorable results from our clinical trials and apply for and obtain marketing authorizations for DAY301 from applicable regulatory authorities, including NDAs from the FDA, and maintaining such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licenses, collaborations or strategic partnerships that allow for the commercialization of OJEMDA and our product candidates and/or may increase the value of our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commercialize OJEMDA, DAY301, and any future product candidates we may develop, if approved, by building and maintaining a sales force and/or entering into collaborations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satisfy any post-marketing requirements imposed by, or post-marketing commitments made to,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 an acceptable safety profile of our product and our product candidate, DAY301, and continue to maintain a continued acceptable safety profile following marketing authorization,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 assess and develop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patent and trade secret protection, statutory exclusivities and other intellectual property protections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protect and defend our intellectual property portfolio, including any necessary licenses from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 any competing therapies and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achieve market acceptance of our product candidate, DAY301, if approved, with patients, the medical community and third-party payors, both in the United States and internationally;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hire and retain qualified personnel and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become and remain profitable, we must succeed in developing and commercializing products that generate significant revenue. This will require us to be successful in a range of challenging activities, including completing clinical trials for OJEMDA and our product candidates, acquiring additional product candidates, establishing arrangements with third parties for the manufacture of clinical supplies of our product candidates, obtaining marketing authorization for our product candidates, obtaining and retaining patents, trade secrets, statutory exclusivities, and other intellectual property protections and marketing and selling products for which we may obtain marketing authorization, if any. We are in the early stages of most of these activities. We may never succeed in these activities and, even if we do, may never generate revenues that are significant enough to achieve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cases where we are successful in obtaining marketing authorizations to market one or more of our product candidates, our revenue will be dependent, in part, upon the size of the markets in the territories for which we gain marketing authorizations, the pricing for the product, the duration of treatment with our product, the adoption of our product in treatment guidelines and by prescribers, the ability to obtain coverage and reimbursement and whether we own the commercial rights for that territory. If the number of our addressable patients is not as significant as we estimate, the approved indication is narrower than expected or the treatment population is narrowed by competition, physician choice, payor decisions or treatment guidelines, we may not generate significant revenue from sales of such products, even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decide to, or are required by the FDA or regulatory authorities in other jurisdictions to, perform studies or clinical trials in addition to those currently expected, or to modify ongoing or planned clinical trials, or if there are any delays in establishing appropriate manufacturing arrangements for, in initiating or completing our current and planned clinical trials for or in the development of, any of our product candidates, our expenses could increase significantly and profitability could be further delayed.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require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commercialize our product, OJEMDA, and advance product candidate, DAY301, and any future product candidates through clinical development. We expect increased expenses as we continue our research and development, initiate additional clinical trials, seek to expand our product pipeline, seek marketing authorization for our programs and future product candidates, if any, and invest in our organization. In addition, we expect to incur significant expenses related to the product manufacturing, marketing, sales and distribution of OJEMDA and, if we obtain marketing authorization, for our product candidate, DAY301. Furthermore, we have incurred and will continue to incur additional costs associated with operating as a public company, such as acquiring and retaining experienced personnel, developing new information technology systems and other costs associated with being a public company. Also, we expect to experience ongoing and additional costs related to preparing and filing patent applications, maintaining our intellectual property and potentially expanding our office facilities. Accordingly, we will need to obtain additional funding in connection with our continuing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$453.1 million in cash, cash equivalents and short-term investments as of June 30, 2025. Based on our cash, cash equivalents and short-term investments, as of June 30, 2025, we estimate that our current liquidity will be sufficient to satisfy our capital requirements at least twelve months after the date that this Quarterly Report is filed.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timing and results of preclinical studies and clinical trials for our current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develop, in-license or acquire other pipeline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development requirements of current or future product candidates that we may pursue, and other indications for our current product candidates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obtaining marketing authorization for our current or future product candidates or the modification of ongoing or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development of and marketing authorization for any complementary or companion diagnostics that may be useful to or necessary for the commercialization of OJEMDA and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and costs of making arrangements with third-party manufacturers, or establishing manufacturing capabilities, for both clinical and commercial supplies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growing our organization to the size needed to allow for the research, development and potential commercialization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we pursue strategic collaborations, including collaborations to commercialize OJEMDA, DAY301 or any of our future pipeline products and product candidates, if any, our ability to establish and maintain collaborations on favorable terms, if at all, as well as the timing and amount of any milestone or royalty payments we are required to make or are eligible to receive under such collaborations or our current licenses;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associated with commercializing any approved products and product candidates, including establishing sales, marketing, market access and distribution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associated with completing any post-marketing studies or trials requested or required by the FDA or other regulatory authorities, including for OJEMDA;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revenue, if any, received from commercial sales of OJEMDA, DAY301 or any of our future product candidates, if approved, or any other future pipeline product candidates that receive marketing authorization;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that we may become subject to, including any litigation costs and the outcome of such litigation;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potential product liability claims, including the costs associated with obtaining insurance against such claims and with defending against such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require additional capital to complete our planned clinical development programs for our current product candidates to obtain marketing authorization, and we anticipate needing to raise additional capital to complete the development of our product candidates.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products and product candidates or we may be unable to take advantage of future business opportunities. Furthermore, any additional capital-raising efforts may divert our team’s attention from their day-to-day activities, which may adversely affect our business, including our ability to develop and commercialize our current and future product candidates, if approved. Changing circumstances, some of which may be beyond our control, could cause us to consume capital significantly faster than we currently anticipate, and we may need to seek additional funds sooner than planned.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We have entered into an equity distribution agreement, or the Equity Distribution Agreement, with Piper Sandler &amp; Co. and JonesTrading Institutional Services LLC, as sales agents, relating to the issuance and sale of shares of our common stock for an aggregate offering price of up to $250.0 million under an at-the-market offering program, or the ATM. No shares of our common stock have been sold under the ATM as of June 30, 2025. To the extent that we raise additional capital through the sale of equity or convertible debt securities, including pursuant to the ATM,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Our ability to raise additional funds may be adversely impacted by potential worsening global economic conditions and disruptions to, and volatility in, the credit and financial markets in the United States and worldwide resulting from inflation, changes in interest rates, changes in domestic and foreign currency rates, significant political, trade or regulatory developments, global regional conflicts, public health epidemics or otherwise.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raise capital as and when needed or on acceptable terms would have a negative impact on our financial condition and our ability to pursue our business strategy, and we may have to delay, reduce the scope of, suspend or eliminate one or more of our research or drug development programs, clinical trials or future commercialization efforts.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Development and Commercialization of OJEMDA and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OJEMDA and our product candidates may not have favorable results in later clinical trials, if any, and not all of our product candidates will receive marketing authorization. If we fail to demonstrate the safety and effectiveness of our product candidates, our reputation may be harmed and our business will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of failure for our product candidates is high. It is impossible to predict when or if our product candidates will prove effective or safe in humans or if our product candidates will receive marketing authorization. To obtain the requisite marketing authorizations to market and sell our product candidates, we must demonstrate through extensive preclinical studies and clinical trials that our product candidates are safe and effective in humans for use in each target indication. Clinical testing is expensive and can take many years to complete, and the outcome is inherently uncertain. Failure can occur at any time during the clinical trial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results of preclinical studies and earlier clinical trials may not be predictive of the results of later-stage preclinical studies or clinical trials. We have limited clinical data for our product candidates. Products and product candidates in later stages of clinical trials may fail to show similar or desired safety and efficacy traits despite having progressed through preclinical and earlier stage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instances, there can be significant variability in safety or efficacy results between different clinical trials of the same product or product candidate due to numerous factors, including changes in clinical trial procedures set forth in protocols, differences in the size and type of the patient populations, adherence to the dosing regimen and other clinical trial protocols and the rate of discontinuation among clinical trial participants.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produce positive results in our planned clinical trials of any of our product candidates, the development timeline and marketing authorization and commercialization prospects for our product candidates, and, correspondingly, our business and financial prospects, would be materially and adversely affected.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OJEMDA has only been studied in a limited number of patients. Following commercial launch, OJEMDA is now available to a much larger number of patients, and we do not know whether the results of OJEMDA’s use in such larger number of patients will be consistent with the results from our clinical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OJEMDA has been administered only to a limited number of patients in clinical studies. While the FDA granted accelerated approval of OJEMDA based on the data included in the NDAs, we do not know whether the real-world safety and effectiveness of the product will be consistent with the safety and effectiveness profile seen in the clinical studies. New data relating to OJEMDA, including from adverse events reports and our post-marketing commitments in the United States, and from other ongoing clinical studies, may result in changes to the product label and may adversely affect sales, or result in withdrawal of OJEMDA from the market. If any of these actions were to occur, it could result in significant expense and delay and/or limit our ability to generate future sales revenues in line with our expectations.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rely on data from investigator-initiated studies, as we did for the Phase 1 clinical trial, and we do not control the trial operations or reporting of the results of such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rely on certain clinical data from investigator-sponsored clinical studies, and we do not control the trial operations or reporting of the results of such trials. This was the case for the initial Phase 1 study for our product, OJEMDA, which was run as an investigator-initiated, multi-center trial in patients with relapsed or refractory pLGG that is being conducted by the Dana Farber Cancer Institute in collaboration with the Pacific Pediatric Neuro-Oncology Consortium, or PNOC. The last data reported from that trial was in January 2023. It is possible that additional data, when reported, will not demonstrate similar results. We have no control over the timing of such clinical data announcements. Our pivotal Phase 2 FIREFLY-1 trial OJEMDA is a Day One-sponsored trial. In addition, in later-stage clinical trials, we will likely be subject to more rigorous statistical analyses than in completed earlier stage clinical trials. A number of companies in the pharmaceutical industry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authorization for their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authorization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authorization of our product candidates. While investigator-sponsored trials could be useful to inform our own clinical development efforts, we do not control the data or timing of data releases for investigator-sponsored trials, and there is no guarantee that we will be able to use the data from these trials to form the basis for marketing authorization of our product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Our clinical trials may be suspended, delayed or fail to adequately demonstrate the safety and effectiveness of OJEMDA and our product candidates, which would prevent or delay development, marketing authorization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authorization from the FDA or comparable foreign regulatory authorities for the sale of OJEMDA and our product candidates, we must demonstrate through lengthy, complex and expensive clinical trials that our product candidates are both safe and effective for use in each target indication. Clinical testing is expensive, difficult to design and implement, can take many years to complete and its ultimate outcome is uncertain. Failure can occur at any time during the clinical trial processes and for any number of reasons, and, because our product candidates are in earlier stages of development, there is a high risk of failure and we may never succeed in developing marketable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numerous challenges and unforeseen events during, or as a result of, clinical trials that could delay or prevent receipt of marketing authorization or our ability to successfully commercialize OJEMDA or our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regulators refusing to permit our clinical studies to proceed or placing studies on hold before or after the studies begin;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failure to demonstrate that the dose for a product candidate has been optimized;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our product candidates in clinical trials to demonstrate important functional, quality, or patient-reported outcomes;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competitive landscape causing clinical trial enrollment challenges or preventing or delaying marketing authorization in one or several subsets studied in our programs, including in relapsed or front-line pLGG;</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feedback from regulatory authorities that requires us to modify the design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clinical trial results that may require us to conduct additional clinical trials or abandon certain research and/or drug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required for clinical trials being larger than anticipated, enrollment in these clinical trials being slower than anticipated or participants dropping out of these clinical trials at a higher rate than 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delays in our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including Good Clinical Practice, or GCP, regulations,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suspension or termination of our clinical trials for various reasons, including non-compliance with regulatory requirements or a finding that our product candidates have undesirable side effects or other unexpected characteristics or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being greater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of our product candidates being insufficient or inadequate;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our clinical trials to demonstrate the safety or effectiveness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revising the requirements for approving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feedback from regulatory authorities that would require us to include data from additional patients or longer term efficacy and safety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face unanticipated regulatory hurdles in our drug development program that may require additional data generation or delay our existing or planned trials and the timing of applications for marketing authorization. For instance, we may make formulation or manufacturing changes to our product candidates, in which case we may need to conduct additional preclinical studies to bridge our modified product candidates to earlier versions. Additionally, the FDA may determine that it has questions or concerns about our trials and may not permit our proposed clinical studies to move forward by imposing a partial or full clinical hold.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we, the FDA or an institutional review board, or IRB, may suspend our clinical trials at any time if it appears that we or our collaborators are failing to conduct a trial in accordance with regulatory requirements, including GCP regulations, that we are exposing participants to unacceptable health risks or if the FDA finds deficiencies in our INDs or the conduct of these trials. Therefore, we cannot predict with any certainty the schedule for commencement and completion of future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conduct clinical trials in foreign countries, which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Further, data from trials conducted outside of the United States may be subject to additional scrutiny by the FDA, which may require that additional U.S. data be generated.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some of our product candidates are targeted towards the pediatric population, we may face additional hurdles and be subjected to greater scrutiny by regulatory agencies. Trials involving pediatric populations can be difficult to conduct, can be quite costly and, like other clinical trials, may not yield the anticipated results. In addition, pediatric studies are more dependent on a smaller number of specialized clinical trial sites, which in turn can limit site availability and make the trials more expensive to conduct. In addition, as interest in pediatric indications grows as a result of the Research to Accelerate Cures and Equity (RACE) for Children Act and other market forces, trial recruitment may become even more difficult due to competition for eligible patients. Moreover, it may be challenging to ensure that pediatric or adolescent patients adhere to clinical trial protocols. Our inability to enroll a sufficient number of pediatric patients for our clinical trial could result in significant delays, require us to abandon one or more clinical trials altogether, impact our ability to raise additional capital and delay or prevent our ability to obtain necessary marketing authorizations for any drug product candidate.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cannot predict the outcome of our clinical trials, nor can we guarantee that the data we generate from our clinical trials will be acceptable to regulatory authorities so as to support marketing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clinical trials is uncertain, and, because our product candidates are in earlier stages of development, there is a significant risk of failure. If we complete our clinical trials but the results of our clinical trials are inconclusive or only modestly positive, if there are safety concerns or serious adverse events associated with our product candidates or if our clinical trials are delayed or require unplanned changes,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unplanned drug development and/or commercialization costs;</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in obtaining or unable to obtain marketing authorization;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required to perform additional clinical trials to support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 or may have contraindications, limitations of use or other restrictions that affect the market for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marketing authorization with labeling that includes safety warnings, a risk evaluation and mitigation strategy, or REMS, and/or other restrictions on distribution or use that could affect market access;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additional post-marketing testing requirements or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regulatory authorities withdraw, or suspend, their approval of the drug or impose post-marketing safety labeling changes or a REMS;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civil or criminal investigations and litigation;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damage to our reputation.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has affected the conduct or interpretation of the study. The FDA or a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authorization of one or more of our product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experience delays or difficulties in enrolling patients in our ongoing or planned clinical trials, we may be delayed in or prevented from obtaining necessary marketing authorization for any or all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our OJEMDA program, we utilize genomic profiling of patients’ tumors to identify suitable patients for recruitment into our clinical trials. We cannot be certain (i) how many patients will have the requisite alterations for inclusion in our clinical trials, (ii) that the number of patients enrolled in each program will suffice for marketing authorization or (iii) whether each specific BRAF mutation targeted will be included in the approved drug labeling. If our strategies for patient identification and enrollment prove unsuccessful, we may have difficulty enrolling or maintaining patients appropriate for our product candidates. Patient enrollment is also affected by other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trial investigators of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incidence and prevalence of our target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patients’ awareness of, and perceptions as to, the potential advantages and risks of our product candidates in relation to other available therapies, including any new drugs that may be approved for the indications we are investigating;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and capacity of clinical researchers to conduct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expertise and selection of contract research organizations, or CROs, to manage operations related to clinical trial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studies or trials with similar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invasive procedures that may be required to enroll patients and to obtain evidence of the product candidate’s performance during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and efficacy of approved medications for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ongoing shortages of chemotherapy standard of care, which may be used in the control arm of certain of our clinical trials, including FIREFLY-2;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criteria defined in the protocol for the trial in question;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facilitate timely enrollment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we are subject to a partial or full clinical hold on any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reluctance of physicians or patient advocacy organizations to encourage patient participation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monitor patients adequately during and after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and availability of clinical trial sites for prospective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conditions for which we currently plan to evaluate our product candidates are orphan or rare diseases with limited patient pools from which to draw for clinical trials. The eligibility criteria of our clinical trials, once established, will further limit the pool of available trial participants. Further,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Moreover, if any of our competitors receive FDA approval for a product, it may limit our ability to enroll patients in our clinical trials if they decide to seek treatment with an approved product. For example, in March 2023, Novartis received approval for dabrafenib in combination with trametinib, which could in the future limit our ability to enroll patients whose tumors harbor V600E mutations in clinical trials for OJEMDA.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enroll and maintain a sufficient number of patients for our clinical trials would result in significant delays or may require us to abandon one or more clinical trials or clinical programs altogether. There may be competing trials, as well as the limited bandwidth of pediatric oncology institutions for running trials, which can lead to the prioritization of certain trials, resulting in delays in our clinical trials. In addition, because our product candidates are initially targeted to pediatric populations, we may face additional challenges. For example, parents may be reluctant to enroll their children in our clinical trials or may decide to withdraw their children from our clinical trials to pursue other therapies.</w:t>
      </w:r>
    </w:p>
    <w:p>
      <w:pPr>
        <w:pStyle w:val="TextBody"/>
        <w:bidi w:val="0"/>
        <w:spacing w:before="360" w:after="283"/>
        <w:jc w:val="left"/>
        <w:rPr>
          <w:rFonts w:ascii="Times New Roman" w:hAnsi="Times New Roman"/>
          <w:sz w:val="20"/>
        </w:rPr>
      </w:pPr>
      <w:r>
        <w:rPr>
          <w:rFonts w:ascii="Times New Roman" w:hAnsi="Times New Roman"/>
          <w:b/>
          <w:i/>
          <w:color w:val="000000"/>
          <w:sz w:val="20"/>
        </w:rPr>
        <w:t>Preliminary, interim, initial and topline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interim or topline data from our clinical trials. These updates are based on a preliminary analysis of then-available data, and the results and related findings and conclusions are subject to change following a more comprehensive review of the data related to the particular study. Additionally, interim data from clinical trials that we may complete are subject to the risk that one or more of the clinical outcomes may materially change as patient enrollment continues and more patient data become available. Therefore, positive interim or initial results in any ongoing clinical trial may not be predictive of such results in the completed study. Initial or topline data also remain subject to audit and verification procedures that may result in the final data being materially different from the preliminary data we previously published.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For example, our FIREFLY-1 clinical trial was designed to use the Response Assessment for Neuro-Oncology – High Grade Glioma, or RANO-HGG, to measure the primary endpoint of overall response rate, or ORR, in alignment with the FDA, with ORR using Response Assessment for Pediatric Neuro-Oncology – Low-Grade Glioma, or RAPNO-LGG, as a secondary endpoint. Following discussions with the FDA and the March 2023 approval of dabrafenib, in combination with trametinib in BRAF V600E pLGG, we initially structured the primary endpoint in our FIREFLY-2/LOGGIC trial to be assessed using the Response Assessment for Neuro-Oncology Low-Grade Glioma, or RANO-LGG, and have included RANO-LGG as an exploratory endpoint in FIREFLY-1. Following further feedback from the FDA during review of the NDAs for OJEMDA, in June 2024 we updated the structure of the primary endpoint in our FIREFLY-2/LOGGIC trial to be assessed using the RAPNO-LGG criteria.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products or product candidates that we successfully develop and commercialize, including OJEMDA, may compete with existing therapies and new therapies that may become available in the future. We believe that a significant number of competing product candidates are currently under development, and may become commercially available in the future, for the treatment of conditions for which we are developing, or may in the future develop, product candidates. In addition, our product candidates may need to compete with drugs that are prescribed off-label to treat the indications for which we seek approval. This may make it difficult for us to replace existing therapies with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compete with these organizations to recruit and retain qualified scientific, management and sales and commercial and marketing personnel, which could negatively affect our level of expertise and our ability to execute our business plan. We will also face competition in establishing clinical trial sites and patient registration for clinical trials, as well as in acquiring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w:t>
      </w:r>
    </w:p>
    <w:p>
      <w:pPr>
        <w:pStyle w:val="TextBody"/>
        <w:bidi w:val="0"/>
        <w:spacing w:before="120" w:after="283"/>
        <w:jc w:val="left"/>
        <w:rPr>
          <w:rFonts w:ascii="Times New Roman" w:hAnsi="Times New Roman"/>
          <w:sz w:val="20"/>
        </w:rPr>
      </w:pPr>
      <w:r>
        <w:rPr>
          <w:rFonts w:ascii="Times New Roman" w:hAnsi="Times New Roman"/>
          <w:color w:val="000000"/>
          <w:sz w:val="20"/>
        </w:rPr>
        <w:t>We expect to face competition from existing products and products in development for each of our programs. Drug discovery efforts focused on V600 mutations have led to clinical success in some cancers. Three BRAF inhibitors have been approved by the FDA for the treatment of tumors containing V600E or V600K mutations. These first-generation BRAF inhibitors, known more generally as Type I RAF inhibitors, are vemurafenib, marketed as Zelboraf</w:t>
      </w:r>
      <w:r>
        <w:rPr>
          <w:rFonts w:ascii="Times New Roman" w:hAnsi="Times New Roman"/>
          <w:color w:val="000000"/>
          <w:sz w:val="12"/>
        </w:rPr>
        <w:t>®</w:t>
      </w:r>
      <w:r>
        <w:rPr>
          <w:rFonts w:ascii="Times New Roman" w:hAnsi="Times New Roman"/>
          <w:color w:val="000000"/>
          <w:sz w:val="20"/>
        </w:rPr>
        <w:t xml:space="preserve"> by Genentech; dabrafenib, marketed as Tafinlar</w:t>
      </w:r>
      <w:r>
        <w:rPr>
          <w:rFonts w:ascii="Times New Roman" w:hAnsi="Times New Roman"/>
          <w:color w:val="000000"/>
          <w:sz w:val="12"/>
        </w:rPr>
        <w:t>®</w:t>
      </w:r>
      <w:r>
        <w:rPr>
          <w:rFonts w:ascii="Times New Roman" w:hAnsi="Times New Roman"/>
          <w:color w:val="000000"/>
          <w:sz w:val="20"/>
        </w:rPr>
        <w:t xml:space="preserve"> by Novartis; and encorafenib, marketed as Braftovi</w:t>
      </w:r>
      <w:r>
        <w:rPr>
          <w:rFonts w:ascii="Times New Roman" w:hAnsi="Times New Roman"/>
          <w:color w:val="000000"/>
          <w:sz w:val="12"/>
        </w:rPr>
        <w:t>®</w:t>
      </w:r>
      <w:r>
        <w:rPr>
          <w:rFonts w:ascii="Times New Roman" w:hAnsi="Times New Roman"/>
          <w:color w:val="000000"/>
          <w:sz w:val="20"/>
        </w:rPr>
        <w:t xml:space="preserve"> by Pfizer. Dabrafenib, in combination with trametinib, marketed as Mekinist® by Novartis, has been approved for the treatment of adult and pediatric patients ≥ 6 years of age with unresectable or metastatic solid tumors with BRAF V600E mutation who have progressed following prior treatment and have no satisfactory alternative treatment options. This includes BRAF V600E pLGG, a subset of the greater RAF-altered pLGG clinical scope of the OJEMDA development program. We believe that current data indicates that the BRAF V600E subset represents 10%-20% of BRAF-altered pLGG, but additional epidemiologic data may emerge as more patients are profiled. Further, dabrafenib, in combination with trametinib, was granted full approval in the BRAF V600E pLGG indication in March 2023 to include the treatment of pediatric patients 1 year of age and older with low-grade glioma, or LGG, with a BRAF V600E mutation who require initial systemic therapy.</w:t>
      </w:r>
    </w:p>
    <w:p>
      <w:pPr>
        <w:pStyle w:val="TextBody"/>
        <w:bidi w:val="0"/>
        <w:spacing w:before="120" w:after="283"/>
        <w:jc w:val="left"/>
        <w:rPr>
          <w:rFonts w:ascii="Times New Roman" w:hAnsi="Times New Roman"/>
          <w:sz w:val="20"/>
        </w:rPr>
      </w:pPr>
      <w:r>
        <w:rPr>
          <w:rFonts w:ascii="Times New Roman" w:hAnsi="Times New Roman"/>
          <w:color w:val="000000"/>
          <w:sz w:val="20"/>
        </w:rPr>
        <w:t>Five MEK inhibitors have been approved by the FDA. Three have been approved for the treatment of tumors containing BRAF V600E or V600K mutations, including cobimetinib, marketed as Cotellic</w:t>
      </w:r>
      <w:r>
        <w:rPr>
          <w:rFonts w:ascii="Times New Roman" w:hAnsi="Times New Roman"/>
          <w:color w:val="000000"/>
          <w:sz w:val="12"/>
        </w:rPr>
        <w:t>®</w:t>
      </w:r>
      <w:r>
        <w:rPr>
          <w:rFonts w:ascii="Times New Roman" w:hAnsi="Times New Roman"/>
          <w:color w:val="000000"/>
          <w:sz w:val="20"/>
        </w:rPr>
        <w:t xml:space="preserve"> by Genentech; trametinib, marketed as Mekinist</w:t>
      </w:r>
      <w:r>
        <w:rPr>
          <w:rFonts w:ascii="Times New Roman" w:hAnsi="Times New Roman"/>
          <w:color w:val="000000"/>
          <w:sz w:val="12"/>
        </w:rPr>
        <w:t>®</w:t>
      </w:r>
      <w:r>
        <w:rPr>
          <w:rFonts w:ascii="Times New Roman" w:hAnsi="Times New Roman"/>
          <w:color w:val="000000"/>
          <w:sz w:val="20"/>
        </w:rPr>
        <w:t xml:space="preserve"> by Novartis; and binimetinib, marketed as Mektovi</w:t>
      </w:r>
      <w:r>
        <w:rPr>
          <w:rFonts w:ascii="Times New Roman" w:hAnsi="Times New Roman"/>
          <w:color w:val="000000"/>
          <w:sz w:val="12"/>
        </w:rPr>
        <w:t>®</w:t>
      </w:r>
      <w:r>
        <w:rPr>
          <w:rFonts w:ascii="Times New Roman" w:hAnsi="Times New Roman"/>
          <w:color w:val="000000"/>
          <w:sz w:val="20"/>
        </w:rPr>
        <w:t xml:space="preserve"> by Pfizer. Two have been approved for the treatment of pediatric patients, 2 years of age and older, with neurofibromatosis type 1, or NF1, who have symptomatic plexiform neurofibromas not amenable to complete resection, including selumetinib, marketed as Koselugo® by AstraZeneca and mirdametinib, marketed as Gomekli® by SpringWorks. While MEK inhibitors as monotherapy have been shown to be active in BRAF altered pLGG (both BRAF V600E mutant pLGG and BRAF fusion-driven pLGG), no MEK inhibitors have been approved by the FDA as a monotherapy for the treatment of patients with pLGG.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a number of next-generation BRAF inhibitors in clinical development. BeOne Medicines has two next-generation BRAF programs: Lifirafenib (BGB-283), which is currently in a Phase 1/2 trial in combination with mirdametinib, and BGB-3245 which is currently in a single agent in Phase 1 dose escalation study as well as in combination studies with mirdametinib and panitumumab. Fore Biotherapeutics (formerly NovellusDx) is developing the RAF dimer breaker plixorafenib (formerly FORE8394 or PLX-8394) in a Phase 2 trial in combination with cobicistat in patients with cancers harboring BRAF alterations. Black Diamond Therapeutics have the next-generation BRAF inhibitor BDTX-4933 in Phase 1 clinical trials in adult solid tumors (KRAS-mutant NSCLC and solid tumors with RAF/RAS-mutations). Jazz Pharmaceuticals and Redx have announced that the pan-RAF inhibitor JZP815 has entered clinical development in a Phase 1 trial. Erasca recently announced that it has entered into an exclusive worldwide license agreement with Novartis for naporafenib, a pan-RAF inhibitor with a potential first-in-class and best-in-class profile in NRAS mutant melanoma and other RAS/MAPK pathway-driven tumors. Naporafenib, in combination with trametinib, is being studied in a Phase 3 clinical trial in patients with NRAS-mutant melanoma. Nested Therapeutics has advanced NST-628, a pan-RAF/MEK “molecular glue” into a Phase 1 clinical trial. Pfizer’s PF-07799933 (ARRY-440) is a brain-penetrant BRAF-selective monomer/dimer inhibitor that spares ARAF and CRAF, and is currently being evaluated in a phase 1 trial in adults with solid tumors.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regard to the treatment of pLGG, some MEK inhibitors, some type I RAF inhibitors, and other targeted therapies have been studied, or are being studied, in academic investigator-initiated clinical trials, and in some regions may be being used in an off-label manner. The off-label use of these agents may represent competition for OJEMDA if it is approved and enters the market.</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MabCare License Agreement, we have the exclusive right to develop, manufacture and commercialize DAY301, a novel ADC targeting PTK7, worldwide, excluding Greater China. In January 2025, we cleared the first cohort (a single-patient accelerated titration cohort) in the Phase 1a portion of the DAY301 Phase 1a/b clinical trial. There are a few ADCs targeting PTK7 in development. In February 2024, Profound Bio dosed its first patient in a Phase 1/2 Clinical Trial of PRO1107, a PTK7-targetted ADC with an auristatin payload. Profound Bio was acquired by Genmab A/S in May of 2024 and the program was renamed to GEN1107. In May 2024, Sichuan Kelun Pharmaceutical Research Institute also listed a Phase 1 study of SKB51, a PTK7-targeted ADC with a topoisomerase-1 payload, in adults with advanced or metastatic solid tumors. Eli Lilly and Company recently listed a clinical trial for LY4175408, a PTK-7 targeted ADC with an exatecan payload, that is anticipated to begin enrollment in July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competitors, either alone or with their collaborators, have significantly greater financial resources, established presence in the market and expertise in research and development, manufacturing, preclinical and clinical testing, obtaining marketing authorizations and reimbursement and marketing approved products than we do.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Large pharmaceutical and biotechnology companies, in particular, have extensive experience in clinical testing, obtaining marketing authorizations, recruiting patients and manufacturing biotechnology product candidates. These companies also have significantly greater research, marketing and sales capabilities than we do and may also have product candidates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all of these factors, our competitors may succeed in obtaining approval from the FDA or comparable foreign regulatory authorities or in discovering, developing and commercializing product candidates in our field before we do, which could result in our competitors establishing a strong market position before we are able to enter the market with a particular product or product candidate or could make our development more complicated.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potential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OJEMDA or our product candidates. Even if the product candidates we develop achieve marketing authorization,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future revenue from the sale of the product candidates we may develop, if approved,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Safety risks or other side effects associated with OJEMDA, DAY301 or any future products and product candidates we may develop could delay or preclude approval, cause us to suspend or discontinue clinical trials or abandon further development, limit the use of an approved product or result in significant negative consequences following marketing authorization, if 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pharmaceuticals generally, we have observed side effects and adverse events associated with our product, OJEMDA, and our product candidates. The most common side effects were rash, hair color changes, tiredness, viral infection, vomiting, headache, fever, decrease in growth velocity, dry skin, constipation, nausea, acne and upper respiratory tract infection.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our ongoing and planned clinical trials could reveal a high and unacceptable severity and prevalence of side effects or unexpected characteristics. These side effects or unexpected characteristics may be subject to regulatory reporting requirements before and/or after approval. Undesirable side effects caused by OJEMDA or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OJEMDA or our product candidates or those of our competitors may only be uncovered with a significantly larger number of patients exposed to the drug.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patients treated with OJEMDA and our product candidates have undergone, or may also be undergoing, medical, surgical, radiation and chemotherapy treatments, which can cause side effects or adverse events that are unrelated to OJEMDA or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to be enrolled in our future clinical trials will die or experience major clinical events either during the course of our clinical trials or after participating in such trials for non-treatment related reasons, which could impact development of OJEMDA, DAY301 or our other product candidates. If we elect or are required to delay, suspend or terminate any clinical trial, the commercial prospects of OJEMDA and our product candidates will be harmed and our ability to generate product revenues from such product or product candidate will be delayed or eliminated. Serious adverse events, or SAEs, observed in clinical trials could hinder or prevent market acceptance of any approved products or reduce the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duration of time that physicians expect to use our product in particular patients. Any of these occurrences may significantly harm our business, prospects,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if OJEMDA or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early-stage testing have later been found to cause side effects that prevented further development. In addition, regulatory authorities may draw different conclusions, require additional testing to confirm these determinations, require more restrictive labeling or deny marketing authorization of the product candidate.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as we test OJEMDA or our product candidates in larger, longer and more extensive clinical trials, including with different dosing regimens, or as the use of our product candidates becomes more widespread following any marketing authorization, illnesses, injuries, discomforts and other adverse events that were observed, did not occur or went undetected in earlier trials, will be reported by patients. If such side effects become known later in development or upon approval, if any, such findings may significantly harm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receive marketing authorization, and we or others later identify undesirable side effects caused by treatment with such drug, a number of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approval of the drug;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recall a product or change the way the drug is administered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implement a REMS or create a medication guide outlining the risks of such side effects for distribution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impose additional restrictions on the marketing or promotion of the particular product or the manufacturing processes for the product or any component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regulatory investigations and government enforcement 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drug could become less competitive;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authorization or acceptance of our product candidates, if approved, and could significantly harm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expend our limited resources to pursue a particular product or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focus on research programs and products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opportunities for any products and product candidates we develop, if approved, may be limited to certain smaller patient subsets and may be smaller than we estimate them to be.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23, 2024, the FDA approved the NDAs for the treatment of patients 6 months of age and older with relapsed or refractory pLGG harboring a BRAF fusion or rearrangement, or BRAF V600 mutation. We have commenced the commercial launch of OJEMDA in the United States. There is no guarantee that OJEMDA or our product candidates will be approved for the front-line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setting, and prior to any such approvals we may have to conduct additional clinical trials that may be costly, time-consuming and subject to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projections of both the number of people who have the cancers we are targeting, as well as the subset of people with these cancers in a position to receive a particular line of therapy and who have the potential to benefit from treatment with OJEMDA and our product candidates, are based on our beliefs and estimates. For example, pLGG is a rare disease, and our projections of both the number of people who have this disease, as well as the subset of people with pLGG who have the potential to benefit from treatment with OJEMDA and our product candidates, are based on estimates. These estimates have been derived from a variety of sources, including scientific literature, surveys of clinics, patient foundations and market research. These estimates may prove to be incorrect. Additionally, new studies or information may change the estimated incidence or prevalence of the cancers that we are targeting, which could affect our eligibility for orphan designation for certain indications. The potentially addressable patient population for OJEMDA and our product candidates may be limited or may not be amenable to treatment with OJEMDA and our product candidates. Consequently, even if our product candidates are approved, the number of patients that may be eligible for treatment with our product candidates may turn out to be much lower than expected. Even if we obtain significant market share for our products, if the potential target populations are small, we may never achieve profitability without obtaining marketing authorization for additional indications, if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Our clinical development activities are primarily focused on the development of targeted therapeutics for patients with genomically-defined cancers, which is a rapidly evolving area of science, and the approach we are taking to search and develop drugs is novel and may never lead to additional approved or marketable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discovery and development of targeted therapeutics for patients with genomically-defined cancers is an emerging field, and the scientific discoveries that form the basis for our efforts to discover, identify and develop product candidates are relatively new. The scientific evidence to support the feasibility of developing product candidates based on these discoveries is both preliminary and limited. Although we believe, based on our products and product candidates’ preclinical trial results and our clinical work, that the genomic alterations targeted by our programs are oncogenic drivers, clinical results may not confirm this hypothesis or may only confirm it for certain alterations or certain tumor types. The patient populations for OJEMDA and our product candidates are limited to those with specific target alterations and may not be completely defined but are substantially smaller than the general treated cancer population. In some cases, the target patient populations may not be completely defined. We will need to screen and identify appropriate patients with the targeted alterations. Successful identification of patients is dependent on several factors, including achieving certainty as to how specific alterations respond to OJEMDA and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successfully commercialize OJEMDA and our product candidates and achieve profitability. In addition, even if our approach is successful in showing clinical benefit for RAF-driven cancers for our OJEMDA program, we may never successfully identify additional oncogenic alterations sensitive to OJEMDA in other MAPK-driven tumors. Therefore, we do not know if our approach of treating patients with genomically-defined cancers will be successful, and if our approach is unsuccessful, our business will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OJEMDA and our product candidate, DAY301, may not achieve adequate market acceptance among physicians, healthcare professionals, patients or their families,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OJEMDA, and product candidate, DAY301, if approved, may not achieve adequate market acceptance among physicians, healthcare professionals, patients or their families, healthcare payors and others in the medical community necessary for commercial success globally. The degree of market acceptance of any of our approved product candidates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durability and safety profile as demonstrated in clinical trials compared to alternative treatments, in addition to functional, quality or patient-reported outcomes;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the product candidate and of any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a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use of product candidates in the labeling approved by regulatory authorities, such as boxed warnings or contraindications in labeling, or REMS, which may not be required of alternative treatments and competitor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OJEMDA and our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treatment in relation to alternative treatments and the cost/benefit ratios of each;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coverage and adequate reimbursement by third-party payors, including government authorities, and timing of relevant formulary decision-making resulting in this coverage and reimbursement;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in relation to competition;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(which may include willingness of our pediatric patients’ parents) to try new therapies and undergo required diagnostic screening to determine treatment eligibility and of physicians to prescribe these therapies and diagnostic tests;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sales and marketing efforts and market access;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unfavorable publicity relating to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other new therapies for the same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product candidates are approved but do not achieve an adequate level of acceptance by physicians, hospitals, healthcare payors and patients, we may not generate or derive sufficient revenue from that product candidate and our financial results could be negatively impacted. With respect to OJEMDA specifically, successful commercialization globally will depend on negotiations with, and coverage, reimbursement, selection and/or acquisition decisions by, third-party payors, which we cannot predict. These decisions in turn may depend on value assessments conducted by various entities (e.g., formulary committees, such as pharmacy and therapeutics committees, healthcare systems and pharmacies, among others) that consider various factors (including the price of OJEMDA)—the outcomes of which we cannot predict.</w:t>
      </w:r>
    </w:p>
    <w:p>
      <w:pPr>
        <w:pStyle w:val="TextBody"/>
        <w:bidi w:val="0"/>
        <w:spacing w:before="360" w:after="283"/>
        <w:jc w:val="left"/>
        <w:rPr>
          <w:rFonts w:ascii="Times New Roman" w:hAnsi="Times New Roman"/>
          <w:sz w:val="20"/>
        </w:rPr>
      </w:pPr>
      <w:r>
        <w:rPr>
          <w:rFonts w:ascii="Times New Roman" w:hAnsi="Times New Roman"/>
          <w:b/>
          <w:i/>
          <w:color w:val="000000"/>
          <w:sz w:val="20"/>
        </w:rPr>
        <w:t>Any products and product candidates we develop may become subject to unfavorable third-party coverage and reimbursement practices, as well as price restrictions.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products, including OJEMDA, and our product candidate, DAY301, should it receive marketing authorization, will depend substantially, both in the United States and internationally, on the extent to which the costs of such products and product candidates will be covered and reimbursed by third-party payors, as patients who are prescribed medicine for the treatment of their condition generally rely on third-party payors to reimburse all or part of the costs associated with their prescription drugs. Further, coverage and adequate reimbursement from governmental healthcare programs, such as Medicare and Medicaid, and commercial payors is critical to new product acceptance. If reimbursement is not available, or is available only to limited levels, we may not be able to successfully commercialize OJEMDA and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or product candidate for which we obtain marketing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significant uncertainty related to third-party payor coverage and reimbursement of newly approved products, particularly pediatric products. The payor mix for pediatric products in the United States is a fragmented combination of state-specific Medicaid policies and a broad universe of private insurance companies. There is no consistent policy or leading payor to inform other price-setting entities. Public and private payor policies are expected to be critical to our ability to achieve broad payment coverage. Further, to the extent one or more of our products obtain coverage by one third-party payor, that does not assure that other payors will also provide coverage for the product.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federal and state governments implement additional health care cost containment measures, including measures to lower prescription drug pricing, we cannot be sure that our products, if approved, will be covered by private or public payors, and if covered, whether the reimbursement will be adequate or competitive with other marketed products. These and other actions by federal and state governments and health plans may put additional downward pressure on pharmaceutical pricing and health care costs, which could negatively impact coverage and reimbursement for our products (if approved), our revenue and our ability to compete with other marketed products and to recoup the costs of our research and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Increasingly, third-party payors are requiring that drug companies provide them with predetermined discounts from list prices and are generally challenging the prices for medical products, including by examining the medical necessity and reviewing the cost effectiveness of medical product candidates. There may be especially significant delays in obtaining coverage and reimbursement for newly approved drugs. Third-party payors may limit coverage to specific products on an approved list, known as a formulary, which might not include all FDA-approved drugs for a particular indication. We plan to conduct pharmaco-economic studies to demonstrate the medical necessity and cost-effectiveness of our products, which may be costly. Nonetheless, our products and product candidates may not be considered medically necessary or cost-effective. Moreover, third-party payor coverage decisions may depend upon clinical and economic standards that disfavor new drug products when more established or lower cost therapeutic alternatives are already available or subsequently become available. We cannot be sure that coverage and reimbursement will be available for any product that we commercialize and, if reimbursement is available, what the level of reimbursement will be.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complementary and companion diagnostic tests require coverage and reimbursement separate and apart from the coverage and reimbursement for related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the commercialization of therapeutics is generally subject to extensive governmental price controls and other market regulations.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or EU, medicinal product prices are subject to varying price control mechanisms as part of national health systems. In these countries, pricing negotiations with governmental authorities can take considerable time after a product receives marketing authorization.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Coverage policies and third-party payor reimbursement rates may change at any time. Even if favorable coverage and reimbursement status is attained for one or more products for which we receive marketing authorization, less favorable coverage policies and reimbursement rates may be implemented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establish or sustain coverage and adequate reimbursement for any products from third-party payors, the adoption of those products and sales revenue will be adversely affected, which, in turn, could adversely affect the ability to market or sell those product, if approved.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entails a significant risk of product liability and if we are unable to obtain sufficient insurance coverage such inability could have an adverse effect on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exposes us to significant product liability risks inherent in the development, testing, manufacturing and commercialization of OJEMDA and any future products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The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our resources and substantial monetary awards to trial participants or patients. We currently have product liability insurance that we believe is appropriate for our stage of development and may need to obtain higher levels prior to advancing our product candidates into clinical trials or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development and commercialization of pharmaceutical products are subject to extensive regulation, and we may not obtain marketing authorizations for DAY301 or any future product candidates, on a timely basis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OJEMDA and DAY301, currently our only product and product candidate in planned or ongoing clinical trials, as well as any other product candidate that we may develop in the future, are subject to extensive regulation. Marketing authorization of drugs in the United States requires the submission of an NDA to the FDA. An NDA must be supported by extensive clinical and preclinical data, as well as extensive information regarding pharmacology, chemistry, manufacturing and controls. We are not permitted to market any product candidate in the United States until we obtain approval from the FDA of the NDA for that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refer any application we submit to an advisory committee. An advisory committee is a panel of independent experts, including clinicians and other scientific experts, which reviews, evaluates and provides advice and recommendations to the FDA as to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application should be approved and under what conditions. The FDA is not bound by the recommendations of an advisory committee, but it considers such recommendations carefully when making decisions.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approval of an NDA is not guaranteed, and the review and approval process is an expensive and uncertain process over which the FDA has substantial discretion. The FDA approval process may also take several years. The timelines for the FDA review and approval process may be delayed as a result of future organizational changes and/or staffing reductions. The number and types of preclinical studies and clinical trials that will be required for NDA approval vary depending on the product candidate, the disease or the condition that the product candidate is designed to treat and the regulations applicable to any particular product candidate. Of the large number of drugs in development in the United States, only a small percentage will successfully complete the FDA marketing authorization process and will be commercialized. On April 23, 2024, the FDA approved the NDAs for the treatment of patients 6 months of age and older with relapsed or refractory pLGG harboring a BRAF fusion or rearrangement, or BRAF V600 mutation. In connection with its approval of OJEMDA, the FDA may impose restrictions, post-marketing requirements or post-marketing commitments that may limit our ability to commercialize OJEMDA or any other product. If we fail to comply with FDA-mandated requirements or if the results of certain required post-marketing studies are negative, the FDA could withdraw approval, add warnings or narrow approved indications, which could affect the commercial success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experience delays or rejections based upon additional government regulation from future legislation or administrative action, or changes in regulatory authority policy during the period of product development, clinical trials and the review process. For example, in May 2022, the Oncology Center of Excellence within the FDA advanced Project Optimus,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Oncology Center of Excellence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 failure may result from a multitude of factors, including flaws in trial design, dose selection, placebo effect, patient enrollment criteria, data integrity challenges or failure to demonstrate favorable safety or efficacy traits.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authorization. On the basis of our clinical trials, the FDA could delay, limit or deny approval of a product candidate for many reasons, including because the FDA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deem our product candidate to be safe and effective;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determine that the product candidate does not have an acceptable benefit-risk profile;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determine in the case of an NDA seeking accelerated approval that the NDA does not provide evidence that the product candidate represents a meaningful advantage over available therapies and, therefore, may deny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determine that ORR as the primary endpoint, complemented by key secondary endpoints, is insufficient to reliably define clinical benefit;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agree that the data collected from preclinical studies and clinical trials are acceptable or sufficient to support the submission of an NDA or other submission or to obtain marketing authorization, and may impose requirements for additional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determine that adverse events experienced by participants in our clinical trials represent an unacceptable level of risk;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determine that the population studied in the clinical trial may not be sufficiently broad or representative to assure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accept clinical data from trials, which are conducted at clinical facilities or in countries where the standard of care is potentially different from that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 regarding the formulation, labeling and/or the specifications;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approve the manufacturing processes associated with our product candidate or may determine that a manufacturing facility does not have an acceptable compliance status;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approval policies or adopt new regulations;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file a submission due to, among other reasons, the content or formatting of the submission.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yet obtained FDA approval for our product candidate, DAY301. While the FDA approved the NDAs for the treatment of patients 6 months of age and older with relapsed or refractory pLGG harboring a BRAF fusion or rearrangement, or BRAF V600 mutation, there is no assurance that we will receive similar approval for OJEMDA from comparable regulatory authorities in foreign jurisdictions, which may limit our addressable market and could adversely affect our business, prospects,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seek to utilize any of the FDA’s expedited programs, the FDA may not find our product candidates to be eligible for these programs and, if granted, these programs may not lead to faster development, regulatory review or approval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has several expedited programs, including Fast Track, Priority Review, Breakthrough Therapy and Accelerated Approval, which are authorized by the Federal Food, Drug and Cosmetic Act, or FD&amp;C Act, and implemented pursuant to FDA regulations and guidance. None of these programs change the standard for FDA approval of a pharmaceutical product. We still must demonstrate substantial evidence of effectiveness and an acceptable safety profile to obtain marketing authorization.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to avail ourselves of one or more of the FDA’s expedited programs. For example, we may seek Fast Track designation for one or more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grant a Fast Track designation to a drug that is intended for the treatment of a serious or life-threatening condition and nonclinical or clinical data demonstrates the potential to address unmet medical needs for this condition. The FDA has broad discretion whether to grant this designation, so even if we believe a particular product candidate is eligible for this designation, we cannot assure you that the FDA would decide to grant it. The FDA may withdraw Fast Track designation if it believes that the designation is no longer supported by data from our clinical development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applied for and have been granted breakthrough therapy designation for tovorafenib in patients with advanced pLGG, and we may apply for breakthrough therapy designation for other product candidates or indications in the future. The FDA may designate a drug candidate as a potential breakthrough therapy if the drug candidate is intended, alone or in combination with one or more other drugs or drug candidates, to treat a serious or life-threatening disease or condition and preliminary clinical evidence indicates that the drug candidate may demonstrate substantial improvement over existing therapies on one or more clinically significant endpoints. For drug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 candidates designated as breakthrough therapies by the FDA are also eligible for priority review if supported by clinical data at the time of the submission of the NDA. The FDA may withdraw breakthrough therapy designations if it determines that the criteria for the designation is no longer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priority review of one or more of our other applications for marketing authorization, or we may receive priority review as part of other designations we may seek for one or more of our other product candidates. The FDA may grant priority review to an application if an application is for a drug that treats a serious condition and, if approved, would provide a significant improvement in safety or effectiveness. The FDA may also grant priority review to supplements that propose a labeling change pursuant to a report on a pediatric study under Section 505A of the FD&amp;C Act. Additionally, the FDA may grant priority review to any application or supplement for a drug submitted with a PRV. We cannot assure you that the FDA would decide to grant priority review of any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do receive Fast Track designation, breakthrough therapy designation or priority review for any of our product candidates, we may not experience expedited development, review or faster action on our applications for marketing authorization compared to products without such designations.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accelerated approval pathway may be unavailable or, if available, may not lead to faster development, regulatory review or marketing authorization, and the use of the accelerated approval pathway does not necessarily increase the likelihood that our product candidates will receive marketing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FDA’s Accelerated Approval Program, and subject to the conditions set forth in Section 506(c) of the FD&amp;C Act and FDA regulations, the FDA may approve a product for a serious or life-threatening disease or condition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FDA generally reserves the use of accelerated approvals for situations in which the product candidate at issue provides a meaningful therapeutic benefit over existing treatments.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accelerated approval for one or more of our product candidates on the basis of a surrogate endpoint that we believe is reasonably likely to predict clinical benefit, such as ORR. The FDA may not agree with our conclusion that an endpoint we select is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reasonably likely to predict clinical benefit, and thus the FDA may not agree that accelerated approval is appropriate based on that endpoint (even if the results on that endpoint are statistically significant), which could delay or preclude accelerated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granted accelerated approval are subject to certain post-marketing requirements, which typically include a requirement to conduct one or more post-approval studies to confirm the clinical benefit of the product, which must be completed with due diligence. By the time of approval of the product, the FDA must set forth the conditions for the post-marketing studies which may include specific conditions and deadlines relating to the study protocol, enrollment targets, target completion date and other milestones. The FDA generally expects—and may require, as appropriate—the confirmatory study or studies to be underway at the time of the accelerated approval or within a specific time frame following approval. The FDA may disagree with our proposed clinical study designs for post-marketing confirmatory studies, and may require study conditions that are unfavorable to us, which could delay approval or lead to the withdrawal of a product approved under the accelerated approval pathway.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FDA regulations require that sponsors of products granted accelerated approval submit during the pre-approval review period copies of all promotional materials intended to be used within 120 days following marketing approval. After 120 days following marketing approval, unless otherwise informed by the FDA, the sponsor must submit all promotional materials at least 30 days prior to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accelerated approval pathway has come under scrutiny within the FDA, by Congress and by other stakeholders. The FDA has put increased focus on ensuring that confirmatory studies are conducted with diligence and, ultimately, that such studies confirm the benefit. For example, the FDA has convened its Oncologic Drugs Advisory Committee to review what the FDA has called "dangling" or "delinquent" accelerated approvals where confirmatory studies have not been completed or where results did not confirm benefit. In addition, in 2021, the Oncology Center of Excellence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Finally, Congress recently passed the Food and Drug Omnibus Reform Act of 2022, or FDORA, which implemented key reforms to the FDA’s authorities with respect to accelerated approval, including strengthening requirements around post-approval studies, codifying procedures for withdrawal of a product approved under the expedited approval pathway and establishing an intra-agency Accelerated Approval Council to address accelerated approval policy. FDORA also added the failure to conduct post-approval studies with due diligence or to submit timely progress reports on such studies to the list of prohibited acts under the FD&amp;C Act, which means that any such failures, whether they result from our actions or the actions of third parties, could provide the basis for enforcement actions to be brought against us, which may be costly to defend or we may be unsuccessful in our defense.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also has the authority to withdraw products approved under the accelerated approval pathway using expedited withdrawal procedures. Circumstances that may lead to such withdrawal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conduct any required post-approval study of a product candidate with due diligence, including with respect to conditions specified by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study required to verify and describe the predicted clinical benefit of a product candidate fails to verify and describe such benefit;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evidence demonstrates that the product candidate is not shown to be safe or effective under the conditions of use;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sponsor's dissemination of false or misleading promotional materials relating to the relevant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competitors were to receive full approval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obtain or maintain orphan drug designation or exclusivity for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obtained orphan drug designation in the United States and in the EU for use of tovorafenib in treating malignant glioma and glioma, respectively. We may seek orphan drug designation for tovorafenib in additional geographies or indications, or for DAY301 or any product candidates we may develop in the future. 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and making available the drug for such disease or condition will be recovered from sales of the product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Generally, if a product candidate with a U.S. orphan drug designation subsequently receives the first marketing authorization for the drug for the indication for which it has such designation, the product is entitled to a period of marketing exclusivity, which precludes the FDA from approving another marketing application for the same drug for the same indication for a period of seven years. Orphan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exclusivity in the United States may be lost if the FDA determines that the request for designation was materially defective or the drug in fact was ineligible for orphan-drug designation at the time the request for designation was submitted, or if the manufacturer is unable to assure a sufficient quantity of the drug to meet the needs of patients with the rare disease or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approve a subsequent application to market the same drug for the same indication during the exclusivity period in certain circumstances, such as if the subsequent product demonstrates clinical superiority (i.e., the subsequent product is safer, more effective or makes a major contribution to patient care) over the product with orphan exclusivity. Competitors, however, may receive approval of different products for the same indication for which the orphan product has exclusivity, or obtain approval for the same product but for a different indication than that for which the orphan product has exclusivity. Orphan drug designation also entitles a party to financial incentives, such as opportunities for grant funding towards clinical trial costs, tax advantages and user-fee waivers.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if a medicinal product is granted marketing authorization as an orphan medicinal product, it benefits from a period of orphan market exclusivity during which the European Medicines Agency, or EMA, or a national regulator may not accept a marketing authorization application for a similar medicinal product in the same orphan indication. The applicable period of orphan exclusivity is ten years in the EU, but this can be reduced to six years if a drug no longer meets the criteria for orphan drug designation. The EMA or a national regulator may accept an application and grant a marketing authorization for a similar medicinal product for the orphan indication during the exclusivity period if the similar product is safer, more effective or otherwise clinically superior to the orphan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assure you that any future application for orphan drug designation with respect to any other product candidate will be granted. If we are unable to obtain orphan drug designation with respect to other product candidates in the United States or other jurisdictions, we will not be eligible to obtain the period of market exclusivity that could result from orphan drug designation or be afforded the other incentives associated with orphan drug designation.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Moreover, a recent Eleventh Circuit decision in </w:t>
      </w:r>
      <w:r>
        <w:rPr>
          <w:rFonts w:ascii="Times New Roman" w:hAnsi="Times New Roman"/>
          <w:i/>
          <w:color w:val="000000"/>
          <w:sz w:val="20"/>
        </w:rPr>
        <w:t>Catalyst Pharmaceuticals, Inc. vs. FDA</w:t>
      </w:r>
      <w:r>
        <w:rPr>
          <w:rFonts w:ascii="Times New Roman" w:hAnsi="Times New Roman"/>
          <w:color w:val="000000"/>
          <w:sz w:val="20"/>
        </w:rPr>
        <w:t xml:space="preserve"> regarding interpretation of the Orphan Drug Act exclusivity provisions as applied to drugs approved for orphan indications narrower than the drug’s orphan designation has the potential to significantly broaden the scope of orphan drug exclusivity for such products. Specifically, the Eleventh Circuit held that orphan drug exclusivity precludes the FDA from approving another marketing application for the same drug for the same orphan-designated disease or condition for a period of seven years. Although the FDA has announced that it will not apply the Catalyst decision beyond the facts at issue in that case, Catalyst could serve as a precedent for future challenges to the FDA’s orphan drug-related decisions, and, accordingly, could fundamentally change how companies rely on, or seek to work around, orphan drug exclusivity in the United States. Legislation has also been introduced that may reverse the Catalyst decision, but such legislation has not yet been passed.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must comply with certain legal requirements and FDA policies, and may seek incentives under certain laws, relating to the development of drugs for pediatric patients, including the Pediatric Research Equity Act and the Best Pharmaceuticals for Children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Pediatric Research Equity Act, as amended, or PREA, requires that certain NDAs, Biologics License Applications, or BLAs, and NDA/BLA supplements contain assessment reports regarding the safety and efficacy of the product for the claimed indications in all relevant pediatric subpopulations to support dosing and administration for each pediatric subpopulation for which the product has been assessed to be safe and effective. In addition, PREA requires a molecularly targeted pediatric cancer investigation for an original NDA or BLA for a new active ingredient if the product candidate is intended to treat an adult cancer and is directed at a molecular target that the FDA determines to be substantially relevant to the growth or progression of a pediatric cancer, which may be different than the claimed adult cancer indication. PREA requires these pediatric studies be conducted using appropriate formulations for each age group that is studied, and an applicant must seek approval of any pediatric formulations that are used. The FDA may grant deferrals of PREA requirements or full or partial waivers. Unless otherwise required by regulation, PREA does not apply to a drug for an indication for which orphan designation has been granted, except that PREA will apply to an original NDA or BLA that is subject to the molecularly targeted pediatric cancer investigation requirement. Even if we are deemed exempt from PREA requirements for one application, any of our other applications may be subject to PREA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Best Pharmaceuticals for Children Act, or the BPCA, the FDA can grant pediatric exclusivity to a sponsor that conducts pediatric studies requested by the FDA in a document called a Written Request. We may seek pediatric exclusivity for one or more of our product candidates under the BPCA, although we may not be granted such exclusivity. Pediatric exclusivity, if granted, adds six months to the end of certain unexpired statutory exclusivity periods and may also extend unexpired patent terms, depending on whether the application is an NDA or BLA. Whether this six-month extension is granted depends on the voluntary completion of pediatric studies in accordance with and in response to a Written Request for such studies, the submission of the study reports to the FDA within the timeframe required by the BPCA and the FDA’s acceptance of the study reports. The FDA has indicated a strong preference to issue Written Requests only for studies that are in addition to and/or different from pediatric studies required under PREA (if applicable).</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general, pediatric drug development is an area that recently has been, and may continue to be, subject to evolving statutory requirements and regulatory standards, so some uncertainty exists with respect to expectations for pediatric drug development generally.</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a rare pediatric disease designation for one or more of our product candidates under the FDA’s Rare Pediatric Disease Priority Review Voucher Program. Even if we were to obtain marketing authorization for a product with a rare pediatric disease designation, the Rare Pediatric Disease Priority Review Voucher Program may no longer be in effect at the time of such approval or we might not be able to capture the value of the Rare Pediatric Disease Priority Review Voucher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OJEMDA was granted rare pediatric designation by the FDA in May 2021 for the treatment of LGGs harboring an activating RAF alteration that disproportionately affects children. We submitted the OJEMDA NDAs as a rare pediatric designation marketing application, and the FDA conditionally designated the marketing application as a “rare pediatric disease product application” pending the final determination at the time of approval or licensure on whether the application meets all of the eligibility criteria set forth in section 529(a)(4) of the FD&amp;C Act. On April 23, 2024, the FDA approved the NDAs for the treatment of patients 6 months of age and older with relapsed or refractory pLGG harboring a BRAF fusion or rearrangement, or BRAF V600 mutation, and in connection with the accelerated approval, Day One received a rare pediatric disease PRV.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Congress authorized the FDA to award PRVs to sponsors of certain rare pediatric disease product applications that meet the specified criteria. These vouchers are designed to encourage development of new drug and biological products for prevention and treatment of certain rare pediatric diseases.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PRV may transfer (including by sale) the voucher to another sponsor. On May 29, 2024, we entered into an asset purchase agreement, pursuant to which we agreed to sell our rare pediatric disease PRV to an undisclosed buyer for gross proceeds of $108.0 million. Following the sale, we are no longer eligible to take advantage of the incentives under the rare pediatric disease PRV, including priority review of a subsequent marketing application. The voucher may be further transferred any number of times before the voucher is used, as long as the sponsor making the transfer has not yet submitted the application. Although the voucher can be sold or transferred to third parties, there is no guarantee that we will be able to receive such voucher in the future for any of our current or future product candidates or that we will realize any value if we receive and were to sell any such voucher.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purposes of this program, a rare pediatric disease is a (i) serious or life-threatening disease in which the serious or life-threatening manifestations primarily affect individuals aged from birth to 18 years, including age groups often called neonates, infants, children, and adolescents; and (ii) rare disease or condition within the meaning of the Orphan Drug Act. The FDA may determine that an application for one or more of our product candidates does not meet the eligibility criteria for a PRV upon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under the current statutory sunset provisions, the FDA generally may not award rare pediatric disease PRVs after December 20, 2024. However, if the sponsor has received rare pediatric disease designation for a drug no later than September 30, 2024, the FDA may award a rare pediatric disease PRV if the drug is approved by September 30,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or a business partner are unable to successfully develop, validate, obtain marketing authorization for and commercialize any companion diagnostic tests that are deemed necessary for the use of any of our product candidates, or experience significant delays in doing so, we may not be able to obtain marketing authorization for, or realize the full commercial potential of, one or more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Diagnostic tests can be useful in identifying patients who are most likely to benefit from a particular therapeutic drug product, among other potential uses. If a regulatory authority determines that an in vitro diagnostic test is necessary for the safe and effective use of a corresponding therapeutic product, that test is referred to as a “companion diagnostic.” Diagnostics that are not essential for the safe and effective use of a therapeutic product but that may aid in the benefit-risk decision-making about the use of the therapeutic product (such as to identify a subset of the indicated patient population for the therapeutic product that may respond particularly well) are typically referred to as “complementary diagnostics.” In the future, we may evaluate opportunities to develop, either by ourselves or with collaborators, companion or complementary diagnostic tests for our product candidates for certain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companion diagnostic is needed for a therapeutic product, the companion diagnostic is generally developed in conjunction with the clinical program for an associated therapeutic product. To date, the FDA has required premarket approval of the vast majority of companion diagnostics for cancer therapies. Generally, when a companion diagnostic is essential to the safe and effective use of a drug product, the FDA generally requires that the companion diagnostic be approved before or concurrent with approval of the therapeutic product and before such product can be commercialized (except in limited circumstances). Where a companion diagnostic must be used to identify patients who are likely to benefit from the therapeutic product, the therapeutic product’s labeling typically limits the use of the therapeutic product to only those patients who express the specific genetic alteration or other biomarker that the companion diagnostic was developed to detect. By contrast, complementary diagnostics are not typically referenced in the indications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therapeutic product (i.e., the therapeutic product is not limited to use in biomarker positive patients) but the complementary diagnostic may be described in other areas of the therapeutic product labeling, such as when describing clinical study results for biomarker positive and negative patient subpopulations. While a complementary diagnostic is also typically developed in conjunction with the clinical program for an associated therapeutic product, the FDA may not require that the complementary diagnostic be approved before or concurrent with approval of the therapeutic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of a companion or complementary diagnostic could include additional meetings with regulatory authorities, such as a pre-submission meeting and the requirement to comply with the FDA’s investigational device exemption regulations for clinical studies involving the diagnostic. In the case of an investigational diagnostic that is designated as “significant risk device,” approval of an investigational device exemption application by an IRB and the FDA is required before such diagnostic may be used in conjunction with the clinical trials for a corresponding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be successful in developing, validating, obtaining approval of and commercializing a companion or complementary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companion diagnostic tests or would benefit from complementary diagnostics, the application for and receipt of any required marketing authorizations and the commercial supply of these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authorization and we may not realize the full commercial potential of any of these therapeutics that obtain marketing authorization.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marketing authorizations and the continued ability of such third parties to make the companion diagnostic commercially available to us on reasonable terms in the relevant geographies. There is no guarantee that physicians will adopt any particular companion diagnostic, be willing to understand how to use it, how to obtain reimbursement for it or how to explain it to patients or dedicate staff to using it. Any failure to do so could materially harm our business,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For each product and product candidate for which marketing authorization is granted, including OJEMDA,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 in line with our expectations.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each product and product candidate for which marketing authorization is granted, including OJEMDA, an approved product and the marketing authorization holder are subject to ongoing regulation by the FDA, the EMA and other regulators. Regulators may impose post-marketing requirements and elicit post-marketing commitments, which may be onerous and subject us to ongoing review and extensive regulation. For example, the FDA or EMA may request or require post-marketing clinical studies, enhanced pharmacovigilance programs, additional reporting requirements and other obligations at the time of approval or after approval. The FDA also may impose a REMS under Section 505-1 of the FD&amp;C Act in order to ensure that the benefits of our product candidates outweigh their risks. Additionally, either at the time or approval or after approval, the FDA could invoke its authority under Section 505(o) of the FD&amp;C Act and require costly post-marketing safety studies, including clinical trials, and/or epidemiologic surveillance to monitor the safety of our approved products in order to assess a known risk related to the product, assess signals of serious risks related to the product or identify an unexpected serious risk when available data indicates the potential for a serious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any product candidates for which we receive accelerated approval from the FDA are required to undergo one or more clinical trials to confirm the clinical benefit of the product. If confirmatory studies fail to meet their efficacy endpoints, the FDA may withdraw approval of the product pursuant to expedited withdrawal authorities. There is no assurance that any such product will successfully advance through its confirmatory clinical trial(s). Therefore, even if a product candidate receives accelerated approval from the FDA, such approval may be withdrawn at a later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must also comply with requirements concerning advertising and promotion for any of our product candidates for which we obtain marketing authorization. Further, there are additional requirements regarding promotional communications if our products are approved through the accelerated approval pathway.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our CMOs could be subject to periodic inspections by the FDA to monitor and ensure compliance with cGMPs, including pre-approval inspections of any manufacturing facilities proposed to commercially manufacture our product candidates, the success of which would be required prior to a commercial product launch. Accordingly, assuming we obtain marketing authorization for one or more of our product candidates, we and our CMOs will continue to expend time, money and effort in all areas of regulatory compliance, including manufacturing, production, testing, product surveillance and quality assurance.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comply with all of our post-approval regulatory requirements, we could have the marketing authorizations for our products withdrawn by regulatory authorities and our ability to market any future products could be limited, which could adversely affect our ability to achieve or sustain profitability. In addition, the cost of compliance with post-approval regulations may have a negative effect on our operating results and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Any product for which we obtain marketing authorization, including OJEMDA,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for which we obtain marketing authorization, such as OJEMDA, along with the manufacturing processes, post-approval clinical data, labeling, advertising and promotional activities for such product, will be subject to continual requirements of and review by the FDA, the EMA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FD&amp;C Act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involving patients taking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such products, manufacturers or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labeling or marketing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or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products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voluntary or mandatory recall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marketing authorizations;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damage to relationships with any potential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unfavorable media coverage and damage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Non-compliance by us or any future collaborator with regulatory requirements, including safety monitoring or pharmacovigilance, and with requirements related to the development of products for the pediatric population can also result in significant financial penalties. Further, if any of these actions were to occur, we may have to discontinue the commercialization of our product, OJEMDA, and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limit our sales and marketing efforts, conduct further post-approval studies and/or discontinue or change any other ongoing clinical studies, which in turn could result in significant expense and delay and/or limit our ability to generate sales revenues.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failure to obtain marketing authorization in foreign jurisdictions would prevent OJEMDA and our product candidates from being marketed in those jurisdictions, and any approval we are granted for our product candidates in the United States would not assure approval of product candidates in foreign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market and sell our products in any jurisdiction outside the United States, we must obtain separate marketing authorizations and comply with numerous and varying regulatory requirements. The approval procedure varies among countries and can involve additional testing and/or product release specifications. The time required to obtain approval may differ substantially from that required to obtain FDA approval. The marketing authorization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or EMA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and receive approval for marketing authorizations in other foreign jurisdictions and may not receive necessary approvals to commercialize our products in any market.</w:t>
      </w:r>
    </w:p>
    <w:p>
      <w:pPr>
        <w:pStyle w:val="TextBody"/>
        <w:bidi w:val="0"/>
        <w:spacing w:before="360" w:after="283"/>
        <w:jc w:val="left"/>
        <w:rPr>
          <w:rFonts w:ascii="Times New Roman" w:hAnsi="Times New Roman"/>
          <w:sz w:val="20"/>
        </w:rPr>
      </w:pPr>
      <w:r>
        <w:rPr>
          <w:rFonts w:ascii="Times New Roman" w:hAnsi="Times New Roman"/>
          <w:b/>
          <w:i/>
          <w:color w:val="000000"/>
          <w:sz w:val="20"/>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including physicians, and third-party payors will play a primary role in the recommendation and prescription of any product candidates for which we obtain marketing authorization.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authorization. Restrictions under applicable federal and state healthcare laws and regulations that may be applicable to our business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transparency requirements under the Patient Protection and Affordable Care Act, as amended by the Health Care and Education Reconciliation Act of 2010, collectively referred to as the ACA, require certain manufacturers of drugs, devices, biologics and medical supplies to annually report to the Centers for Medicare &amp; Medicaid Services, or CMS, information related to payments and other transfers of value provided to teaching hospitals, as well as ownership and investment interests held by physicians, defined to include doctors, dentists, optometrists, podiatrists and chiropractors, as well as ownership and investment interests held by physicians and their immediate family members. Since January 1, 2021, manufacturers are required to collect information regarding payments and transfers of value to physician assistants, nurse practitioners, clinical nurse specialists,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pPr>
      <w:r>
        <w:rPr>
          <w:rFonts w:ascii="Times New Roman" w:hAnsi="Times New Roman"/>
          <w:color w:val="000000"/>
          <w:sz w:val="20"/>
        </w:rPr>
        <w:t>anesthesiologist assistants, certified nurse anesthetists and certified nurse-midwives for reporting in the following year. The reported information is made available on a public website; and</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laws and regulations such as state anti-kickback and false claims laws and analogous non-U.S. fraud and abuse laws and regulations, may apply to sales or marketing arrangements and claims involving healthcare items or services reimbursed by state payors and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Certain state and local laws require the registration of pharmaceutical sales representatives. Certain state and non-U.S. laws, many of which differ from each other in significant ways and often are not preempted by HIPAA, also govern the privacy and security of health information in some circumstances,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ensure that our internal business processes and business arrangements with third parties will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reputation, results of operations, financial condition and prospects.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Existing, recently enacted and future legislation may increase the difficulty and cost for us to obtain marketing authorization of and commercialize our product candidates and decrease the prices we may obtain.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and some foreign jurisdictions, there have been a number of legislative and regulatory changes and proposed changes regarding the healthcare system that could prevent or delay marketing authorization of our product candidates, restrict or regulate post-approval activities and affect our ability to profitably sell any products for which we obtain marketing authorization.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in March 2010, the ACA was signed into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Among the provisions of the ACA of importance to our potential product candidates are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annual fees and taxes on manufacturers of certain branded prescription 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annual, nondeductible fee on any entity that manufactures or imports specified branded prescription drugs and biologic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new methodology by which rebates owed by manufacturers under the Medicaid Drug Rebate Program are calculated for drugs that are inhaled, infused, instilled, implanted or injected;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in the statutory minimum rebates a manufacturer must pay under the Medicaid Drug Rebate Program and extended the rebate program to individuals enrolled in Medicaid managed care organizations;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expansion of healthcare fraud and abuse laws, including the False Claims Act and the federal Anti-Kickback Statute, new government investigative powers and enhanced penalties for noncompliance;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extension of manufacturers’ Medicaid rebate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expansion of eligibility criteria for Medicaid programs;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expansion of the entities eligible for discounts under the Public Health Service pharmaceutical pricing program;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report financial arrangements with physicians, as defined by such law, and teaching hospitals;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requirement to annually report drug samples that manufacturers and distributors provide to physicians;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Patient-Centered Outcomes Research Institute to oversee, identify priorities in and conduct comparative clinical effectiveness research, along with funding for such research.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executive, judicial and Congressional challenges to repeal or replace certain aspects of the ACA, including measures taken during the first Trump administration. While Congress has not passed comprehensive repeal legislation, it has enacted laws that modify certain provisions of the ACA such as removing penalties, since January 1, 2019, for not complying with the ACA’s individual mandate to carry health insurance, eliminating the implementation of certain ACA-mandated fees and increasing the point-of-sale discount that is owed by pharmaceutical manufacturers who participate in Medicare Part D. In addition, there have been legal challenges to the constitutionality of the ACA and certain requirements such as the individual mandate. Although these challenges have been unsuccessful to date, there may be other efforts to challenge the individual mandate or to challenge, repeal or replace the ACA. It is unclear how any pending or future litigation and the healthcare reform measures of the current presidential administration and Congress will impact the ACA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with the exception of a temporary suspension from May 1, 2020 through December 31, 2021 due to the COVID-19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In July 2025, the One Big Beautiful Bill Act ("OBBBA") was signed into law, which reduces funding to federal healthcare programs and imposes additional requirements to be eligible for healthcare. These laws may result in additional reductions in Medicare and other healthcare funding.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recent presidential administrations were focused on drug pricing and have used several means to propose or implement drug pricing reform, including through federal budget proposals, executive orders and policy initiatives. For example,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Inflation Reduction Act, or IRA, in August 2022, which will, among other things, allow the U.S. Department of Health and Human Services, or HHS, to negotiate the price of certain drugs and biologics that CMS reimburses under Medicare Part B and Part D. The IRA’s negotiation program will apply to high-expenditure single-source drugs that have been approved for at least 7 years (11 years for biologics), among other negotiation selection criteria. One statutory exemption from the negotiation program is for a drug that has only a single orphan drug designation and is approved only for an indication or indications within the scope of such designation. The negotiated prices, which for the first round of selected drugs announced August 29, 2023 will become effective in 2026, will be capped at a statutorily-determined ceiling price.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IRA provisions began taking effect progressively starting in 2023, although the drug negotiation provisions of the IRA are currently the subject of legal challenges. In addition, the Secretary of the HHS recently proposed testing three new models for pricing efficiency, including one that develops payment methods for drugs approved under accelerated approval, in consultation with the FDA, to encourage timely confirmatory trial completion and improve access to post-market safety and efficacy data with the goal of reducing Medicare spending on drugs that have no confirmed clinical benefit. Further, at the state level, individual states have increasingly introduced and passed legislation and implemented regulations designed to control pharmaceutical and biological product pricing, including: restricting price, reimbursement, discounts, product access and marketing; imposing drug price and cost disclosure and transparency requirements; permitting importation from other countries; and encouraging bulk purchasing.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additional state and federal healthcare reform measures, including potentially significant additional changes to current drug pricing and reimbursement structures, will be adopted in the future. Current and future reform measures may result in more rigorous coverage criteria and in additional downward pressure on the prices that we receive for any approved product. The implementation of cost containment measures or other healthcare reforms may prevent us from being able to generate future revenue in line with our expectations, attain profitability or commercialize OJEMDA and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authorizations of our product candidates, if any, may be. In addition, increased scrutiny by the U.S. Congress of the FDA’s approval process may significantly delay or prevent marketing authorization, as well as subject us to more stringent product labeling and post-marketing testing and other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in June 2024, the U.S. Supreme Court reversed its longstanding approach under the Chevron doctrine, which provided for judicial deference to regulatory agencies, including the FDA.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this decision may result in more companies bringing lawsuits against the FDA to challenge longstanding decisions and policies of the FDA, which could undermine the FDA’s authority, lead to uncertainties in the industry, and disrupt the FDA’s normal operations, which could impact the timely review of any regulatory filings or applications we submit to the FDA. We cannot predict the full impact of this decision, future judicial challenges brought against the FDA, or the nature or extent of government regulation that may arise from future legislation or administrative action.</w:t>
      </w:r>
    </w:p>
    <w:p>
      <w:pPr>
        <w:pStyle w:val="TextBody"/>
        <w:bidi w:val="0"/>
        <w:spacing w:before="360" w:after="283"/>
        <w:jc w:val="left"/>
        <w:rPr>
          <w:rFonts w:ascii="Times New Roman" w:hAnsi="Times New Roman"/>
          <w:sz w:val="20"/>
        </w:rPr>
      </w:pPr>
      <w:r>
        <w:rPr>
          <w:rFonts w:ascii="Times New Roman" w:hAnsi="Times New Roman"/>
          <w:b/>
          <w:i/>
          <w:color w:val="000000"/>
          <w:sz w:val="20"/>
        </w:rPr>
        <w:t>Governments outside of the United States tend to impose strict price controls, which may adversely affect our future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countries, including Canada and certain member states of the EU, the pricing of prescription pharmaceuticals is subject to governmental control. In these countries, pricing negotiations with governmental authorities can take considerable time after the receipt of marketing authorization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including the imposition of new or additional tariffs or other trade barriers,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Publication of discounts by third-party payors or authorities may lead to further pressure on the prices or reimbursement levels within the country of publication or other countries.</w:t>
      </w:r>
    </w:p>
    <w:p>
      <w:pPr>
        <w:pStyle w:val="TextBody"/>
        <w:bidi w:val="0"/>
        <w:spacing w:before="360" w:after="283"/>
        <w:jc w:val="left"/>
        <w:rPr>
          <w:rFonts w:ascii="Times New Roman" w:hAnsi="Times New Roman"/>
          <w:sz w:val="20"/>
        </w:rPr>
      </w:pPr>
      <w:r>
        <w:rPr>
          <w:rFonts w:ascii="Times New Roman" w:hAnsi="Times New Roman"/>
          <w:b/>
          <w:i/>
          <w:color w:val="000000"/>
          <w:sz w:val="20"/>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expand our operations outside of the United States, we must dedicate additional resources to comply with numerous laws and regulations in each jurisdiction in which we plan to operate. The Foreign Corrupt Practices Act, or FCPA, prohibits certain U.S. individuals and entities and their party agents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or gaining an improper advantage.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the FCPA is expensive and difficult, particularly in countries where corruption is a recognized problem. In addition, the FCPA presents particular challenges in the pharmaceutical industry, because, in many countries, hospitals are operated by the government, and doctors and other hospital employees are considered foreign officials and therefore our interactions with these individuals are subject to regulation under the FCPA.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We are also subject to U.S. laws and regulations governing export controls, as well as economic sanctions and embargoes on certain countries and persons. If we expand our presence outside of the United States, it will require us to dedicate additional resources to comply with these laws, and these laws may preclude us from developing, manufacturing or selling certain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and products outside of the United States, which could limit our growth potential and increase our development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to comply with laws governing international business practices may result in substantial civil and criminal penalties and suspension or debarment from government contracting. The U.S. Securities and Exchange Commission, or the SEC, also may suspend or bar issuers from trading securities on U.S. exchanges for violations of the FCPA’s accounting provisions.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Disruptions at the FDA may slow the time necessary for new products to be reviewed and/or approved, which would adversely affect our business. There is substantial uncertainty regarding new initiatives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may slow the time necessary for new products to be reviewed and/or approved, which would adversely affect our business. Changes in FDA staffing could result in delays in the FDA’s responsiveness or in its ability to review submissions or applications, issue regulations or guidance, or implement or enforce regulatory requirements in a timely fashion or at all. If any legislation, executive orders, or lapses in agency funding impose constraints on the FDA’s ability to engage in oversight and implementation activities in the normal course, our business may be negatively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 consequences would also result in the event of another significant shutdown of the federal government. For example, in 2024, the U.S. government was on the verge of a shutdown and has previously shut down several times, and certain regulatory agencies, such as the FDA, had to furlough critical employees and stop critical activities. If a prolonged government shutdown occurs, or if geopolitical or global health concerns prevent the FDA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FDA-regulated industries, such as ours, face uncertainty with regard to the regulatory environment we will face as we proceed with research, development and commercialization. Some of these efforts have manifested to date in the form of personnel measures that could impact the FDA’s ability to hire and retain key personnel, which could result in delays or limitations on our ability to obtain guidance from the FDA on our product candidates in development or obtain the requisite regulatory approvals in the future. There remains general uncertainty regarding future activities. New executive orders, regulations, policies or guidance could be issued or promulgated that adversely affect us or creates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there could be a material adverse effect on us and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maintain liability insurance to cover us for costs and expenses we may incur due to injuries to our employees, this insurance may not provide adequate coverage against potential liabilities. We do not maintain insurance for environmental liability or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toxic tort claims that may be asserted against us in connection with our storage or disposal of biological, hazardous or radioactive materials.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authorizations. We can be held liable for the corrupt or other illegal activities of our personnel, agents or partners, even if we do not explicitly authorize or have prior knowledge of such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developing our current product candidates, and may continue to develop future product candidates, in combination with other therapies, which would expose us to additional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developing our current product candidates in combination with one or more currently approved cancer therapies or therapies in development. Even if our current or future product candidate, including DAY301, receive marketing authorization or are commercialized for use in combination with other existing therapies, we would continue to be subject to the risks that the FDA or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evaluate our current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authorization.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FDA or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product candidates,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limited experience as a commercial company and the sales, marketing, and distribution of OJEMDA or any future approved products may be unsuccessful or less successful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recently began commercializing our first product, OJEMDA, in the United States. As a company, we had no prior experience commercializing a product. The success of our commercialization efforts for OJEMDA and any future approved products is difficult to predict and subject to the effective execution of our business plan, including, among other things, the continued development of our internal sales, marketing, and distribution capabilities and our ability to navigate the significant expenses and risks involved with the development and management of such capabilities.</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we have completed hiring in areas to support commercialization, including in sales management, sales representatives, marketing, access and reimbursement, sales support, and distribution. There are significant expenses and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these capabilities could delay or negatively affect the success of our commercialization efforts and our business. For example, the commercialization of OJEMDA may not develop as planned or anticipated, which may require us to, among others, adjust or amend our business plan and incur significant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Alternatively, we may license certain rights with respect to our products or product candidates to collaborators and rely on the assistance and guidance of those collaborators. We may also seek collaborations to secure marketing authorizations and commercialize our products outside of the United States. We cannot assure that any collaboration(s) will result in short-term or long-term benefit to the company.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build our own distribution and marketing capabilities or to find suitable partners for the commercialization of our products and product candidates, we may not generate substantial revenues, if any, from them or be able to reach or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our lack of experience commercializing products, we do not have a track record of successfully executing on the commercialization of an approved product. If we are unsuccessful in accomplishing our objectives and executing on our business plan, or if the commercialization of OJEMDA or any future approved products does not develop as planned, we may require significant additional capital and financial resources, we may not become profitable, and we may not be able to compete against more established companies in our industry.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and intend to continue to rely, on third parties to conduct our clinical trials and perform some of our research and potential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marketing authorization, each of which may have an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the ability to independently conduct all aspects of our clinical trials ourselves. As a result, we are dependent on third parties to conduct our ongoing and planned clinical trials of tovorafenib, DAY301 and any preclinical studies and clinical trials of any future products and product candidates. The timing of the initiation and completion of these trials will therefore be partially controlled by such third parties and may result in delays to our development programs. Since such third parties partially control the progress of these trials, they may also publish the data related to these trials prior to obtaining or without our approval for doing so. Specifically, we expect CROs, independent clinical investigators and consultants to play a significant role in the conduct of these trials and the subsequent collection and analysis of data. For example, in addition to the Phase 1 clinical trial run by Dana Farber Cancer Institute in collaboration with PNOC, the Children’s Oncology Group, a National Cancer Institute-supported clinical trials group and the world’s largest organization devoted exclusively to childhood and adolescent cancer research, is developing a group-wide clinical trial of tovorafenib in relapsed Langerhans cell histiocytosis.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products and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products and product candidates produced under cGMP regulations. Our failure or the failure of third parties on whom we rely to comply with these regulations may require us to stop and/or repeat clinical trials, which would delay the marketing authorization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guarantee that any such CROs, clinical trial investigators or other third parties on which we rely will devote adequate time and resources to our development activities or perform as contractually required. In addition, these third parties may be subject to supply chain or inflationary pressures that limit their ability to achieve anticipated timelines or result a greater cost to us. For example, we are aware of a shortage of non-human primates available for preclinical studies and although that is not expected to impact our current business if we begin new product development programs we could be subject to longer development times or difficulty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necessary research.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OJEMDA or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marketing authorization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authorizations for OJEMDA, DAY301 or any future product candidates and will not be able to, or may be delayed in our efforts to, successfully commercialize our products.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manufacture of pharmaceutical products, including OJEMDA and our product candidate, DAY301, is complex. Our third-party manufacturers may encounter difficulties in production, which could delay or entirely halt their ability to supply our product candidates for clinical trials or, if approved, for commercial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manufacturing facilities, and we currently contract with certain third-party manufacturers in China. We rely, and expect to continue to rely, on third parties for the manufacture of OJEMDA and our product candidates for clinical testing, product development purposes, to support regulatory application submissions, as well as for commercial manufacture of our product candidates. In addition, we expect to contract with analytical laboratories for release and stability testing of OJEMDA and our product candidates. This reliance on third parties increases the risk that we will not have sufficient quantities of OJEMDA or our product candidates or products or such quantities at an acceptable cost or quality, which could delay, prevent or impair our development or commercialization efforts and cause the FDA to withdraw certain designations, including orphan drug designation. For example, we cannot be sure to what extent the supply chain issues caused by geopolitical uncertainty, the imposition of new or additional tariffs or other trade barriers, and public health epidemics, may impact our ability to procure sufficient supplies for the development of OJEMDA and our product candidates and what, if any, impact that may have on our facilities and operations in the region, including but not limited to a decrease or disruption of production, increased costs of production or other interruptions in our supply chain.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any disruption in production or inability of our manufacturers, specifically in China, to produce adequate quantities to meet our needs, whether as a result of a natural disaster or other causes, could impair our ability to operate our business on a day-to-day basis and to continue our development of OJEMDA and our product candidates. Furthermore, since these manufacturers are located in China, we are exposed to the possibility of product supply disruption and increased costs in the event of economic sanctions, changes in the policies of the United States or Chinese governments, political unrest or unstable economic conditions in China. In April 2025, the U.S. presidential administration announced extensive tariffs on goods imported from China, where certain of our third-party manufacturers are located, and these tariffs remain in negotiation. We believe we currently have sufficient API inventory for commercial and clinical use and do not anticipate any near-term impact to our sales or clinical programs, we expect these tariffs to increase the cost of our API in the future, which would negatively impact our business, financial condition and results of operations. In addition, legislation has been introduced in Congress to limit certain U.S. biotechnology companies from using equipment or services produced or provided by select Chinese biotechnology companies, including those affiliated with the manufacture of our API, Wuxi STA, and others in Congress have advocated for the use of existing executive branch authorities to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those Chinese service providers’ ability to engage in business in the United States. We cannot predict what actions may ultimately be taken with respect to trade relations between the United States and China or other countries, what products and services may be subject to such actions or what actions may be taken by the other countries in retaliation.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matters could materially adversely affect our business, financial condition and results of operations. In addition, disruptions in logistics routes and transportation capabilities could disrupt our supply chain. And, if we experience unexpected spikes in demand over time, we risk running out of our necessary supplies.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entered into a manufacturing and supply agreement with Quotient for drug manufacturing of OJEMDA and a packaging agreement with Sharp Corporation, or Sharp, for the packaging and serialization of OJEMDA. Supply chain issues, such as those related to certain packaging material, may negatively impact our ability to package and deliver OJEMDA and our product candidates if not managed effectively. Moreover, if any of our existing or future contract manufacturers or suppliers fail to perform satisfactorily, it could delay development or regulatory approval of our drug candidates or commercialization of our drugs, which could negatively impact our results of operations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enter into additional agreements with third-party manufacturers or suppliers or do so on favorable terms. Our anticipated reliance on a limited number of third party-manufacturers or suppliers exposes us to the following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product development, analytical testing and data generation to support regulatory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operations of our third-party manufacturers or suppliers could be disrupted by conditions unrelated to our business or operations, including the bankruptcy of the manufacturer or supplier, the issuance of an FDA Form 483 notice or warning letter or other enforcement action by the FDA or other regulatory authority;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carrier disruptions or increased costs that are beyond our control;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deliver our drugs under specified storage conditions and in a timely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regulations or similar regulatory requirements outside of the United States. If the FDA determines that our CMOs are not in compliance with FDA laws and regulations, including those governing cGMPs, the FDA may not approve an NDA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OJEMDA and 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prepare for later-stage clinical trials and commercialization of OJEMDA, we will need to take steps to increase the scale of production of OJEMDA and our product candidates. Other than for our product OJEMDA, we have not yet scaled up the manufacturing process for any of our product candidates and may need to scale further to support future supply needs for any of our product candidates. Third-party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in which our product candidates are made, such manufacturing facilities may need to be closed for an extended period of time to investigate and remedy the contamination.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or marketing authorization. If our current CMOs for clinical testing cannot perform as agreed, we may be required to replace such CMOs. Although we believe that there are several potential alternative manufacturers who could manufacture OJEMDA or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If our current third-party manufacturers cannot perform as agreed, we may be required to replace such manufacturers and we may be unable to replace them on a timely basis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anticipated future dependence upon others for the manufacture of OJEMDA or our product candidates may adversely affect our future profit margins and our ability to commercialize any products that obtain marketing authorization on a timely and competitive basis.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a limited number of suppliers for raw materials and any disruptions arising from our sole suppliers could result in delays in our clinical trials or otherwise adversely affect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a limited number of suppliers, some of whom are our sole source for certain materials, and some of whom are based in foreign jurisdictions. Our small number of suppliers involves a number of additional risks, including risks related to supplier capacity constraints, component availability, price increases, timely delivery, component quality, failure of a key supplier to remain in business and adjust to market conditions, including inflation and changes in interest rates, changes in domestic and foreign currency rates, significant political, trade or regulatory developments, including the implementation of tariffs by the United States, China, and other governments, natural disasters, fire, regional geopolitical conflicts, acts of terrorism, pandemics, or other catastrophic events. Further, in the case of materials for which we have a sole supplier, even if we are able to replace any raw materials or other materials with an alternative, such alternatives may cost more, result in lower yields or not be as suitable for our purposes. In addition, some of the materials that we use to manufacture OJEMDA and our product candidates are complex materials, which may be more difficult to substitute. Therefore, any disruptions arising from our sole suppliers could result in delays and additional regulatory submissions, which may adversely affect our business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existing License Agreement with Ipsen is important to our business. If Ipsen fails to fulfill its contract obligations, or if any of the Ipsen License Agreement is terminated, our ability to commercialize OJEMDA in territories outside the United States may be delayed or prevented and we may never receive milestone payments or future royalties under the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 Ipsen shall have the right to grant sublicenses to third -parties. A significant portion of our future revenue and cash resources may be derived from the Ipsen License Agreement, or other similar agreements into which we may enter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Ipsen License Agreement, we are eligible to receive up to approximately $380.0 million in additional commercial launch and sales-based milestone payments based on exchange rates as of the reporting date, as well as tiered, double-digit royalty payments starting at mid-teens percentage of annual net sales of tovorafenib, subject to customary adjustments.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Ipsen License Agreement, Ipsen will have significant discretion in determining the efforts and resources that they will apply to their marketing efforts and their management of the ex-U.S. regulatory activities and they may not perform their obligations as expected. Disputes may arise between Ipsen and us that result in the delay or termination of the research, development or commercialization of our products or product candidates or that result in costly litigation or arbitration that diverts management attention and resources. Furthermore, they may have changes in their strategic focus or available funding, or experience external factors, such as an acquisition, may divert resources or create competing priorities. Any of these events would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Ipsen License Agreement may be terminated by either party for material breach or bankruptcy. In addition, Ipsen may terminate the Ipsen License Agreement after the second anniversary of the effective date for convenience with six months’ prior written notice or for certain other specified reasons.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Ipsen License Agreement is terminated, then, depending on the event: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expenditures could increase significantly if it is necessary for us to hire additional employees and allocate internal resources to the commercialization or other activities that were previously shared by Ipsen;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would bear all of the risks and costs related to the further commercialization and development activities that were previously the subject of the Ipsen License Agreement;</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fund further commercialization activities, we may need to seek out and establish alternative strategic collaborations with third-party partners, which may not be possible;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do so on terms which are acceptable to us, in which case it may be necessary for us to limit the size or scope of one or more of our programs or increase our expenditures and seek additional funding by other means.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would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enter into collaborations with third parties for the development and commercialization of our product candidates. If those collaborations are not successful, we may not be able to capitalize on the market potential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third-party collaborators for the development and commercialization of our product candidates on a select basis, such as our collaboration with Ipsen with respect to commercialization of tovorafenib in all territories outside the United States.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enter into any additional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and may not perform their obligations as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and distribution rights to multiple products may not commit sufficient resources to the marketing and distribution of our product relative to other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reassign manufacturing responsibilities to themselves or a new CMO, which would require that any new manufacturing facility also comply with cGMPs. The FDA or another regulator could decide to conduct an inspection of any new manufacturing facility and a material noncompliance could delay the launch of commercial manufacturing at such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applicable products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agreements may not lead to development or commercialization of our product candidates in the most efficient manner or at all;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future collaborator of ours were to be involved in a business combination, the continued pursuit and emphasis on our product development or commercialization program could be delayed, diminished or terminated.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establish additional collaborations in the future, all of the risks relating to product development, marketing authorization and commercialization described herein would also apply to the activities of any such future collaborators.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loss of any large customer, or any cancellation or delay of a significant purchase by a large customer, could reduce our net sales and harm our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received a substantial portion of our revenue from a limited number of customers. For example, for the six months ended June 30, 2025, two individual customers accounted for 98.1% of our total net product revenue, with these individual customers representing 61.8% and 36.3% of total net product revenue. As of June 30, 2025, two customers accounted for 92.7% of the accounts receivable balance, with these individual customers representing 49.1% and 43.6% of the accounts receivable balance.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provide any assurances that we will retain our current customers or groups of customers, that they will maintain their current or forecasted demand for our products, or that we will be able to attract and retain additional customers in the future. If for any reason we were to lose our ability to sell to a specific group or class of customers, we could experience a significant reduction in revenue or loss of market share, which would adversely impact our operating results.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Employee Matters and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future success depends on our ability to retain our executive officers and key employees and to attract, retain and motivate qualified personnel and manage our human capital.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pharmaceutical industries depends upon our ability to attract, motivate and retain highly qualified managerial, scientific, medical and commercial personnel. We are highly dependent on the development and management expertise of Jeremy Bender, Ph.D., M.B.A., our Chief Executive Officer, as well as the other members of our management team, other key employees and advisors. We currently do not maintain key person insurance on these individuals. Although we have entered into employment agreements with our executive officers, each of them may terminate their employment with us at any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quality, commercial and management skills and experience.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largely conduct our operations in the greater San Francisco Bay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In addition, as our business changes, key personnel may not want to work for a larger, commercial enterprise. Any or all of these competing factors may limit our ability to continue to attract and retain high quality personnel, which could negatively affect our ability to successfully develop and commercialize OJEMDA or our product candidates and to grow our business and operations as currently contemplated. We have adopted a greater level of flexibility in our recruiting practices to attract and hire candidates outside of the San Francisco Bay Area, which is intended to increase retention but could have a negative impact on employee engagement, resulting in greater employee turnover.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need to grow the size and capabilities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182 full-time employees as of June 30, 2025. We expect significant growth in the number of our employees and the scope of our operations, particularly in the areas of clinical development, clinical operations, manufacturing, regulatory affairs,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OJEMDA, DAY301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authorization of DAY301 or any future product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candidates or otherwise advance our business. We cannot assure you that we will be able to properly manage our existing vendors or consultants or find other competent outside vendors and consultants on economically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effectively manage growth and expand our organization, we may not be able to successfully implement the tasks necessary to further develop and commercialize OJEMDA, DAY301, our other pipeline product candidates or any future product candidates and, accordingly, may not achieve our research, development and commercialization goals. </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clinical trial investigators, CROs, CMOs, consultants, vendors and any future commercial partners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and third parties that we rely on, including, clinical trial investigators, CROs, CMOs, consultants, vendors and any future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(e.g., cGMP) and clinical practice (e.g., GCP)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In particular, research, sales, marketing and business arrangements in our industry are subject to a wide variety of laws and regulations that are intended to prevent fraud, misconduct, kickbacks and other abusive practices. Such misconduct could also involve the improper use of information obtained in the course of clinical trials, which could result in regulatory sanctions and cause serious harm to our reputation.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with respect to third parties, third parties are not our employees, and except for remedies available to us under our agreements, we have limited ability to control resources that any such third party will devote to our preclinical studies or our clinical trials. The third parties we rely on for these services may also have relationships with other entities, some of which may be our competitors, for whom they may also be conducting drug development activities, which could affect their performance on our behalf. Our reliance on third parties for drug development activities means that we will have less direct control over the conduct, timing and completion of studies and the management of data generated from such studies. Nonetheless, we remain responsible for ensuring that our studies and trials are conducted in accordance with applicable protocol, legal and regulatory requirements and scientific standards. In other words, our reliance on third parties does not relieve us of our regulatory responsibilities. For example, we will remain responsible for ensuring that each of our clinical trials is conducted in accordance with the investigational plan and relevant protocols and that any such trial complies with GCP standards. If we or any of our CROs or any clinical trial sites fail to comply with applicable GCP requirements, the clinical data generated in those trials may be deemed unreliable. This may cause the FDA or other comparable foreign regulatory authorities to require us to perform additional clinical trials before approving our marketing applications. If any of the third parties we rely on violates federal or state fraud and abuse or false claims laws and regulations or healthcare privacy and security laws, or other laws, actions may be instituted against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actions based on our conduct, our employees’ conduct or third-party conduct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injunctions, private actions brought by individual whistleblowers in the name of the government, debarment or refusal to allow us to enter into government contracts,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there are risks that the third parties we rely on could become disqualified, debarred, suspended or otherwise penalized by the FDA or other comparable foreign regulatory authorities for violations of applicable regulatory requirements, in which case we may need to engage a substitute and may not be able to use some or all of the data produced by such contractors in support of our marketing applications.</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security measures are compromised, or our information technology systems or those of our CROs, CMOs, vendors, contractors, consultants or other third-party partners fail or suffer security breaches, cyber-attacks, loss or leakage of data or other disruptions, this could result in a material disruption of our development programs, compromise sensitive information related to our business or other personal information or prevent us from accessing critical information, potentially exposing us to liability, harm our reputation or otherwise adversely affecting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may collect, process, store and transmit proprietary, confidential and sensitive information (including intellectual property, trade secrets, proprietary business information, personal information and protected health information). It is critical that we do so in a secure manner to maintain the confidentiality, integrity and availability of such information. We depend on information technology and telecommunications systems for significant elements of our operations and we utilize,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These risks extend to the third parties with whom we work, as we rely on a number of third parties to operate our critical business systems and process confidential, proprietary and sensitive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the implementation of security measures, given the size, complexity and increasing amounts of proprietary, confidential and sensitive information maintained by our internal information technology systems and those of our CROs, CMOs, vendors, contractors, consultants and other third-party partners are potentially vulnerable to breakdown, service interruptions, system malfunction, accidents by our personnel or third-party partners, natural disasters, terrorism, global pandemics, war and telecommunication and electrical failures, as well as security breaches from inadvertent or intentional actions by our personnel or those of our CROs, CMOs, vendors, contractors, consultants, business partners and/or other third-party partners, or from cyber-attacks by malicious third parties (including through viruses, worms, malicious code, malware, ransomware, distributed denial-of-service attacks, social engineering and other means to affect service reliability and the confidentiality, integrity and availability of information), which may compromise our system infrastructure, or that of our CROs, CMOs, vendors, contractors, consultants and other third-party partners, or lead to data leakage.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of a security breach or disruption, particularly through cyber-attacks or cyber intrusion, including by computer hackers, viruses, foreign governments and cyber terrorists, has generally increased as the number, intensity and sophistication of attempted attacks and intrusions from around the world have increased.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CROs, CMOs, vendors, contractors, consultants and other third-party partners, or inappropriate disclosure of confidential, sensitive or proprietary information, we could incur liability and reputational damage and the further development and commercialization of OJEMDA, DAY301 or any future product candidates could be delayed. Any breach, loss or compromise of proprietary, confidential or sensitive information may also subject us to civil fines and penalties, including under HIPAA, and other relevant state and federal privacy laws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related to significant security breaches or disruptions could be material and exceed the limits of the cybersecurity insurance we maintain against such risks. If the information technology systems of our CROs, CMOs, vendors, contractors, consultants and other third-party partners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assure you that our data protection efforts and our investment in information technology will prevent significant breakdowns, data leakages, breaches in our systems, or those of our CROs, CMOs, vendors, contractors, consultants and other third-party partners,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OJEMDA or our product candidates could be delayed. In addition, the loss of clinical trial data for OJEMDA, DAY301 or any other product candidates could result in delays in our marketing authorization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If the information technology systems of our CROs, CMOs, vendors, contractors, consultants and other third-party partners become subject to disruptions or security incidents, we may have insufficient recourse against such third parties and we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have to expend significant resources to mitigate the impact of such an event, and to develop and implement protections to prevent future events of this nature from occurring.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event that leads to unauthorized access, use or disclosure of personal information, including personal information regarding our clinical trial subjects or personnel,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contractual and other legal obligations to notify relevant stakeholders of security breaches. Most jurisdictions have enacted laws requiring companies to notify individuals, regulatory authorities and others of security breaches involving certain types of data.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to respond to a security breach and/or to mitigate any security vulnerabilities that may be identified could be significant, our efforts to address these issues may not be successful and these issues could result in interruptions, delays, negative publicity, loss of customer trust or diminished use of our products, as well as other harms to our business and our competitive position. Remediation of any potential security breach may involve significant time, resources and expenses. Any security breach may result in regulatory inquiries, litigation or other investigations, and can affect our financial and operational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Unauthorized access to our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maintain cybersecurity insurance coverage, we may not have adequate insurance coverage for security incidents or breaches, including fines, judgments, settlements, penalties, costs, attorney fees and other impacts that arise out of incidents or breaches. The successful assertion of one or more large claims against us that exceeds our available insurance coverage, or results in changes to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grow our customer base and process, store and transmit increasingly large amounts of proprietary and sensitive data.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stringent and changing laws, regulations and standards, and contractual obligations related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third parties who we work with are or may become subject to numerous domestic and foreign data protection laws and regulations (i.e., laws and regulations that address privacy and data security), the scopes of which are changing, subject to differing applications and interpretations, and may be inconsistent among states, countries, or conflict with other requirements. We are or may become subject to the terms of contractual obligations related to privacy, data protection and data security. The actual or perceived failure by us or related third parties to comply with such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numerous federal and state laws and regulations, including health information privacy and security laws, data breach notification laws, health information privacy laws and consumer protection laws that govern the collection, use, disclosure and protection of health-related and other personal information could apply to our operations or the operations of our collaborators. In addition, we may obtain protected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 a third of U.S. states have adopted comprehensive privacy and security laws and regulations, which govern the privacy, processing and protection of personal information, including certain specific requirements and laws with respect to health-related information. For example, Washington state has passed the My Health My Data Act, which is focused on the collection of consumer health data, which has a broader scope than HIPAA and includes a private right of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California, the CCPA, grants individual privacy rights for California consumers and places increased privacy and data security obligations on entities handling personal information of consumers or households. The CCPA is enforced by the California Privacy Protection Agency, or the CPPA. The CCPA gives California residents expanded privacy rights, including the right to request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correction, access and deletion of their personal information, the right to opt out of certain personal information sharing, and the right to receive detailed information about how their personal information is processed, including by California residents’ employers, and provides for civil penalties and a private right of action for data breaches that is expected to increase data breach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subject to foreign data protection laws, including the General Data Protection Regulation, or GDPR, which applies to personal information (including health-related data) obtained from individuals in the European Economic Area, or the EEA (as well as substantially similar laws that govern the collection of data from individuals in the UK and Switzerland). The GDPR imposes strict obligations on businesses, including requiring changes to informed consent practices and more detailed notices for clinical trial subjects and investigators, requiring limitations on data processing, establishing a legal basis for processing personal information, notification of data processing obligations, notification of security incidents to appropriate data protection authorities or data subjects, protecting the security and confidentiality of the personal information, and establishing means for data subjects to exercise rights in relation to their personal information. The GDPR subjects noncompliant companies to fines of up to the greater of 20 million Euros (17.5 million GBP in the UK) or 4% of their global annual revenues, potential bans on processing of personal information (including clinical trials), and private litigation. To the extent applicable, the GDPR will increase our responsibility and liability in relation to personal information that we process, and we may be required to put in place additional mechanisms and expend additional time and resources to ensure compliance with the EU data protection rules. Changes in international legislations may add additional complexity, variation in requirements, restrictions and potential legal risk, require additional investment in resources for compliance programs, could impact strategies and availability of previously useful data, and could result in increased compliance costs and/or changes in business practices and policies. In addition, supervisory authorities in the EEA, Switzerland, and the UK have enforced data protection legislation inconsistently, which may result in us having to spend additional resources in order to comply with rules and guidance applicable only in certain, local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European data protection laws generally prohibit the transfer of personal information to countries outside of the EEA, UK and Switzerland, such as the United States, which are not considered by their relevant authorities to provide an adequate level of data protection. Switzerland has adopted similar restrictions. Although there are legal mechanisms to allow for the transfer of personal information from the EEA, UK, and Switzerland to the United States and other countries, they are or may become subject to legal challenges that, if successful, could invalidate these mechanisms, restrict our ability to process personal information of Europeans outside of Europe and adversely impact our business. If we cannot implement a valid compliance mechanism for cross-border data transfers, we may face increased exposure to regulatory actions, substantial fines, and injunctions against processing or transferring personal data from Europe or other foreign jurisdictions. In the EU and other markets, potential new rules and restrictions on the flow of data across borders could increase the cost and complexity of doing business in those regions.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further to the UK’s exit from the EU on January 31, 2020, the GDPR ceased to apply in the UK at the end of the transition period on December 31, 2020. However, as of January 1, 2021, the United Kingdom’s European Union (Withdrawal) Act 2018 incorporated the GDPR (as it existed on December 31, 2020 but subject to certain UK-specific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With respect to transfers of personal data from the EU to the United Kingdom,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countries, including China, Brazil, Australia and Japan, for example, have adopted certain legal requirements for local storage and processing of data and cross-border transfers of personal information, any and all of which could increase the cost and complexity of conducting preclinical testing and clinical trials or delivering our future products, if any, and operating our business. These obligations may be interpreted and applied in a manner that is inconsistent from one jurisdiction to another and may conflict with other requirements or our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or may become subject to the terms of external and internal privacy and security policies, representations, certifications and publications related to privacy and security.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domestic and foreign privacy, data security and data protection laws, regulations and contractual and other obligations could require us to take on more onerous obligations in our contracts, restrict our ability to collect, use and disclose data, or in some cases, impact our ability to operate in certain jurisdictions. The actual or perceived failure to comply with domestic and foreign privacy, data privacy and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privacy, data security and data protection laws or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breached our contractual obligations, even if we are not found liable, could be expensive and time consuming to defend and could result in adverse publicity that could harm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Investors’ expectations of our performance relating to environmental, social and governance factors may impose additional costs and expose us to new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continued focus from certain regulators, investors, employees, users and other stakeholders concerning corporate responsibility, specifically related to ESG matters both in the United States and internationally. Some investors may use these non-financial performance factors to guide their investment strategies and, in some cases, may choose not to invest in us if they believe our policies and actions relating to corporate responsibility are inadequate. We may face reputational damage in the event that we do not meet the ESG standards set by various constituencies.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ESG initiatives, goals or commitments could be difficult to achieve or costly to implement. If our competitors’ corporate social responsibility performance is perceived to be better than ours, potential or current investors may elect to invest with our competitors instead. Moreover, California recently adopted two new climate-related bills, which require companies doing business in California that meet certain revenue thresholds to publicly disclose certain greenhouse gas emissions data and climate-related financial risk reports, and compliance with such requirements could require significant effort and resources. In addition, in recent years “anti-ESG” sentiment has gained momentum across the United States, with several states and Congress having proposed or enacted “anti-ESG” policies, legislation, or initiatives or issued related legal opinions, and the U.S. presidential administration having recently issued an executive order opposing diversity equity and inclusion (“DEI”) initiatives in the private sector. Our business may face increased scrutiny related to these activities and our related disclosures, including from the investment community, and our failure to achieve progress or manage the dynamic public sentiment and legal landscape in these areas on a timely basis, or at all, could adversely affect our reputation, business, and financial performance.</w:t>
      </w:r>
    </w:p>
    <w:p>
      <w:pPr>
        <w:pStyle w:val="TextBody"/>
        <w:bidi w:val="0"/>
        <w:spacing w:before="360" w:after="283"/>
        <w:jc w:val="left"/>
        <w:rPr>
          <w:rFonts w:ascii="Times New Roman" w:hAnsi="Times New Roman"/>
          <w:sz w:val="20"/>
        </w:rPr>
      </w:pPr>
      <w:r>
        <w:rPr>
          <w:rFonts w:ascii="Times New Roman" w:hAnsi="Times New Roman"/>
          <w:b/>
          <w:i/>
          <w:color w:val="000000"/>
          <w:sz w:val="20"/>
        </w:rPr>
        <w:t>We or the third parties upon whom we depend may be adversely affected by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operations are primarily located in the San Francisco Bay Area. Any unplanned event, such as earthquake, flood, fire, explosion, extreme weather conditions, medical epidemic or pandemic,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In addition, the long-term effects of climate change on general economic conditions and the pharmaceutical industry in particular are unclear, and may heighten or intensify existing risk of natural disasters. Loss of access to these facilities may result in increased costs, delays in the development of OJEMDA or our product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tax laws or regulations that are applied adversely to us may have a material adverse effect on our business, cash flow, financial condition or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future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U.S. tax expense. In addition, under the Tax Cuts and Jobs Act, as amended by the OBBBA, for tax years beginning after December 31, 2021, taxpayers are required to capitalize and amortize certain research and development expenditures over fifteen years if incurred in foreign jurisdictions. For tax years beginning after December 31, 2021, and beginning on or before December 31, 2024, taxpayers generally were required to capitalize and amortize certain research and development expenditures over five years if incurred in the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United States; however, beginning after that period, the OBBBA restored immediate deductibility of research and development expenditures incurred in the United States and also permits certain small business taxpayers to apply these changes retroactively to tax years beginning after December 31,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for transactions occurring on or after January 1, 2023, the Inflation Reduction Act imposed a new one percent excise tax on certain repurchases of stock by publicly traded U.S. domestic corporations. The excise tax is imposed on the repurchasing corporation itself, not its shareholders from which shares are repurchased. For purposes of calculating the base excise tax, repurchasing corporations are permitted to net the fair market value of certain new stock issuances against the fair market value of stock repurchases during the same taxable year. Certain repurchases are not counted in the base of the excise tax.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changes in corporate tax rates, the realization of net deferred tax assets relating to our operations, the taxation of foreign earnings, and the deductibility of expenses under the Tax Cuts and Jobs Act, or future reform legislation could have a material impact on the value of our deferred tax assets, could result in significant one-time charges, and could increase our future U.S. tax expense.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substantial losses during our history and do not expect to become profitable in the near future, and we may never achieve profitability. U.S. federal net operating losses generated in tax years beginning after December 31, 2017, will not expire and may be carried forward indefinitely but the deductibility of such federal net operating losses is limited to 80% of current year taxable income (without regard to certain deductions).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both our current and our future unused losses and other tax attributes may be subject to limitation under Sections 382 and 383 of the Internal Revenue Code of 1986, as amended, or the Code, if we undergo, or have undergone, an “ownership change,” generally defined as a greater than 50 percentage point change (by value) in our equity ownership by certain stockholders over a three-year period. During the year ended December 31, 2024, the Company has completed a Section 382 study to determine whether an ownership change per the provisions of Section 382 of the Internal Revenue Code, as well as similar state provisions, has occurred. The study found that one of our predecessor companies experienced an ownership change on June 16, 2022 and that the tax attributes that it generated are subject to a change pursuant to Section 382; however, based on the study all of these attributes are fully available for use as of December 31, 2023. The Company’s current year utilization of net operating losses and income tax credits is not impacted by the provisions of Section 382 or 383. As a result, if we undergo an ownership change (or if we previously underwent such an ownership change), our ability to use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engaged, and will continue to engage, in strategic transactions that could impact our liquidity, increase our expenses and present significant distractions to our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engaged in strategic transactions, for instance, with affiliates of Takeda Pharmaceutical Company Limited, Viracta Therapeutics, Inc., Merck KGaA, Darmstadt, Germany, MabCare, and Ipsen, and from time to time, we may consider further strategic transactions, such as acquisitions of companies, businesses or assets and out-licensing or in-licensing of products, product candidates (such as DAY301)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unknown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of our business and diversion of our management’s time and attention in order to develop acquired products,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incurrence of substantial debt or dilutive issuances of equity securities to pay for acquisitions;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higher than expected acquisition and integration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write-downs of assets or goodwill or impairment charges;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amortization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and cost in combining the operations, systems and personnel of any acquired businesses with our operations, systems and personnel;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of relationships with key suppliers or customers of any acquired businesses due to changes in management and ownership;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retain key employees of any acquired businesses.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on our ability to obtain and maintain proprietary or intellectual property protection in the United States and other countries for OJEMDA and our current product candidates and future products,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the field of cancer drug development. Additionally, we intend to rely on regulatory protection afforded through rare drug designations, data exclusivity and market exclusivity as well as patent term extensions, where available.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 sufficient to protect OJEMDA and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20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our exclusive licenses may be subject to field restrictions and retained rights, which may adversely impact our competitive position. See “Management’s Discussion and Analysis of Financial Condition and Results of Operations—Significant Agreements.” Our licensed patent portfolio may not provide us with adequate and continuing patent protection sufficient to exclude others from commercializing products similar to OJEMDA and our product candidates, including generic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Publications of discoveries in the scientific literature often lag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you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OJEMDA or our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we do not have the right to control the preparation, filing and prosecution of patent applications, or to control the maintenance of the patents, covering technology that we license from third parties. Therefore, these patents and applications may not be filed, prosecuted or maintained in a manner consistent with the best interests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recent reforms and changes at government agencies of the United States and those of non-U.S. jurisdictions could increase the delays, uncertainties and costs surrounding the prosecution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personnel and fill key leadership appointments, among various factors. Termination of employees or delays in replacing or hiring for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Even if we acquire patent protection that we expect should enable us to maintain competitive advantage, the issuance of a patent is not conclusive as to its inventorship, scope, validity or enforceability. Third parties, including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a third-party submission of prior art to the U.S. Patent and Trademark Office, or USPTO, challenging the validity of one or more claims of our patents, once issued. Such submissions may also be made prior to a patent’s issuance, precluding the granting of a patent based on one of our patent applications. We may become involved in opposition,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derivation, interference or similar proceedings in the United States or abroad challenging the claims of our patents, once issued. Furthermore, patents may be challenged in court, once issued. Competitors may claim that they invented the inventions claimed in such patents or patent applications prior to the inventors of our patents, or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 compulsory license. If the patent protection provided by the patents and patent applications we hold or pursue with respect to OJEMDA or our product candidates is not sufficiently broad to impede such competition, our ability to successfully commercialize OJEMDA or our product candidates could be negatively affected, which would harm our business. Certain regulatory exclusivities may be available, however, the scope of such regulatory exclusivities is subject to change and may not provide us with adequate and continuing protection sufficient to exclude others from commercializing products similar to OJEMDA and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scope of any patent protection we obtain is not sufficiently broad, or if we lose any of our patent protection, our ability to prevent our competitors from commercializing similar or identical products or product candidates would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coverage claimed in a patent application can be significantly reduced before the patent is issued, and its scope can be reinterpreted after issuance. Even if patent applications we own or in-license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and </w:t>
      </w:r>
      <w:r>
        <w:rPr>
          <w:rFonts w:ascii="Times New Roman" w:hAnsi="Times New Roman"/>
          <w:i/>
          <w:color w:val="000000"/>
          <w:sz w:val="20"/>
        </w:rPr>
        <w:t>inter partes</w:t>
      </w:r>
      <w:r>
        <w:rPr>
          <w:rFonts w:ascii="Times New Roman" w:hAnsi="Times New Roman"/>
          <w:color w:val="000000"/>
          <w:sz w:val="20"/>
        </w:rPr>
        <w:t xml:space="preserve"> review, or other similar proceedings challenging our owned patent rights. An adverse determination in any such submission, proceeding or litigation could jeopardize patent term adjustment or otherwise reduce patent term, reduce the scope of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 invalidate or render unenforceable, our patent rights, or allow third parties to commercialize our product candidates and compete directly with us, without payment to us.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the issuance of a patent does not give us the right to practice the patented invention. Third parties may have blocking patents that could prevent us from marketing our own patented product and practicing our own patented technology.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develop products that are similar to OJEMDA and our product candidates but that are not covered by the claims of the patents that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or collaborators might not have been the first to make the inventions covered by the issued patents or patent application that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or collaborators might not have been the first to file patent applications covering certain of our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 pending patent applications we own or license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own or license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fail to adequately protect and police our trademarks and trade secrets;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these events occur, it could significantly harm our business,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w:t>
      </w:r>
      <w:r>
        <w:rPr>
          <w:rFonts w:ascii="Times New Roman" w:hAnsi="Times New Roman"/>
          <w:i/>
          <w:color w:val="000000"/>
          <w:sz w:val="20"/>
        </w:rPr>
        <w:t>inter partes</w:t>
      </w:r>
      <w:r>
        <w:rPr>
          <w:rFonts w:ascii="Times New Roman" w:hAnsi="Times New Roman"/>
          <w:color w:val="000000"/>
          <w:sz w:val="20"/>
        </w:rPr>
        <w:t xml:space="preserve"> review proceedings and post grant review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also be patent applications that, if issued as patents, could be asserted against us. Patent applications in the United States and elsewhere are typically published approximately 18 months after the earliest filing for which priority is claimed, with such earliest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date being commonly referred to as the priority date. Certain U.S. patent applications that will not be filed outside the United States can remain confidential until patents issue.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and their uses or manufacturing processes.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Further, we may incorrectly determine that our product candidates and their uses and manufacturing processes are not covered by a third-party patent or may incorrectly predict whether a third-party’s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 Third-party intellectual property right holders may also actively bring infringement or other intellectual property-related claims against us, even if we have received patent protection for our product candidates and the relevant uses and processes.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 in costly litigation that may cause negative publicity;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divert the time and attention of our technical personnel and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cause development delays;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prevent us from commercializing OJEMDA or any of our product candidates until the asserted patent expires or is held finally invalid or not infringed in a court of law;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us to develop non-infringing technology, which may not be possible on a cost-effective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us to significant liability to third parties;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us to enter into royalty or licensing agreements, which may not be available on commercially reasonable terms, or at all, or which might be non-exclusive, which could result in our competitors gaining access to the same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no third party has asserted a claim of patent infringement against us as of June 30, 2025, others may hold proprietary rights that could prevent OJEMDA or our product candidates from being marketed. It is possible that a third-party may assert a claim of patent infringement directed at OJEMDA or our product candidates. Any patent-related legal action against us claiming damages and seeking to enjoin commercial activities relating to OJEMDA or our product candidates, treatment indications, or processes could subject us to significant liability for damages, including treble damages if we were determined to willfully infringe, and require us to obtain a license to manufacture or market OJEMDA or our product candidates. Defense of these claims, regardless of their merit, would involve substantial litigation expense and would be a substantial diversion of employee resources from our business. We may also in the future pursue invalidity proceedings with respect to third-party patents. The outcome following legal assertions of invalidity is unpredictable. Additionally, we may be subject to claims of patent infringement during those proceedings, and delays caused by the federal agencies may increase the time period that we are subject to such claims. For example, administrative changes, including reduced personnel and budgets experienced by the Patent and Trial Appeal Board, could further delay our ability to timely challenge any such patents. We cannot predict whether we would prevail in any such actions or that any license required under any of these patents would be made available on commercially acceptable terms, if at all. Moreover, even if we or our current and/or future strategic partners were able to obtain a license, the rights may be nonexclusive, which could result in our competitors gaining access to the same intellectual property. In addition, we cannot be certain that we could redesign OJEMDA,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outcome, may cause negative publicity and could prohibit us from marketing or otherwise commercializing OJEMDA or our product candidates and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Some of our current product candidates and research programs are licensed from third parties. If these license agreements are terminated or interpreted to narrow our rights, our ability to advance OJEMDA and our current product candidates or develop new product candidates based on these technologies will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now depend on, at least in part, Viracta Therapeutics, Inc., Takeda Pharmaceutical Company Limited, Dana Farber Cancer Institute, Millennium Pharmaceuticals, Inc., Merck KGaA, Darmstadt, Germany, MabCare, and Ipsen and will continue to depend on Viracta Therapeutics, Inc., Takeda Pharmaceutical Company Limited, Dana Farber Cancer Institute, Millennium Pharmaceuticals, Inc. and Merck KGaA, Darmstadt, Germany, MabCare, and Ipsen and on licenses and sublicenses from other third parties, as well as potentially on other strategic relationships with third parties, for the research, development, manufacturing and commercialization of OJEMDA and our current product candidates. If any of our licenses or relationships or any in-licenses on which our licenses are based are terminated or breached, we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lose our rights to develop and market OJEMDA or our current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lose patent or trade secret protection for OJEMDA or our current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significant delays in the development or commercialization of OJEMDA or our current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be able to obtain any other licenses on acceptable terms, if at all;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liability for damages.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even if not terminated or breached, our intellectual property licenses or sublicenses may be subject to disagreements over contract interpretation which could narrow the scope of our rights to the relevant intellectual property or technology or increase our financial or other obligations.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experience any of the foregoing, it could have a materially adverse effect on our business and could force us to cease operations which could cause you to lose all of your investment.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breach our license agreements, it could have a material adverse effect on our commercialization efforts for OJEMDA and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breach any of the agreements under which we license the use, development and commercialization rights to OJEMDA and our product candidates or technology from third parties, we could lose license rights that are important to our business. Or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OJEMDA and our current lead product candidates are protected by, among other intellectual property rights, patents and patent applications we co-own and exclusively in-license from Viracta Therapeutics, Inc. (f/k/a Sunesis Pharmaceuticals, Inc.). OJEMDA and our current lead product candidates and pipeline and our anticipated near-term pipeline may include technologies licensed from other third parties, including, for example, Merck KGaA, Darmstadt, Germany. Further, pursuant to the MabCare License Agreement, we have the exclusive right to develop, manufacture and commercialize DAY301 worldwide, excluding Greater China.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licensors may have the right to terminate the applicable license in whole or in part. Generally, the loss of any one of our current licenses, or any other license we may acquire in the future, could harm our business, prospects,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Licensing of intellectual property is of critical importance to our business and involves complex legal, business and scientific issues. Disputes may arise between us and our licensors regarding intellectual property subject to a license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our technology and processes infringe on intellectual property of the licensor that is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right to sublicense patent and other intellectual property rights to third parties under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with respect to the use of the licensed technology in relation to our development and commercialization of OJEMDA and our product candidates,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ownership of inventions and know-how resulting from the joint creation or use of intellectual property by our licensors and us and our partners;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inventors are able to contest the assignment of their rights to our licensors.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disputes over intellectual property that we have licensed prevent or impair our ability to maintain our current licensing arrangements on acceptable terms or at all, we may be unable to successfully develop and successfully commercialize OJEMDA and the affected product candidates.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agreements under which we license intellectual property or technology from third parties, including our licenses with Viracta Therapeutics, Inc., Takeda Pharmaceutical Company Limited, Dana Farber Cancer Institute, Millennium Pharmaceuticals, Inc., Merck KGaA, Darmstadt, Germany, MabCare, and Ipsen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spite of our best efforts, our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marketing authorization of, and to market, products identical to ours. This could have a material adverse effect on our competitive position, business, financial conditions,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In the future, we may need to obtain additional licenses of third-party technology that may not be available to us or are available only on commercially unreasonable terms, and which may cause us to operate our business in a more costly or otherwise adverse manner that was not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expand our product candidate pipeline in part by in-licensing the rights to key technologies. The future growth of our business will depend in part on our ability to in-license or otherwise acquire the rights to additional product candidates or technologies. We cannot assure you that we will be able to in-license or acquire the rights to any product candidates or technologies from third parties on acceptable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companies and academic institutions may also have filed or are planning to file patent applications potentially relevant to our business. From time to time, in order to avoid infringing these third-party patents, we may be required to license technology from third parties to further develop or commercialize our existing or future product candidates. Should we be required to obtain licenses to any third-party technology, including any such patents required to manufacture, use or sell our existing or future product candidates, such licenses may not be available to us on commercially reasonable terms, or at all. The inability to obtain any third-party license required to develop or commercialize any of our existing or future product candidates could cause us to abandon any related efforts, which could seriously harm our business and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in-licensing and acquisition of these technologies is a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financial condition and prospects could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involved in lawsuits to protect or enforce our own patents or our licensors’ patents, which could be expensive, time consuming and unsuccessful. Further, our own issued patents or our licensors’ patents could be found invalid or unenforceable if challenged in court.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collaborators were to initiate legal proceedings against a third-party to enforce a patent directed at OJEMDA or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Third parties may also raise similar invalidity claims before the USPTO or patent offices abroad, even outside the context of litigation. Such mechanisms include re-examination, </w:t>
      </w:r>
      <w:r>
        <w:rPr>
          <w:rFonts w:ascii="Times New Roman" w:hAnsi="Times New Roman"/>
          <w:i/>
          <w:color w:val="000000"/>
          <w:sz w:val="20"/>
        </w:rPr>
        <w:t xml:space="preserve">inter partes </w:t>
      </w:r>
      <w:r>
        <w:rPr>
          <w:rFonts w:ascii="Times New Roman" w:hAnsi="Times New Roman"/>
          <w:color w:val="000000"/>
          <w:sz w:val="20"/>
        </w:rPr>
        <w:t xml:space="preserve">review proceedings, post grant review proceedings,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any product candidates that we may develop. Such a loss of patent protection would have a material adverse impact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costs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litigation may lead to unfavorable publicity that harms our reputation and causes the market price of our common shares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product candidates, which could have a material adverse effect on our business.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Derivation proceedings may be necessary to determine priority of inventions, and an unfavorable outcome may require us to cease using the related technology or to attempt to license rights from the prevailing party.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from their regular responsibilities. In addition, the uncertainties associated with such proceedings could have a material adverse effect on our ability to raise the funds necessary to continue our clinical trials, continue our development programs, license necessary technology from third parties or enter into development or manufacturing partnerships that would help us bring our product candidates to market. </w:t>
      </w:r>
    </w:p>
    <w:p>
      <w:pPr>
        <w:pStyle w:val="TextBody"/>
        <w:bidi w:val="0"/>
        <w:spacing w:before="360" w:after="283"/>
        <w:jc w:val="left"/>
        <w:rPr>
          <w:rFonts w:ascii="Times New Roman" w:hAnsi="Times New Roman"/>
          <w:sz w:val="20"/>
        </w:rPr>
      </w:pPr>
      <w:r>
        <w:rPr>
          <w:rFonts w:ascii="Times New Roman" w:hAnsi="Times New Roman"/>
          <w:b/>
          <w:i/>
          <w:color w:val="000000"/>
          <w:sz w:val="20"/>
        </w:rPr>
        <w:t>Because of the expense and uncertainty of litigation, we may not be in a position to enforce our intellectual property rights against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product development, in-license needed technology or enter into development partnerships that would help us bring OJEMDA and our product candidates to market. </w:t>
      </w:r>
    </w:p>
    <w:p>
      <w:pPr>
        <w:pStyle w:val="TextBody"/>
        <w:bidi w:val="0"/>
        <w:spacing w:before="360" w:after="283"/>
        <w:jc w:val="left"/>
        <w:rPr>
          <w:rFonts w:ascii="Times New Roman" w:hAnsi="Times New Roman"/>
          <w:sz w:val="20"/>
        </w:rPr>
      </w:pPr>
      <w:r>
        <w:rPr>
          <w:rFonts w:ascii="Times New Roman" w:hAnsi="Times New Roman"/>
          <w:b/>
          <w:i/>
          <w:color w:val="000000"/>
          <w:sz w:val="20"/>
        </w:rPr>
        <w:t>Recent patent reform legislation could increase the uncertainties and costs surrounding the prosecution of our patent applications and/or those of our licensors and the enforcement or defense of our issued patents and/or those of our licensors.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third-party was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An adverse determination in any such submission or proceeding could reduce the scope or enforceability of, or invalidate, our patent rights, which could adversely affect our competitive position.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and/or those of our licensors and the enforcement or defense of our issued patents or those of our licensors, all of which could have a material adverse effect on our business, financial condition, results of operations and prospects.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U.S. patent law, or laws in other countries, could diminish the value of patents in general, thereby impairing our ability to protect OJEMDA and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with respect to our patents or third-party patents. In addition, the U.S. Congress or other foreign legislative bodies may pass patent reform legislation that is unfavorable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starting from June 1, 2023, European applications have the option, upon grant of a patent, of becoming a Unitary Patent which will be subject to the jurisdiction of the Unitary Patent Court, or the UPC. This will be a significant change in European patent practice. As the UPC is a new court system, there is limited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who are signatories to the UPC. We cannot predict with certainty the long-term effects of the new unitary patent system.</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and/or our licensors may be subject to claims that former employees, collaborators or other third parties have an interest in our patents or other intellectual property as an inventor or co-inventor. In addition, we cannot assure you that all inventors have been or will be identified by us and/or by our collaborators despite diligent effort.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licensors may have relied on third-party consultants or collaborators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This could have a material adverse effect on our competitive position, business, financial conditions,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commercialized. As a result, our patent portfolio may not provide us with sufficient rights to exclude others from commercializing products similar or identical to ours.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obtain patent term extension for OJEMDA and product candidates,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FDA marketing authorization of our product and product candidates, one or more of our U.S. patents or those of our licensors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marketing authorization of our product candidates. However, we may not be granted an extension because of, for example, failing to apply within applicable deadlines, failing to apply prior to expiration of relevant patents or otherwise failing to satisfy applicable requirements. Additionally, administrative changes at the USPTO or other applicable patent authorities, such as reduced hiring and/or funding, may result in delays in issuance of a patent or in accrual of patent term extension, thereby reducing the amount of patent term extension that could otherwise be received. Administrative changes (e.g., at the FDA or USPTO) may also lead to delays in review and analysis of regulatory submissions or requests for patent term extension, which could result in a patent term extension not being timely granted (e.g., before the expiration of the patent) and there may be no patent eligible for extension.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may launch their product earlier than might otherwise be the case.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have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trade barriers and unexpected changes in tariffs, including tariffs that have been or may in the future be imposed by the United States or other countries, could impact our intellectual property rights in unpredictable ways. For example, trade barriers and changes in tariffs may require us to change our supply chain and move our current or future production to countries with more favorable trade agreements but less favorable or no intellectual property rights protection. The United States and other countries may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take protectionist or retaliatory measures in response to the changes in tariffs, leading to a plethora of unpredictable consequences that could weaken our intellectual property rights throughout the world.</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governmental fees on patents and/or applications will be due to the USPTO and various foreign patent offices at various points over the lifetime of our patents and/or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in part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that we or our employees have wrongfully used or disclosed alleged confidential information or trade secrets.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or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successfully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commercializing OJEMDA and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that we have wrongfully hired an employee from a competitor or that we or our employees have wrongfully used or disclosed alleged confidential information or trade secrets of their former employers.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common in the biopharmaceutical industry, in addition to our employees, we engage the services of consultants to assist us in the development of OJEMDA and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 </w:t>
      </w:r>
    </w:p>
    <w:p>
      <w:pPr>
        <w:pStyle w:val="TextBody"/>
        <w:bidi w:val="0"/>
        <w:spacing w:before="360" w:after="283"/>
        <w:jc w:val="left"/>
        <w:rPr>
          <w:rFonts w:ascii="Times New Roman" w:hAnsi="Times New Roman"/>
          <w:sz w:val="20"/>
        </w:rPr>
      </w:pPr>
      <w:r>
        <w:rPr>
          <w:rFonts w:ascii="Times New Roman" w:hAnsi="Times New Roman"/>
          <w:b/>
          <w:i/>
          <w:color w:val="000000"/>
          <w:sz w:val="20"/>
        </w:rPr>
        <w:t>The patent protection and patent prosecution for OJEMDA and some of our product candidates may be dependent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normally seek to obtain the right to control prosecution, maintenance and enforcement of the patents relating to OJEMDA and our product candidates, there may be times when the filing and prosecution activities for patents and patent applications relating to OJEMDA and our product candidates are controlled by our licensors or collaboration partners. If any of our licensors or collaboration partners fail to prosecute, maintain and enforce such patents and patent applications in a manner consistent with the best interests of our business, including by payment of all applicable fees for patents covering OJEMDA and our product candidates, we could lose our rights to the intellectual property or our exclusivity with respect to those rights, our ability to develop and commercialize OJEMDA and those product candidates may be adversely affected and we may not be able to prevent competitors from making, using and selling competing products. In addition, even where we have the right to control patent prosecution of patents and patent applications we have licensed from third parties, we may still be adversely affected or prejudiced by actions or inactions of our licensors and their counsel that took place prior to the date upon which we assumed control over patent prosecution.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Currently, our intellectual property protection includes patents and patent applications that we have in-licensed from, among others, Viracta Therapeutics, Inc., Takeda Pharmaceutical Company Limited, Merck KGaA, Darmstadt, Germany, MabCare, and Ipsen. Our exclusive and non-exclusive licenses may be subject to certain retained rights, which may adversely impact our competitive position. We do not control the prosecution and maintenance of several of the licensed patent portfolios; thus, we cannot assure you that the licensed patent families will be prepared, filed, prosecuted, or maintained in a manner consistent with the best interests of our business. See “Management’s Discussion and Analysis of Financial Condition and Results of Operations—Significant Agreements.” Our licensed patent portfolio may not provide us with adequate and continuing patent protection sufficient to exclude others from commercializing products similar to OJEMDA and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own issued patents or pending patent applications may have been generated through the use of U.S. government funding,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existing or future intellectual property rights that are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geo-political actions in the United States or other countries may increase the uncertainties and costs related to the prosecution or maintenance of our patent applications, or those of our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laws of some jurisdictions do not protect intellectual property rights to the same extent as the laws in the United States, and many companies have encountered significant difficulties in protecting and defending such rights in such jurisdictions. If we or our licensors or collaborators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or collaborators are forced to grant a license to third parties with respect to any patents relevant to our business, our competitive position in the relevant jurisdiction may be impaired and our business, financial condition, results of operations and prospects may be adversely affected.</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An active and liquid trading market for our common stock may never be sustained. As a result, you may not be able to resell your shares of common stock at or above the purchase price.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an inactive market may also impair our ability to raise capital by selling shares of our common stock and may impair our ability to enter into strategic collaborations or acquire companies or products by using our shares of common stock as consideration.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quarterly operating results may fluctuate significantly or may fall below the expectations of investors or securities analysts, each of which may cause our stock price to fluctuate or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operating results to be subject to quarterly fluctuations. Our operating results will be affected by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 from the sales of our product, OJEMDA;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and variations in the level of expense related to the current or future development of our programs;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and status of enrollment for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or the addition or termination of clinical trials or funding support by us or potential future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execution of any collaboration, licensing or similar arrangements, and the timing of payments we may make or receive under potential future arrangements or the termination or modification of any such potential future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intellectual property infringement, misappropriation or violation lawsuit or opposition, interference or cancellation proceeding in which we may become involved;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decisions by us or our competitors, such as acquisitions, divestitures, spin-offs, joint ventures, strategic investments or changes in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candidate we develop receives marketing authorization, the timing and terms of such approval and market acceptance and demand for such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 to establish a sales, marketing and distribution infrastructure to commercialize any products for which we may obtain marketing authorization and intend to commercialize on our own or jointly with future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affecting current or future product candidates or products, if any,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expense or gain associated with the change in value of the success payments and contingent consideration;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market and economic conditions, such as due to rising interest rates, inflation, changes in domestic and foreign currency rates, significant political or trade regulatory developments or changes in trade policy, global regional conflicts and public health epidemics;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development activities, such as additional program in-licensing, which could result in up-front payments or increased development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cybersecurity incidents.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price of our common stock is likely to be highly volatile, which could result in substantial losses for purchasers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is likely to continue to be highly volatile and subject to wide fluctuations in response to various factors, some of which we cannot control. As a result of this volatility, you may not be able to sell your shares of common stock at or above the price paid. The market price for our common stock may be influenced by many factors, including the other risks described in this “Risk Factors” section and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commercialization efforts for our product, OJEMDA;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preclinical studies or clinical trials by us or those of our competitors or by existing or future collaborators or licensing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enrollment status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development status of our product candidates, including variations in the level of expense related to the development of our programs or funding support by us or by existing or future collaborators or licensing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especially changes in laws or regulations applicable to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introductions and announcements of new product candidates by us, our future collaboration partners, or our competitors, and the timing of these introductions or announcements;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taken by regulatory agencies with respect to our product candidates, clinical studies, manufacturing process or sales and marketing terms;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execution of any collaboration, licensing or similar arrangements, and the timing of payments we may make or receive under existing or future arrangements or the termination or modification of any such existing or future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efforts to acquire or in-license additional technologies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announced or completed significant acquisitions, strategic collaborations, joint ventures or capital commitments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our intellectual property and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earnings estimates or changes in stock market analyst recommendations regarding our common stock, other comparable companies or our industry generally;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or the failure of our competitors to meet analysts’ projections or guidance that we or our competitors may give to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speculation in the press or investment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price and fluctuations of 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interest rate increases on the overall stock market and the market for biopharmaceutical company stocks;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the valuation of companies perceived by investors to be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shares of our common stock by us, insiders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or inability to raise additional capital and the terms on which we raise 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concentrated ownership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accounting principles;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and other calamities;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inflation, changes in interest rates, changes in domestic and foreign currency rates and significant political or regulatory developments or changes in trade policy, many of which are beyond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including those resulting from global pandemics, such as the COVID-19 pandemic, or war, incidents of terrorism or responses to these events, including global regional conflicts;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cybersecurity incidents.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 in general, and the markets for pharmaceutical, biopharmaceutical and biotechnology stocks in particular, have experienced extreme price and volume fluctuations, including as a result of the COVID-19 pandemic, increase in inflation and changes in interest rates, as well as disruptions to the supply chain,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currently intend to pay dividends on our common stock and, consequently, our stockholders’ ability to achieve a return on their investment will depend on appreciation of the value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cash dividends on our common stock. We currently intend to retain all available funds and any future earnings to support operations and to finance the growth and development of our business. We do not intend to declare or pay any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dividends on our capital stock in the foreseeable future. As a result, any investment return on our common stock will depend upon increases in the value for our common stock, which is not certain. </w:t>
      </w:r>
    </w:p>
    <w:p>
      <w:pPr>
        <w:pStyle w:val="TextBody"/>
        <w:bidi w:val="0"/>
        <w:spacing w:before="360" w:after="283"/>
        <w:jc w:val="left"/>
        <w:rPr>
          <w:rFonts w:ascii="Times New Roman" w:hAnsi="Times New Roman"/>
          <w:sz w:val="20"/>
        </w:rPr>
      </w:pPr>
      <w:r>
        <w:rPr>
          <w:rFonts w:ascii="Times New Roman" w:hAnsi="Times New Roman"/>
          <w:b/>
          <w:i/>
          <w:color w:val="000000"/>
          <w:sz w:val="20"/>
        </w:rPr>
        <w:t>A sale of a substantial number of shares of our common stock may cause the price of our common stock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holders of an aggregate of 8,502,776 shares of our outstanding common stock as of June 30, 2025 will have rights, subject to some conditions, to require us to file registration statements covering their shares or to include their shares in registration statements that we may file for ourselves or our stockholders. We also have registered shares of common stock that we may issue under our equity incentive plans. These shares are freely tradeable in the public market upon issuance.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vesting of outstanding restricted stock unit awards, or the perception that such sales may occur, could adversely affect the market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beneficial ownership of our common stock as of June 30, 2025, our executive officers, directors, holders of 5% or more of our capital stock and their respective affiliates beneficially owned 45.0% of our voting stock. The voting power of this group may increase to the extent they convert shares of non-voting common stock they hold into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Anti-takeover provisions in our charter documents and under Delaware law could prevent or delay an acquisition of us, which may be beneficial to our stockholders, and may prevent attempts by our stockholders to replace or remove our current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restated certificate of incorporation and our amended and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so that not all members of our board are elected at one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only the board of directors to establish the number of directors and fill vacancies on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directors may only be removed “for cause” and only with the approval of two-thirds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super-majority voting to amend some provisions in our restated certificate of incorporation and restated bylaws;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the issuance of “blank check” preferred stock that our board could use to implement a stockholder rights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the ability of our stockholders to call special meetings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 action by written consent, which requires all stockholder actions to be taken at a meeting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cumulative voting; and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advance notice requirements for nominations for election to our board or for proposing matters that can be acted upon by stockholders at annual stockholder meetings.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The exclusive forum provision in our organizational documents may limit a stockholder’s ability to bring a claim in a judicial forum that it finds favorable for disputes with us or any of our directors, officers or other employees, or the underwriters of any offering giving rise to such claim, which may discourage lawsuits with respect to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 This exclusive forum provision does not apply to suits brought to enforce a duty or liability created by the Securities Exchange Act of 1934, as amended, or the Exchange Act. It could apply, however, to a suit that falls within one or more of the categories enumerated in the exclusive forum provision.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22 of the Securities Act of 1933, as amended, or the Securities Act, creates concurrent jurisdiction for federal and state courts over all claims brought to enforce any duty or liability created by the Securities Act or the rules and regulations thereunder. Our amended and restated bylaws provide that the federal district courts of the United States of America will, to the fullest extent permitted by law, be the exclusive forum for resolving any complaint asserting a cause of action arising under the Securities Act, or a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or other employees, or the underwriters of any offering giving rise to such claim, which may discourage lawsuits against us and our directors, officers, and other employees.</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or industry analysts do not publish research or reports about our business, or if they issue an adverse or misleading opinion regarding our company, our common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is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future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increased costs as a result of operating as a public company, and our management will be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we did not incur as a private company. The Sarbanes-Oxley Act, the Dodd-Frank Wall Street Reform and Consumer Protection Act, the listing requirements of the Nasdaq Global Select Market, or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proper and effective internal controls over financial reporting our ability to produce accurate and timely financial statements could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Section 404 of the Sarbanes-Oxley Act, our management is required to report upon the effectiveness of our internal control over financial reporting and our independent registered public accounting firm is required to attest to the effectiveness of our internal control over financial reporting in our annual reports on Form 10-K. The rules governing the standards that must be met for our management and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failure to maintain internal control over financial reporting, including any failure to implement required new or improved controls, or difficulties encountered in their implementation, could severely inhibit our ability to accurately report our financial condition, results of operations or cash flows. If we or our independent registered public accounting firm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Unfavorable global economic conditions could adversely affect our business, financial condition, stock price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and in the global financial markets. The global economy, including credit and financial markets, has recently experienced extreme volatility and disruptions, including severely diminished liquidity and credit availability, volatile interest rates and increasing inflation, changes in domestic and foreign currency rates, declines in consumer confidence, declines in economic growth, increases in unemployment rates, changes in tariffs and trade policy and uncertainty about economic stability. A severe or prolonged economic downturn or recession and a continued increase in inflation rates or interest rates could result in a variety of risks to our business, including weakened demand for OJEMDA and our ability to raise additional capital when needed on acceptable terms, if at all. Likewise, the capital and credit markets may be adversely affected by global regional conflicts, and the possibility of wider or additional global conflicts, global sanctions imposed in response thereto or an energy crisis.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business and operations may be impacted by the political instability and military hostilities in multiple geographies including Ukraine, the Middle East and the tensions between China and Taiwan. </w:t>
      </w:r>
    </w:p>
    <w:p>
      <w:pPr>
        <w:pStyle w:val="TextBody"/>
        <w:bidi w:val="0"/>
        <w:spacing w:before="360" w:after="283"/>
        <w:jc w:val="left"/>
        <w:rPr>
          <w:rFonts w:ascii="Times New Roman" w:hAnsi="Times New Roman"/>
          <w:sz w:val="20"/>
        </w:rPr>
      </w:pPr>
      <w:bookmarkStart w:id="16" w:name="tx180355_15"/>
      <w:bookmarkEnd w:id="16"/>
      <w:r>
        <w:rPr>
          <w:rFonts w:ascii="Times New Roman" w:hAnsi="Times New Roman"/>
          <w:b/>
          <w:color w:val="000000"/>
          <w:sz w:val="20"/>
        </w:rPr>
        <w:t>Item 2. Unregistered Sales of Equity Securities, Use of Proceeds and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Unregistered Sales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7" w:name="tx180355_16"/>
      <w:bookmarkEnd w:id="17"/>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8" w:name="tx180355_17"/>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9" w:name="tx180355_18"/>
      <w:bookmarkEnd w:id="19"/>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Insider Trading Policies and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directors and Section 16 officers (as defined in Rule 16a-1(f) under the Exchange Act) are only permitted to trade in the Company’s securities pursuant to a prearranged trading plan intended to satisfy the affirmative defense of Rule 10b5-1(c) under the Exchange Act, or a Rule 10b5-1 Plan. During the three months ended June 30, 2025, none of the Company’s Section 16 officers or directors adopted or terminated any Rule 10b5-1 Plan.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jc w:val="left"/>
        <w:rPr>
          <w:rFonts w:ascii="Times New Roman" w:hAnsi="Times New Roman"/>
          <w:sz w:val="20"/>
        </w:rPr>
      </w:pPr>
      <w:bookmarkStart w:id="20" w:name="tx180355_19"/>
      <w:bookmarkEnd w:id="20"/>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exhibits filed or furnished as part of this Quarterly Report on Form 10-Q are set forth on the Exhibit Index below. </w:t>
      </w:r>
    </w:p>
    <w:tbl>
      <w:tblPr>
        <w:tblW w:w="10205" w:type="dxa"/>
        <w:jc w:val="left"/>
        <w:tblInd w:w="0" w:type="dxa"/>
        <w:tblLayout w:type="fixed"/>
        <w:tblCellMar>
          <w:top w:w="28" w:type="dxa"/>
          <w:left w:w="28" w:type="dxa"/>
          <w:bottom w:w="28" w:type="dxa"/>
          <w:right w:w="28" w:type="dxa"/>
        </w:tblCellMar>
      </w:tblPr>
      <w:tblGrid>
        <w:gridCol w:w="808"/>
        <w:gridCol w:w="6219"/>
        <w:gridCol w:w="525"/>
        <w:gridCol w:w="483"/>
        <w:gridCol w:w="526"/>
        <w:gridCol w:w="645"/>
        <w:gridCol w:w="999"/>
      </w:tblGrid>
      <w:tr>
        <w:trPr/>
        <w:tc>
          <w:tcPr>
            <w:tcW w:w="808" w:type="dxa"/>
            <w:tcBorders/>
            <w:vAlign w:val="center"/>
          </w:tcPr>
          <w:p>
            <w:pPr>
              <w:pStyle w:val="TableContents"/>
              <w:bidi w:val="0"/>
              <w:spacing w:before="0" w:after="283"/>
              <w:jc w:val="left"/>
              <w:rPr>
                <w:sz w:val="4"/>
                <w:szCs w:val="4"/>
              </w:rPr>
            </w:pPr>
            <w:r>
              <w:rPr>
                <w:sz w:val="4"/>
                <w:szCs w:val="4"/>
              </w:rPr>
            </w:r>
          </w:p>
        </w:tc>
        <w:tc>
          <w:tcPr>
            <w:tcW w:w="621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Incorporated by Reference</w:t>
            </w:r>
            <w:r>
              <w:rPr>
                <w:rFonts w:ascii="Times New Roman" w:hAnsi="Times New Roman"/>
                <w:color w:val="000000"/>
                <w:sz w:val="16"/>
              </w:rPr>
              <w:t xml:space="preserve"> </w:t>
            </w:r>
          </w:p>
        </w:tc>
        <w:tc>
          <w:tcPr>
            <w:tcW w:w="9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br/>
              <w:t>Number</w:t>
            </w:r>
          </w:p>
        </w:tc>
        <w:tc>
          <w:tcPr>
            <w:tcW w:w="62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Form</w:t>
            </w:r>
            <w:r>
              <w:rPr>
                <w:rFonts w:ascii="Times New Roman" w:hAnsi="Times New Roman"/>
                <w:color w:val="000000"/>
                <w:sz w:val="16"/>
              </w:rPr>
              <w:t xml:space="preserve"> </w:t>
            </w:r>
          </w:p>
        </w:tc>
        <w:tc>
          <w:tcPr>
            <w:tcW w:w="4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File No.</w:t>
            </w:r>
            <w:r>
              <w:rPr>
                <w:rFonts w:ascii="Times New Roman" w:hAnsi="Times New Roman"/>
                <w:color w:val="000000"/>
                <w:sz w:val="16"/>
              </w:rPr>
              <w:t xml:space="preserve">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Filing</w:t>
              <w:br/>
              <w:t>Date</w:t>
            </w:r>
            <w:r>
              <w:rPr>
                <w:rFonts w:ascii="Times New Roman" w:hAnsi="Times New Roman"/>
                <w:color w:val="000000"/>
                <w:sz w:val="16"/>
              </w:rPr>
              <w:t xml:space="preserve"> </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tc>
        <w:tc>
          <w:tcPr>
            <w:tcW w:w="99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Filed/Furnished</w:t>
              <w:br/>
              <w:t>Herewith</w:t>
            </w:r>
            <w:r>
              <w:rPr>
                <w:rFonts w:ascii="Times New Roman" w:hAnsi="Times New Roman"/>
                <w:color w:val="000000"/>
                <w:sz w:val="16"/>
              </w:rPr>
              <w:t xml:space="preserve"> </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color w:val="000000"/>
              </w:rPr>
            </w:pPr>
            <w:r>
              <w:rPr>
                <w:color w:val="000000"/>
              </w:rPr>
              <w:t>  </w:t>
            </w:r>
            <w:r>
              <w:rPr>
                <w:rFonts w:ascii="Times New Roman" w:hAnsi="Times New Roman"/>
                <w:color w:val="000000"/>
                <w:sz w:val="20"/>
              </w:rPr>
              <w:t>31.1</w:t>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pPr>
            <w:hyperlink w:anchor="dawn-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hyperlink w:anchor="dawn-ex31_1.htm">
              <w:r>
                <w:rPr>
                  <w:rStyle w:val="InternetLink"/>
                  <w:rFonts w:ascii="Times New Roman" w:hAnsi="Times New Roman"/>
                  <w:color w:val="0000FF"/>
                  <w:sz w:val="20"/>
                </w:rPr>
                <w:t xml:space="preserve"> </w:t>
              </w:r>
            </w:hyperlink>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0"/>
              <w:jc w:val="left"/>
              <w:rPr/>
            </w:pPr>
            <w:r>
              <w:rPr/>
              <w:t>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color w:val="000000"/>
              </w:rPr>
            </w:pPr>
            <w:r>
              <w:rPr>
                <w:color w:val="000000"/>
              </w:rPr>
              <w:t>  </w:t>
            </w:r>
            <w:r>
              <w:rPr>
                <w:rFonts w:ascii="Times New Roman" w:hAnsi="Times New Roman"/>
                <w:color w:val="000000"/>
                <w:sz w:val="20"/>
              </w:rPr>
              <w:t>31.2</w:t>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pPr>
            <w:hyperlink w:anchor="dawn-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color w:val="000000"/>
              </w:rPr>
            </w:pPr>
            <w:r>
              <w:rPr>
                <w:color w:val="000000"/>
              </w:rPr>
              <w:t>  </w:t>
            </w:r>
            <w:r>
              <w:rPr>
                <w:rFonts w:ascii="Times New Roman" w:hAnsi="Times New Roman"/>
                <w:color w:val="000000"/>
                <w:sz w:val="20"/>
              </w:rPr>
              <w:t>32.1*</w:t>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pPr>
            <w:hyperlink w:anchor="dawn-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hyperlink w:anchor="dawn-ex32_1.htm">
              <w:r>
                <w:rPr>
                  <w:rStyle w:val="InternetLink"/>
                  <w:rFonts w:ascii="Times New Roman" w:hAnsi="Times New Roman"/>
                  <w:color w:val="0000FF"/>
                  <w:sz w:val="20"/>
                </w:rPr>
                <w:t xml:space="preserve"> </w:t>
              </w:r>
            </w:hyperlink>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color w:val="000000"/>
              </w:rPr>
            </w:pPr>
            <w:r>
              <w:rPr>
                <w:color w:val="000000"/>
              </w:rPr>
              <w:t>  </w:t>
            </w:r>
            <w:r>
              <w:rPr>
                <w:rFonts w:ascii="Times New Roman" w:hAnsi="Times New Roman"/>
                <w:color w:val="000000"/>
                <w:sz w:val="20"/>
              </w:rPr>
              <w:t>32.2*</w:t>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pPr>
            <w:hyperlink w:anchor="dawn-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101.INS</w:t>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101.SCH</w:t>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104</w:t>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jc w:val="center"/>
        <w:rPr>
          <w:rFonts w:ascii="Times New Roman" w:hAnsi="Times New Roman"/>
          <w:sz w:val="20"/>
        </w:rPr>
      </w:pPr>
      <w:bookmarkStart w:id="21" w:name="tx180355_20"/>
      <w:bookmarkEnd w:id="21"/>
      <w:r>
        <w:rPr>
          <w:rFonts w:ascii="Times New Roman" w:hAnsi="Times New Roman"/>
          <w:b/>
          <w:caps/>
          <w:color w:val="000000"/>
          <w:sz w:val="20"/>
        </w:rPr>
        <w:t>SIGNATURES</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tbl>
      <w:tblPr>
        <w:tblW w:w="7278" w:type="dxa"/>
        <w:jc w:val="left"/>
        <w:tblInd w:w="0" w:type="dxa"/>
        <w:tblLayout w:type="fixed"/>
        <w:tblCellMar>
          <w:top w:w="28" w:type="dxa"/>
          <w:left w:w="28" w:type="dxa"/>
          <w:bottom w:w="28" w:type="dxa"/>
          <w:right w:w="28" w:type="dxa"/>
        </w:tblCellMar>
      </w:tblPr>
      <w:tblGrid>
        <w:gridCol w:w="2086"/>
        <w:gridCol w:w="646"/>
        <w:gridCol w:w="4546"/>
      </w:tblGrid>
      <w:tr>
        <w:trPr/>
        <w:tc>
          <w:tcPr>
            <w:tcW w:w="208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5192"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DAY ONE BIOPHARMACEUTICALS, INC.</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Date: August 5, 2025</w:t>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w:t>
            </w:r>
          </w:p>
        </w:tc>
        <w:tc>
          <w:tcPr>
            <w:tcW w:w="454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Jeremy Bender, Ph.D., M.B.A.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Jeremy Bender, Ph.D., M.B.A.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ind w:left="0" w:right="0" w:firstLine="240"/>
              <w:jc w:val="left"/>
              <w:rPr>
                <w:rFonts w:ascii="Times New Roman" w:hAnsi="Times New Roman"/>
                <w:color w:val="000000"/>
                <w:sz w:val="20"/>
              </w:rPr>
            </w:pPr>
            <w:r>
              <w:rPr>
                <w:rFonts w:ascii="Times New Roman" w:hAnsi="Times New Roman"/>
                <w:color w:val="000000"/>
                <w:sz w:val="20"/>
              </w:rPr>
              <w:t>Chief Executive Officer and President</w:t>
            </w:r>
          </w:p>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Principal Executive Officer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Date: August 5, 2025</w:t>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w:t>
            </w:r>
          </w:p>
        </w:tc>
        <w:tc>
          <w:tcPr>
            <w:tcW w:w="454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Charles N. York II, M.B.A.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Charles N. York II, M.B.A.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ind w:left="0" w:right="0" w:firstLine="240"/>
              <w:jc w:val="left"/>
              <w:rPr>
                <w:rFonts w:ascii="Times New Roman" w:hAnsi="Times New Roman"/>
                <w:color w:val="000000"/>
                <w:sz w:val="20"/>
              </w:rPr>
            </w:pPr>
            <w:r>
              <w:rPr>
                <w:rFonts w:ascii="Times New Roman" w:hAnsi="Times New Roman"/>
                <w:color w:val="000000"/>
                <w:sz w:val="20"/>
              </w:rPr>
              <w:t>Chief Operating Officer and Chief Financial Officer</w:t>
            </w:r>
          </w:p>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spacing w:before="120" w:after="120"/>
        <w:jc w:val="right"/>
        <w:rPr>
          <w:rFonts w:ascii="Times New Roman" w:hAnsi="Times New Roman"/>
          <w:b/>
          <w:color w:val="000000"/>
          <w:sz w:val="20"/>
        </w:rPr>
      </w:pPr>
      <w:bookmarkStart w:id="22" w:name="dawn-ex31_1.htm"/>
      <w:bookmarkStart w:id="23" w:name="ksdawnex31_1"/>
      <w:bookmarkEnd w:id="22"/>
      <w:bookmarkEnd w:id="23"/>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RULE 13a-14(a) OR 15d-14(a) OF</w:t>
      </w:r>
    </w:p>
    <w:p>
      <w:pPr>
        <w:pStyle w:val="TextBody"/>
        <w:bidi w:val="0"/>
        <w:jc w:val="center"/>
        <w:rPr>
          <w:rFonts w:ascii="Times New Roman" w:hAnsi="Times New Roman"/>
          <w:b/>
          <w:color w:val="000000"/>
          <w:sz w:val="20"/>
        </w:rPr>
      </w:pPr>
      <w:r>
        <w:rPr>
          <w:rFonts w:ascii="Times New Roman" w:hAnsi="Times New Roman"/>
          <w:b/>
          <w:color w:val="000000"/>
          <w:sz w:val="20"/>
        </w:rPr>
        <w:t>THE SECURITIES EXCHANGE ACT OF 1934,</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 Jeremy Bender, certify that: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 I have reviewed this Quarterly Report on Form 10-Q of Day One Biopharmaceuticals, Inc.;</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086" w:type="dxa"/>
        <w:jc w:val="left"/>
        <w:tblInd w:w="0" w:type="dxa"/>
        <w:tblLayout w:type="fixed"/>
        <w:tblCellMar>
          <w:top w:w="28" w:type="dxa"/>
          <w:left w:w="28" w:type="dxa"/>
          <w:bottom w:w="28" w:type="dxa"/>
          <w:right w:w="28" w:type="dxa"/>
        </w:tblCellMar>
      </w:tblPr>
      <w:tblGrid>
        <w:gridCol w:w="1846"/>
        <w:gridCol w:w="335"/>
        <w:gridCol w:w="2905"/>
      </w:tblGrid>
      <w:tr>
        <w:trPr/>
        <w:tc>
          <w:tcPr>
            <w:tcW w:w="18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2025</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2905" w:type="dxa"/>
            <w:tcBorders>
              <w:bottom w:val="single" w:sz="6"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Jeremy Bender, Ph.D., M.B.A.</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Bender, Ph.D., M.B.A.</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 and President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jc w:val="right"/>
        <w:rPr>
          <w:rFonts w:ascii="Times New Roman" w:hAnsi="Times New Roman"/>
          <w:b/>
          <w:color w:val="000000"/>
          <w:sz w:val="20"/>
        </w:rPr>
      </w:pPr>
      <w:bookmarkStart w:id="24" w:name="dawn-ex31_2.htm"/>
      <w:bookmarkStart w:id="25" w:name="ksdawnex31_2"/>
      <w:bookmarkEnd w:id="24"/>
      <w:bookmarkEnd w:id="25"/>
      <w:r>
        <w:rPr>
          <w:rFonts w:ascii="Times New Roman" w:hAnsi="Times New Roman"/>
          <w:b/>
          <w:color w:val="000000"/>
          <w:sz w:val="20"/>
        </w:rPr>
        <w:t>Exhibit 31.2</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RULE 13a-14(a) OR 15d-14(a) OF</w:t>
      </w:r>
    </w:p>
    <w:p>
      <w:pPr>
        <w:pStyle w:val="TextBody"/>
        <w:bidi w:val="0"/>
        <w:jc w:val="center"/>
        <w:rPr>
          <w:rFonts w:ascii="Times New Roman" w:hAnsi="Times New Roman"/>
          <w:b/>
          <w:color w:val="000000"/>
          <w:sz w:val="20"/>
        </w:rPr>
      </w:pPr>
      <w:r>
        <w:rPr>
          <w:rFonts w:ascii="Times New Roman" w:hAnsi="Times New Roman"/>
          <w:b/>
          <w:color w:val="000000"/>
          <w:sz w:val="20"/>
        </w:rPr>
        <w:t>THE SECURITIES EXCHANGE ACT OF 1934,</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 Charles N. York II, certify that: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 I have reviewed this Quarterly Report on Form 10-Q of Day One Biopharmaceuticals, Inc.;</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7156" w:type="dxa"/>
        <w:jc w:val="left"/>
        <w:tblInd w:w="0" w:type="dxa"/>
        <w:tblLayout w:type="fixed"/>
        <w:tblCellMar>
          <w:top w:w="28" w:type="dxa"/>
          <w:left w:w="28" w:type="dxa"/>
          <w:bottom w:w="28" w:type="dxa"/>
          <w:right w:w="28" w:type="dxa"/>
        </w:tblCellMar>
      </w:tblPr>
      <w:tblGrid>
        <w:gridCol w:w="1846"/>
        <w:gridCol w:w="618"/>
        <w:gridCol w:w="4692"/>
      </w:tblGrid>
      <w:tr>
        <w:trPr/>
        <w:tc>
          <w:tcPr>
            <w:tcW w:w="18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692"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2025</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4692"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N. York II, M.B.A.</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N. York II, M.B.A.</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Operating Officer and 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pBdr>
          <w:bottom w:val="sing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jc w:val="right"/>
        <w:rPr>
          <w:rFonts w:ascii="Times New Roman" w:hAnsi="Times New Roman"/>
          <w:b/>
          <w:color w:val="000000"/>
          <w:sz w:val="20"/>
        </w:rPr>
      </w:pPr>
      <w:bookmarkStart w:id="26" w:name="dawn-ex32_1.htm"/>
      <w:bookmarkStart w:id="27" w:name="ksdawnex32_1"/>
      <w:bookmarkEnd w:id="26"/>
      <w:bookmarkEnd w:id="27"/>
      <w:r>
        <w:rPr>
          <w:rFonts w:ascii="Times New Roman" w:hAnsi="Times New Roman"/>
          <w:b/>
          <w:color w:val="000000"/>
          <w:sz w:val="20"/>
        </w:rPr>
        <w:t>Exhibit 32.1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 Jeremy Bender, Chief Executive Officer of Day One Biopharmaceuticals, Inc. (the “Company”), do hereby certify, pursuant to 18 U.S.C. Section 1350, as adopted pursuant to Section 906 of the Sarbanes-Oxley Act of 2002, that to the best of my knowledge: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 the Quarterly Report on Form 10-Q of the Company for the fiscal quarter ended June 30, 2025 (the “Report”) fully complies with the requirements of Section 13(a) or 15(d) of the Securities Exchange Act of 1934, as amended;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5191" w:type="dxa"/>
        <w:jc w:val="left"/>
        <w:tblInd w:w="0" w:type="dxa"/>
        <w:tblLayout w:type="fixed"/>
        <w:tblCellMar>
          <w:top w:w="28" w:type="dxa"/>
          <w:left w:w="28" w:type="dxa"/>
          <w:bottom w:w="28" w:type="dxa"/>
          <w:right w:w="28" w:type="dxa"/>
        </w:tblCellMar>
      </w:tblPr>
      <w:tblGrid>
        <w:gridCol w:w="1951"/>
        <w:gridCol w:w="342"/>
        <w:gridCol w:w="2898"/>
      </w:tblGrid>
      <w:tr>
        <w:trPr/>
        <w:tc>
          <w:tcPr>
            <w:tcW w:w="195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2025</w:t>
            </w:r>
          </w:p>
        </w:tc>
        <w:tc>
          <w:tcPr>
            <w:tcW w:w="3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2898"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Bender, Ph.D., M.B.A.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Bender, Ph.D., M.B.A.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 and President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jc w:val="right"/>
        <w:rPr>
          <w:rFonts w:ascii="Times New Roman" w:hAnsi="Times New Roman"/>
          <w:b/>
          <w:color w:val="000000"/>
          <w:sz w:val="20"/>
        </w:rPr>
      </w:pPr>
      <w:bookmarkStart w:id="28" w:name="dawn-ex32_2.htm"/>
      <w:bookmarkStart w:id="29" w:name="ksdawnex32_2"/>
      <w:bookmarkEnd w:id="28"/>
      <w:bookmarkEnd w:id="29"/>
      <w:r>
        <w:rPr>
          <w:rFonts w:ascii="Times New Roman" w:hAnsi="Times New Roman"/>
          <w:b/>
          <w:color w:val="000000"/>
          <w:sz w:val="20"/>
        </w:rPr>
        <w:t>Exhibit 32.2</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 Charles N. York II, Chief Financial Officer of Day One Biopharmaceuticals, Inc. (the “Company”), do hereby certify, pursuant to 18 U.S.C. Section 1350, as adopted pursuant to Section 906 of the Sarbanes-Oxley Act of 2002, that to the best of my knowledge: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 the Quarterly Report on Form 10-Q of the Company for the fiscal quarter ended June 30, 2025 (the “Report”) fully complies with the requirements of Section 13(a) or 15(d) of the Securities Exchange Act of 1934, as amended;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7261" w:type="dxa"/>
        <w:jc w:val="left"/>
        <w:tblInd w:w="0" w:type="dxa"/>
        <w:tblLayout w:type="fixed"/>
        <w:tblCellMar>
          <w:top w:w="28" w:type="dxa"/>
          <w:left w:w="28" w:type="dxa"/>
          <w:bottom w:w="28" w:type="dxa"/>
          <w:right w:w="28" w:type="dxa"/>
        </w:tblCellMar>
      </w:tblPr>
      <w:tblGrid>
        <w:gridCol w:w="1951"/>
        <w:gridCol w:w="618"/>
        <w:gridCol w:w="4692"/>
      </w:tblGrid>
      <w:tr>
        <w:trPr/>
        <w:tc>
          <w:tcPr>
            <w:tcW w:w="195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692"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2025</w:t>
            </w:r>
          </w:p>
        </w:tc>
        <w:tc>
          <w:tcPr>
            <w:tcW w:w="6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4692"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N. York II, M.B.A.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N. York II, M.B.A.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Operating Officer and 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 and Principal Accounting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76373</Words>
  <Characters>426749</Characters>
  <CharactersWithSpaces>503577</CharactersWithSpaces>
  <Paragraphs>6224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