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63"/>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40" w:lineRule="exact"/>
        <w:rPr>
          <w:sz w:val="24"/>
          <w:szCs w:val="24"/>
          <w:color w:val="auto"/>
        </w:rPr>
      </w:pPr>
    </w:p>
    <w:p>
      <w:pPr>
        <w:ind w:left="4824"/>
        <w:spacing w:after="0"/>
        <w:rPr>
          <w:sz w:val="20"/>
          <w:szCs w:val="20"/>
          <w:color w:val="auto"/>
        </w:rPr>
      </w:pPr>
      <w:r>
        <w:rPr>
          <w:rFonts w:ascii="Times New Roman" w:cs="Times New Roman" w:eastAsia="Times New Roman" w:hAnsi="Times New Roman"/>
          <w:sz w:val="22"/>
          <w:szCs w:val="22"/>
          <w:b w:val="1"/>
          <w:bCs w:val="1"/>
          <w:color w:val="auto"/>
        </w:rPr>
        <w:t>(Rule 14d-101)</w:t>
      </w:r>
    </w:p>
    <w:p>
      <w:pPr>
        <w:spacing w:after="0" w:line="178" w:lineRule="exact"/>
        <w:rPr>
          <w:sz w:val="24"/>
          <w:szCs w:val="24"/>
          <w:color w:val="auto"/>
        </w:rPr>
      </w:pPr>
    </w:p>
    <w:p>
      <w:pPr>
        <w:ind w:left="3644"/>
        <w:spacing w:after="0"/>
        <w:rPr>
          <w:sz w:val="20"/>
          <w:szCs w:val="20"/>
          <w:color w:val="auto"/>
        </w:rPr>
      </w:pPr>
      <w:r>
        <w:rPr>
          <w:rFonts w:ascii="Times New Roman" w:cs="Times New Roman" w:eastAsia="Times New Roman" w:hAnsi="Times New Roman"/>
          <w:sz w:val="22"/>
          <w:szCs w:val="22"/>
          <w:b w:val="1"/>
          <w:bCs w:val="1"/>
          <w:color w:val="auto"/>
        </w:rPr>
        <w:t>Solicitation/Recommendation Statement</w:t>
      </w:r>
    </w:p>
    <w:p>
      <w:pPr>
        <w:spacing w:after="0" w:line="8" w:lineRule="exact"/>
        <w:rPr>
          <w:sz w:val="24"/>
          <w:szCs w:val="24"/>
          <w:color w:val="auto"/>
        </w:rPr>
      </w:pPr>
    </w:p>
    <w:p>
      <w:pPr>
        <w:jc w:val="center"/>
        <w:ind w:right="-663"/>
        <w:spacing w:after="0"/>
        <w:rPr>
          <w:sz w:val="20"/>
          <w:szCs w:val="20"/>
          <w:color w:val="auto"/>
        </w:rPr>
      </w:pPr>
      <w:r>
        <w:rPr>
          <w:rFonts w:ascii="Times New Roman" w:cs="Times New Roman" w:eastAsia="Times New Roman" w:hAnsi="Times New Roman"/>
          <w:sz w:val="22"/>
          <w:szCs w:val="22"/>
          <w:b w:val="1"/>
          <w:bCs w:val="1"/>
          <w:color w:val="auto"/>
        </w:rPr>
        <w:t>under Section 14(d)(4) of the Securities Exchange Act of 1934</w:t>
      </w:r>
    </w:p>
    <w:p>
      <w:pPr>
        <w:jc w:val="center"/>
        <w:ind w:right="-663"/>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663"/>
        <w:spacing w:after="0"/>
        <w:rPr>
          <w:sz w:val="20"/>
          <w:szCs w:val="20"/>
          <w:color w:val="auto"/>
        </w:rPr>
      </w:pPr>
      <w:r>
        <w:rPr>
          <w:rFonts w:ascii="Times New Roman" w:cs="Times New Roman" w:eastAsia="Times New Roman" w:hAnsi="Times New Roman"/>
          <w:sz w:val="43"/>
          <w:szCs w:val="43"/>
          <w:b w:val="1"/>
          <w:bCs w:val="1"/>
          <w:color w:val="auto"/>
        </w:rPr>
        <w:t>Day One Biopharmaceuticals, Inc.</w:t>
      </w:r>
    </w:p>
    <w:p>
      <w:pPr>
        <w:spacing w:after="0" w:line="58" w:lineRule="exact"/>
        <w:rPr>
          <w:sz w:val="24"/>
          <w:szCs w:val="24"/>
          <w:color w:val="auto"/>
        </w:rPr>
      </w:pPr>
    </w:p>
    <w:p>
      <w:pPr>
        <w:ind w:left="4424"/>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663"/>
        <w:spacing w:after="0"/>
        <w:rPr>
          <w:sz w:val="20"/>
          <w:szCs w:val="20"/>
          <w:color w:val="auto"/>
        </w:rPr>
      </w:pPr>
      <w:r>
        <w:rPr>
          <w:rFonts w:ascii="Times New Roman" w:cs="Times New Roman" w:eastAsia="Times New Roman" w:hAnsi="Times New Roman"/>
          <w:sz w:val="43"/>
          <w:szCs w:val="43"/>
          <w:b w:val="1"/>
          <w:bCs w:val="1"/>
          <w:color w:val="auto"/>
        </w:rPr>
        <w:t>Day One Biopharmaceuticals, Inc.</w:t>
      </w:r>
    </w:p>
    <w:p>
      <w:pPr>
        <w:spacing w:after="0" w:line="58" w:lineRule="exact"/>
        <w:rPr>
          <w:sz w:val="24"/>
          <w:szCs w:val="24"/>
          <w:color w:val="auto"/>
        </w:rPr>
      </w:pPr>
    </w:p>
    <w:p>
      <w:pPr>
        <w:ind w:left="4084"/>
        <w:spacing w:after="0"/>
        <w:rPr>
          <w:sz w:val="20"/>
          <w:szCs w:val="20"/>
          <w:color w:val="auto"/>
        </w:rPr>
      </w:pPr>
      <w:r>
        <w:rPr>
          <w:rFonts w:ascii="Times New Roman" w:cs="Times New Roman" w:eastAsia="Times New Roman" w:hAnsi="Times New Roman"/>
          <w:sz w:val="18"/>
          <w:szCs w:val="18"/>
          <w:b w:val="1"/>
          <w:bCs w:val="1"/>
          <w:color w:val="auto"/>
        </w:rPr>
        <w:t>(Name of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663"/>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5" w:lineRule="exact"/>
        <w:rPr>
          <w:sz w:val="24"/>
          <w:szCs w:val="24"/>
          <w:color w:val="auto"/>
        </w:rPr>
      </w:pPr>
    </w:p>
    <w:p>
      <w:pPr>
        <w:jc w:val="center"/>
        <w:ind w:right="-6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63"/>
        <w:spacing w:after="0"/>
        <w:rPr>
          <w:sz w:val="20"/>
          <w:szCs w:val="20"/>
          <w:color w:val="auto"/>
        </w:rPr>
      </w:pPr>
      <w:r>
        <w:rPr>
          <w:rFonts w:ascii="Times New Roman" w:cs="Times New Roman" w:eastAsia="Times New Roman" w:hAnsi="Times New Roman"/>
          <w:sz w:val="18"/>
          <w:szCs w:val="18"/>
          <w:b w:val="1"/>
          <w:bCs w:val="1"/>
          <w:color w:val="auto"/>
        </w:rPr>
        <w:t>23954D 109</w:t>
      </w:r>
    </w:p>
    <w:p>
      <w:pPr>
        <w:spacing w:after="0" w:line="25" w:lineRule="exact"/>
        <w:rPr>
          <w:sz w:val="24"/>
          <w:szCs w:val="24"/>
          <w:color w:val="auto"/>
        </w:rPr>
      </w:pPr>
    </w:p>
    <w:p>
      <w:pPr>
        <w:jc w:val="center"/>
        <w:ind w:right="-663"/>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663"/>
        <w:spacing w:after="0"/>
        <w:rPr>
          <w:sz w:val="20"/>
          <w:szCs w:val="20"/>
          <w:color w:val="auto"/>
        </w:rPr>
      </w:pPr>
      <w:r>
        <w:rPr>
          <w:rFonts w:ascii="Times New Roman" w:cs="Times New Roman" w:eastAsia="Times New Roman" w:hAnsi="Times New Roman"/>
          <w:sz w:val="18"/>
          <w:szCs w:val="18"/>
          <w:b w:val="1"/>
          <w:bCs w:val="1"/>
          <w:color w:val="auto"/>
        </w:rPr>
        <w:t>Jeremy Bender</w:t>
      </w:r>
    </w:p>
    <w:p>
      <w:pPr>
        <w:spacing w:after="0" w:line="31" w:lineRule="exact"/>
        <w:rPr>
          <w:sz w:val="24"/>
          <w:szCs w:val="24"/>
          <w:color w:val="auto"/>
        </w:rPr>
      </w:pPr>
    </w:p>
    <w:p>
      <w:pPr>
        <w:jc w:val="center"/>
        <w:ind w:right="-663"/>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9" w:lineRule="exact"/>
        <w:rPr>
          <w:sz w:val="24"/>
          <w:szCs w:val="24"/>
          <w:color w:val="auto"/>
        </w:rPr>
      </w:pPr>
    </w:p>
    <w:p>
      <w:pPr>
        <w:jc w:val="center"/>
        <w:ind w:right="-663"/>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9" w:lineRule="exact"/>
        <w:rPr>
          <w:sz w:val="24"/>
          <w:szCs w:val="24"/>
          <w:color w:val="auto"/>
        </w:rPr>
      </w:pPr>
    </w:p>
    <w:p>
      <w:pPr>
        <w:jc w:val="center"/>
        <w:ind w:right="-663"/>
        <w:spacing w:after="0"/>
        <w:rPr>
          <w:sz w:val="20"/>
          <w:szCs w:val="20"/>
          <w:color w:val="auto"/>
        </w:rPr>
      </w:pPr>
      <w:r>
        <w:rPr>
          <w:rFonts w:ascii="Times New Roman" w:cs="Times New Roman" w:eastAsia="Times New Roman" w:hAnsi="Times New Roman"/>
          <w:sz w:val="18"/>
          <w:szCs w:val="18"/>
          <w:b w:val="1"/>
          <w:bCs w:val="1"/>
          <w:color w:val="auto"/>
        </w:rPr>
        <w:t>1800 Sierra Point Parkway, Suite 200</w:t>
      </w:r>
    </w:p>
    <w:p>
      <w:pPr>
        <w:spacing w:after="0" w:line="9" w:lineRule="exact"/>
        <w:rPr>
          <w:sz w:val="24"/>
          <w:szCs w:val="24"/>
          <w:color w:val="auto"/>
        </w:rPr>
      </w:pPr>
    </w:p>
    <w:p>
      <w:pPr>
        <w:jc w:val="center"/>
        <w:ind w:right="-663"/>
        <w:spacing w:after="0"/>
        <w:rPr>
          <w:sz w:val="20"/>
          <w:szCs w:val="20"/>
          <w:color w:val="auto"/>
        </w:rPr>
      </w:pPr>
      <w:r>
        <w:rPr>
          <w:rFonts w:ascii="Times New Roman" w:cs="Times New Roman" w:eastAsia="Times New Roman" w:hAnsi="Times New Roman"/>
          <w:sz w:val="18"/>
          <w:szCs w:val="18"/>
          <w:b w:val="1"/>
          <w:bCs w:val="1"/>
          <w:color w:val="auto"/>
        </w:rPr>
        <w:t>Brisbane, CA 94005</w:t>
      </w:r>
    </w:p>
    <w:p>
      <w:pPr>
        <w:spacing w:after="0" w:line="9" w:lineRule="exact"/>
        <w:rPr>
          <w:sz w:val="24"/>
          <w:szCs w:val="24"/>
          <w:color w:val="auto"/>
        </w:rPr>
      </w:pPr>
    </w:p>
    <w:p>
      <w:pPr>
        <w:jc w:val="center"/>
        <w:ind w:right="-663"/>
        <w:spacing w:after="0"/>
        <w:rPr>
          <w:sz w:val="20"/>
          <w:szCs w:val="20"/>
          <w:color w:val="auto"/>
        </w:rPr>
      </w:pPr>
      <w:r>
        <w:rPr>
          <w:rFonts w:ascii="Times New Roman" w:cs="Times New Roman" w:eastAsia="Times New Roman" w:hAnsi="Times New Roman"/>
          <w:sz w:val="18"/>
          <w:szCs w:val="18"/>
          <w:b w:val="1"/>
          <w:bCs w:val="1"/>
          <w:color w:val="auto"/>
        </w:rPr>
        <w:t>Telephone: (650) 484-0899</w:t>
      </w:r>
    </w:p>
    <w:p>
      <w:pPr>
        <w:jc w:val="center"/>
        <w:ind w:right="-663"/>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 and communications</w:t>
      </w:r>
    </w:p>
    <w:p>
      <w:pPr>
        <w:spacing w:after="0" w:line="1" w:lineRule="exact"/>
        <w:rPr>
          <w:sz w:val="24"/>
          <w:szCs w:val="24"/>
          <w:color w:val="auto"/>
        </w:rPr>
      </w:pPr>
    </w:p>
    <w:p>
      <w:pPr>
        <w:jc w:val="center"/>
        <w:ind w:right="-663"/>
        <w:spacing w:after="0"/>
        <w:rPr>
          <w:sz w:val="20"/>
          <w:szCs w:val="20"/>
          <w:color w:val="auto"/>
        </w:rPr>
      </w:pPr>
      <w:r>
        <w:rPr>
          <w:rFonts w:ascii="Times New Roman" w:cs="Times New Roman" w:eastAsia="Times New Roman" w:hAnsi="Times New Roman"/>
          <w:sz w:val="14"/>
          <w:szCs w:val="14"/>
          <w:b w:val="1"/>
          <w:bCs w:val="1"/>
          <w:color w:val="auto"/>
        </w:rPr>
        <w:t>on behalf of the persons filing statement)</w:t>
      </w:r>
    </w:p>
    <w:p>
      <w:pPr>
        <w:spacing w:after="0" w:line="188" w:lineRule="exact"/>
        <w:rPr>
          <w:sz w:val="24"/>
          <w:szCs w:val="24"/>
          <w:color w:val="auto"/>
        </w:rPr>
      </w:pPr>
    </w:p>
    <w:tbl>
      <w:tblPr>
        <w:tblLayout w:type="fixed"/>
        <w:tblInd w:w="1664"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59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r>
      <w:tr>
        <w:trPr>
          <w:trHeight w:val="315"/>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7"/>
              </w:rPr>
              <w:t>Effie Toshav, Esq.</w:t>
            </w:r>
          </w:p>
        </w:tc>
        <w:tc>
          <w:tcPr>
            <w:tcW w:w="592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Charles N. York II</w:t>
            </w:r>
          </w:p>
        </w:tc>
      </w:tr>
      <w:tr>
        <w:trPr>
          <w:trHeight w:val="216"/>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Douglas N. Cogen, Esq.</w:t>
            </w:r>
          </w:p>
        </w:tc>
        <w:tc>
          <w:tcPr>
            <w:tcW w:w="592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Chief Operating Officer and Chief Financial Officer</w:t>
            </w:r>
          </w:p>
        </w:tc>
      </w:tr>
      <w:tr>
        <w:trPr>
          <w:trHeight w:val="216"/>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David K. Michaels, Esq.</w:t>
            </w:r>
          </w:p>
        </w:tc>
        <w:tc>
          <w:tcPr>
            <w:tcW w:w="592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tc>
      </w:tr>
      <w:tr>
        <w:trPr>
          <w:trHeight w:val="216"/>
        </w:trPr>
        <w:tc>
          <w:tcPr>
            <w:tcW w:w="27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Robert A. Freedman, Esq.</w:t>
            </w:r>
          </w:p>
        </w:tc>
        <w:tc>
          <w:tcPr>
            <w:tcW w:w="592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1800 Sierra Point Parkway, Suite 200</w:t>
            </w:r>
          </w:p>
        </w:tc>
      </w:tr>
      <w:tr>
        <w:trPr>
          <w:trHeight w:val="216"/>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Julia Forbess, Esq.</w:t>
            </w:r>
          </w:p>
        </w:tc>
        <w:tc>
          <w:tcPr>
            <w:tcW w:w="592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8"/>
              </w:rPr>
              <w:t>Brisbane, CA 94005</w:t>
            </w:r>
          </w:p>
        </w:tc>
      </w:tr>
      <w:tr>
        <w:trPr>
          <w:trHeight w:val="216"/>
        </w:trPr>
        <w:tc>
          <w:tcPr>
            <w:tcW w:w="27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Fenwick &amp; West LLP</w:t>
            </w:r>
          </w:p>
        </w:tc>
        <w:tc>
          <w:tcPr>
            <w:tcW w:w="592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(650) 484-0899</w:t>
            </w:r>
          </w:p>
        </w:tc>
      </w:tr>
      <w:tr>
        <w:trPr>
          <w:trHeight w:val="216"/>
        </w:trPr>
        <w:tc>
          <w:tcPr>
            <w:tcW w:w="27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One Front Street, 33rd Floor</w:t>
            </w:r>
          </w:p>
        </w:tc>
        <w:tc>
          <w:tcPr>
            <w:tcW w:w="5920" w:type="dxa"/>
            <w:vAlign w:val="bottom"/>
          </w:tcPr>
          <w:p>
            <w:pPr>
              <w:spacing w:after="0"/>
              <w:rPr>
                <w:sz w:val="18"/>
                <w:szCs w:val="18"/>
                <w:color w:val="auto"/>
              </w:rPr>
            </w:pPr>
          </w:p>
        </w:tc>
      </w:tr>
      <w:tr>
        <w:trPr>
          <w:trHeight w:val="238"/>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San Francisco, CA 94111</w:t>
            </w:r>
          </w:p>
        </w:tc>
        <w:tc>
          <w:tcPr>
            <w:tcW w:w="5920" w:type="dxa"/>
            <w:vAlign w:val="bottom"/>
          </w:tcPr>
          <w:p>
            <w:pPr>
              <w:spacing w:after="0"/>
              <w:rPr>
                <w:sz w:val="20"/>
                <w:szCs w:val="20"/>
                <w:color w:val="auto"/>
              </w:rPr>
            </w:pPr>
          </w:p>
        </w:tc>
      </w:tr>
    </w:tbl>
    <w:p>
      <w:pPr>
        <w:ind w:left="2644" w:hanging="425"/>
        <w:spacing w:after="0"/>
        <w:tabs>
          <w:tab w:leader="none" w:pos="2644"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875-2300</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52"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below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-307975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344"/>
          </w:cols>
          <w:pgMar w:left="436" w:top="376" w:right="1119" w:bottom="1440" w:gutter="0" w:footer="0" w:header="0"/>
        </w:sectPr>
      </w:pPr>
    </w:p>
    <w:bookmarkStart w:id="1" w:name="page2"/>
    <w:bookmarkEnd w:id="1"/>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3 (this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to Schedule 14D-9 amends and supplements the Solicitation/ Recommendation Statement on Schedule 14D-9 previously filed by Day One Biopharmaceuticals, Inc., a Delaware corporation (“</w:t>
      </w:r>
      <w:r>
        <w:rPr>
          <w:rFonts w:ascii="Times New Roman" w:cs="Times New Roman" w:eastAsia="Times New Roman" w:hAnsi="Times New Roman"/>
          <w:sz w:val="18"/>
          <w:szCs w:val="18"/>
          <w:i w:val="1"/>
          <w:iCs w:val="1"/>
          <w:color w:val="auto"/>
        </w:rPr>
        <w:t>Day One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March 26, 2026 (together with any amendments and supplements thereto, the “</w:t>
      </w:r>
      <w:r>
        <w:rPr>
          <w:rFonts w:ascii="Times New Roman" w:cs="Times New Roman" w:eastAsia="Times New Roman" w:hAnsi="Times New Roman"/>
          <w:sz w:val="18"/>
          <w:szCs w:val="18"/>
          <w:i w:val="1"/>
          <w:iCs w:val="1"/>
          <w:color w:val="auto"/>
        </w:rPr>
        <w:t>Schedule 14D-9</w:t>
      </w:r>
      <w:r>
        <w:rPr>
          <w:rFonts w:ascii="Times New Roman" w:cs="Times New Roman" w:eastAsia="Times New Roman" w:hAnsi="Times New Roman"/>
          <w:sz w:val="18"/>
          <w:szCs w:val="18"/>
          <w:color w:val="auto"/>
        </w:rPr>
        <w:t>”), relating to the cash tender offer (the “</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 by Servier Detroit Inc. (“</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a Delaware corporation and a direct wholly owned subsidiary of Servier Pharmaceuticals LLC, a Delaware limited liability company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xml:space="preserve">”), which is an indirect wholly owned subsidiary of Servier S.A.S., a French </w:t>
      </w:r>
      <w:r>
        <w:rPr>
          <w:rFonts w:ascii="Times New Roman" w:cs="Times New Roman" w:eastAsia="Times New Roman" w:hAnsi="Times New Roman"/>
          <w:sz w:val="18"/>
          <w:szCs w:val="18"/>
          <w:i w:val="1"/>
          <w:iCs w:val="1"/>
          <w:color w:val="auto"/>
        </w:rPr>
        <w:t xml:space="preserve">société par actions simplifiée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Servier</w:t>
      </w:r>
      <w:r>
        <w:rPr>
          <w:rFonts w:ascii="Times New Roman" w:cs="Times New Roman" w:eastAsia="Times New Roman" w:hAnsi="Times New Roman"/>
          <w:sz w:val="18"/>
          <w:szCs w:val="18"/>
          <w:color w:val="auto"/>
        </w:rPr>
        <w:t>” and together with Purchaser and Parent, the “</w:t>
      </w:r>
      <w:r>
        <w:rPr>
          <w:rFonts w:ascii="Times New Roman" w:cs="Times New Roman" w:eastAsia="Times New Roman" w:hAnsi="Times New Roman"/>
          <w:sz w:val="18"/>
          <w:szCs w:val="18"/>
          <w:i w:val="1"/>
          <w:iCs w:val="1"/>
          <w:color w:val="auto"/>
        </w:rPr>
        <w:t>Servier Parties</w:t>
      </w:r>
      <w:r>
        <w:rPr>
          <w:rFonts w:ascii="Times New Roman" w:cs="Times New Roman" w:eastAsia="Times New Roman" w:hAnsi="Times New Roman"/>
          <w:sz w:val="18"/>
          <w:szCs w:val="18"/>
          <w:color w:val="auto"/>
        </w:rPr>
        <w:t>”), to purchase all of the issued and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Day One’s common stock, par value $0.0001 per share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at a purchase price of $21.50 per Share (the “</w:t>
      </w:r>
      <w:r>
        <w:rPr>
          <w:rFonts w:ascii="Times New Roman" w:cs="Times New Roman" w:eastAsia="Times New Roman" w:hAnsi="Times New Roman"/>
          <w:sz w:val="18"/>
          <w:szCs w:val="18"/>
          <w:i w:val="1"/>
          <w:iCs w:val="1"/>
          <w:color w:val="auto"/>
        </w:rPr>
        <w:t>Offer Price</w:t>
      </w:r>
      <w:r>
        <w:rPr>
          <w:rFonts w:ascii="Times New Roman" w:cs="Times New Roman" w:eastAsia="Times New Roman" w:hAnsi="Times New Roman"/>
          <w:sz w:val="18"/>
          <w:szCs w:val="18"/>
          <w:color w:val="auto"/>
        </w:rPr>
        <w:t>”), net to the seller in cash, without interest thereon and less any applicable tax withholding, upon the terms and subject to the conditions set forth in the Offer to Purchase, dated as of March 26, 2026 (as may be amended or supplemented from time to time, the “</w:t>
      </w:r>
      <w:r>
        <w:rPr>
          <w:rFonts w:ascii="Times New Roman" w:cs="Times New Roman" w:eastAsia="Times New Roman" w:hAnsi="Times New Roman"/>
          <w:sz w:val="18"/>
          <w:szCs w:val="18"/>
          <w:i w:val="1"/>
          <w:iCs w:val="1"/>
          <w:color w:val="auto"/>
        </w:rPr>
        <w:t>Offer to Purchase</w:t>
      </w:r>
      <w:r>
        <w:rPr>
          <w:rFonts w:ascii="Times New Roman" w:cs="Times New Roman" w:eastAsia="Times New Roman" w:hAnsi="Times New Roman"/>
          <w:sz w:val="18"/>
          <w:szCs w:val="18"/>
          <w:color w:val="auto"/>
        </w:rPr>
        <w:t>”) and the related Letter of Transmittal (as may be amended or supplemented from time to time, the “</w:t>
      </w:r>
      <w:r>
        <w:rPr>
          <w:rFonts w:ascii="Times New Roman" w:cs="Times New Roman" w:eastAsia="Times New Roman" w:hAnsi="Times New Roman"/>
          <w:sz w:val="18"/>
          <w:szCs w:val="18"/>
          <w:i w:val="1"/>
          <w:iCs w:val="1"/>
          <w:color w:val="auto"/>
        </w:rPr>
        <w:t>Letter of Transmittal</w:t>
      </w:r>
      <w:r>
        <w:rPr>
          <w:rFonts w:ascii="Times New Roman" w:cs="Times New Roman" w:eastAsia="Times New Roman" w:hAnsi="Times New Roman"/>
          <w:sz w:val="18"/>
          <w:szCs w:val="18"/>
          <w:color w:val="auto"/>
        </w:rPr>
        <w:t>”), and pursuant to the Agreement and Plan of Merger, dated as of March 6, 2026 (as it may be amended from time to time, the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and the transactions contemplated therein, the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by and among Day One, Parent, Purchaser, and Servier.</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this Amendment, the information set forth in the Schedule 14D-9 remains unchanged and is incorporated herein by reference to the extent relevant to the items in this Amendment. Capitalized terms used but not defined herein have the meanings ascribed to them in the Schedule 14D-9.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8. Additional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of the Schedule 14D-9 is hereby amended and supplemented by adding the following section after the last paragraph: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Expiration of Offering Period; Completion of Merger</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Offer expired at one minute following 11:59 p.m., Eastern Time, on April 22, 2026 (the “</w:t>
      </w:r>
      <w:r>
        <w:rPr>
          <w:rFonts w:ascii="Times New Roman" w:cs="Times New Roman" w:eastAsia="Times New Roman" w:hAnsi="Times New Roman"/>
          <w:sz w:val="18"/>
          <w:szCs w:val="18"/>
          <w:i w:val="1"/>
          <w:iCs w:val="1"/>
          <w:color w:val="auto"/>
        </w:rPr>
        <w:t>Expiration Time</w:t>
      </w:r>
      <w:r>
        <w:rPr>
          <w:rFonts w:ascii="Times New Roman" w:cs="Times New Roman" w:eastAsia="Times New Roman" w:hAnsi="Times New Roman"/>
          <w:sz w:val="18"/>
          <w:szCs w:val="18"/>
          <w:color w:val="auto"/>
        </w:rPr>
        <w:t>”), and was not extended. According to Computershare Trust Company, N.A., the depositary for the Offer, as of the Expiration Time, 88,180,910 Shares, representing approximately 85.34% of the issued and outstanding Shares as of the Expiration Time, had been validly tendered and not properly withdrawn. As of the Expiration Time, the number of Shares validly tendered and not properly withdrawn pursuant to the Offer satisfied the Minimum Tender Condition.</w:t>
      </w:r>
    </w:p>
    <w:p>
      <w:pPr>
        <w:spacing w:after="0" w:line="18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Purchaser has accepted for payment, and will promptly pay for, all Shares that were validly tendered and not properly withdrawn pursuant to the Offer prior to the Expiration Time.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23, 2026, the Servier Parties completed the acquisition of the Company pursuant to the terms of the Merger Agreement, through the merger of Purchaser with and into the Company in accordance with Section 251(h) of the DGCL, with the Company continuing as the surviving corporation in the Merger and thereby becoming a wholly owned subsidiary of Parent. At the Effective Time of the Merger, each issued and outstanding Share not tendered into the Offer (other than any Shares owned by the Company or the Servier Parties or held by any stockholders of the Company who were entitled to and who properly exercised appraisal rights in accordance with the DGCL) was automatically converted into the right to receive the Offer Price.</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Shares ceased to trade on Nasdaq prior to the commencement of trading on April 23, 2026, and the Company has requested that Nasdaq file a Notification of Removal from Listing and/or Registration under Section 12(b) of the Exchange Act on Form 25 to delist and deregister the Shares. Parent and the Company intend to file a certification and notice of termination of registration on Form 15 with the SEC requesting the termination of registration of the Shares under Section 12(g) of the Exchange Act and the suspension of reporting obligations under Section 13 and 15(d) of the Exchange Act with respect to the Shares and take steps to cause the termination of the registration of the Shares under the Exchange Act and suspend all of the Company’s reporting obligations under the Exchange Act as promptly as practicable.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68"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Amendment No. 3 to Schedule 14D-9 is true, complete and correct.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4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23, 2026</w:t>
            </w:r>
          </w:p>
        </w:tc>
        <w:tc>
          <w:tcPr>
            <w:tcW w:w="74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Charles N. York II, M.B.A.</w:t>
            </w:r>
          </w:p>
        </w:tc>
      </w:tr>
      <w:tr>
        <w:trPr>
          <w:trHeight w:val="191"/>
        </w:trPr>
        <w:tc>
          <w:tcPr>
            <w:tcW w:w="3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Charles N. York II, M.B.A.</w:t>
            </w:r>
          </w:p>
        </w:tc>
      </w:tr>
      <w:tr>
        <w:trPr>
          <w:trHeight w:val="234"/>
        </w:trPr>
        <w:tc>
          <w:tcPr>
            <w:tcW w:w="3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Chief Operating Officer and Chief Financial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2)"/>
      <w:numFmt w:val="decimal"/>
      <w:start w:val="41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2026-04-23T07:41:24Z</dcterms:created>
  <dcterms:modified xsi:type="dcterms:W3CDTF">2026-04-23T07:41:24Z</dcterms:modified>
</cp:coreProperties>
</file>