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awn-20240630.htm"/>
      <w:bookmarkStart w:id="1" w:name="ksdawn20240630"/>
      <w:bookmarkEnd w:id="0"/>
      <w:bookmarkEnd w:id="1"/>
      <w:r>
        <w:rPr/>
        <w:t> </w:t>
      </w:r>
    </w:p>
    <w:p>
      <w:pPr>
        <w:pStyle w:val="TextBody"/>
        <w:pBdr>
          <w:top w:val="double" w:sz="6" w:space="1" w:color="000000"/>
        </w:pBdr>
        <w:bidi w:val="0"/>
        <w:jc w:val="center"/>
        <w:rPr>
          <w:rFonts w:ascii="Times New Roman" w:hAnsi="Times New Roman"/>
          <w:b/>
          <w:color w:val="000000"/>
          <w:sz w:val="2"/>
        </w:rPr>
      </w:pPr>
      <w:r>
        <w:rPr>
          <w:rFonts w:ascii="Times New Roman" w:hAnsi="Times New Roman"/>
          <w:b/>
          <w:color w:val="000000"/>
          <w:sz w:val="2"/>
        </w:rPr>
        <w:t>f</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 June 30, 2024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001-40431</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6"/>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217" w:type="dxa"/>
        <w:jc w:val="left"/>
        <w:tblInd w:w="0" w:type="dxa"/>
        <w:tblLayout w:type="fixed"/>
        <w:tblCellMar>
          <w:top w:w="28" w:type="dxa"/>
          <w:left w:w="28" w:type="dxa"/>
          <w:bottom w:w="28" w:type="dxa"/>
          <w:right w:w="28" w:type="dxa"/>
        </w:tblCellMar>
      </w:tblPr>
      <w:tblGrid>
        <w:gridCol w:w="2971"/>
        <w:gridCol w:w="1246"/>
      </w:tblGrid>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83-2415215</w:t>
            </w:r>
          </w:p>
        </w:tc>
      </w:tr>
      <w:tr>
        <w:trPr/>
        <w:tc>
          <w:tcPr>
            <w:tcW w:w="297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2000 Sierra Point Parkway, Suite 501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Brisbane, CA</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94005</w:t>
            </w:r>
          </w:p>
        </w:tc>
      </w:tr>
      <w:tr>
        <w:trPr/>
        <w:tc>
          <w:tcPr>
            <w:tcW w:w="297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(650) 484-0899</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jc w:val="center"/>
        <w:rPr>
          <w:rFonts w:ascii="Times New Roman" w:hAnsi="Times New Roman"/>
          <w:sz w:val="20"/>
        </w:rPr>
      </w:pPr>
      <w:r>
        <w:rPr>
          <w:rFonts w:ascii="Times New Roman" w:hAnsi="Times New Roman"/>
          <w:b/>
          <w:color w:val="000000"/>
          <w:sz w:val="14"/>
        </w:rPr>
        <w:t>(Former name, former address and former fiscal year, if changed since last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308" w:type="dxa"/>
        <w:jc w:val="left"/>
        <w:tblInd w:w="0" w:type="dxa"/>
        <w:tblLayout w:type="fixed"/>
        <w:tblCellMar>
          <w:top w:w="28" w:type="dxa"/>
          <w:left w:w="28" w:type="dxa"/>
          <w:bottom w:w="28" w:type="dxa"/>
          <w:right w:w="28" w:type="dxa"/>
        </w:tblCellMar>
      </w:tblPr>
      <w:tblGrid>
        <w:gridCol w:w="3526"/>
        <w:gridCol w:w="1081"/>
        <w:gridCol w:w="2701"/>
      </w:tblGrid>
      <w:tr>
        <w:trPr/>
        <w:tc>
          <w:tcPr>
            <w:tcW w:w="35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2701" w:type="dxa"/>
            <w:tcBorders/>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5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10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DAWN</w:t>
            </w:r>
          </w:p>
        </w:tc>
        <w:tc>
          <w:tcPr>
            <w:tcW w:w="2701" w:type="dxa"/>
            <w:tcBorders/>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July 31, 2024,</w:t>
      </w:r>
      <w:r>
        <w:rPr>
          <w:rFonts w:ascii="Times New Roman" w:hAnsi="Times New Roman"/>
          <w:color w:val="000000"/>
          <w:sz w:val="20"/>
        </w:rPr>
        <w:t xml:space="preserve"> </w:t>
      </w:r>
      <w:r>
        <w:rPr>
          <w:rFonts w:ascii="Times New Roman" w:hAnsi="Times New Roman"/>
          <w:color w:val="000000"/>
          <w:sz w:val="18"/>
        </w:rPr>
        <w:t>the registrant had 87,760,456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 (tovorafenib) and our product candidates, potential therapeutic benefits and economic value of OJEMDA and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actual or perceived instability in the global banking system, uncertainty with respect to the federal debt ceiling and budget and potential government shutdowns related thereto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used in this Quarterly Report on Form 10-Q, the terms “Day One,” “the Company,” “we,” “us,” and “our” refer to Day One Biopharmaceuticals, Inc., a Delaware corporation. “Day One” and all product and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708" w:type="dxa"/>
        <w:jc w:val="left"/>
        <w:tblInd w:w="0" w:type="dxa"/>
        <w:tblLayout w:type="fixed"/>
        <w:tblCellMar>
          <w:top w:w="28" w:type="dxa"/>
          <w:left w:w="28" w:type="dxa"/>
          <w:bottom w:w="28" w:type="dxa"/>
          <w:right w:w="28" w:type="dxa"/>
        </w:tblCellMar>
      </w:tblPr>
      <w:tblGrid>
        <w:gridCol w:w="1126"/>
        <w:gridCol w:w="8011"/>
        <w:gridCol w:w="571"/>
      </w:tblGrid>
      <w:tr>
        <w:trPr/>
        <w:tc>
          <w:tcPr>
            <w:tcW w:w="112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01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126" w:type="dxa"/>
            <w:tcBorders/>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011" w:type="dxa"/>
            <w:tcBorders/>
            <w:vAlign w:val="center"/>
          </w:tcPr>
          <w:p>
            <w:pPr>
              <w:pStyle w:val="TableContents"/>
              <w:pBdr/>
              <w:bidi w:val="0"/>
              <w:spacing w:before="0" w:after="283"/>
              <w:ind w:left="0" w:right="0" w:hanging="240"/>
              <w:jc w:val="left"/>
              <w:rPr/>
            </w:pPr>
            <w:hyperlink w:anchor="tx180355_1">
              <w:r>
                <w:rPr>
                  <w:rStyle w:val="InternetLink"/>
                  <w:rFonts w:ascii="Times New Roman" w:hAnsi="Times New Roman"/>
                  <w:color w:val="0000FF"/>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011" w:type="dxa"/>
            <w:tcBorders/>
            <w:vAlign w:val="center"/>
          </w:tcPr>
          <w:p>
            <w:pPr>
              <w:pStyle w:val="TableContents"/>
              <w:pBdr/>
              <w:bidi w:val="0"/>
              <w:spacing w:before="0" w:after="283"/>
              <w:ind w:left="0" w:right="0" w:hanging="240"/>
              <w:jc w:val="left"/>
              <w:rPr/>
            </w:pPr>
            <w:hyperlink w:anchor="tx180355_2">
              <w:r>
                <w:rPr>
                  <w:rStyle w:val="InternetLink"/>
                  <w:rFonts w:ascii="Times New Roman" w:hAnsi="Times New Roman"/>
                  <w:color w:val="0000FF"/>
                  <w:sz w:val="20"/>
                  <w:u w:val="single"/>
                </w:rPr>
                <w:t>Interim Condensed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11" w:type="dxa"/>
            <w:tcBorders/>
            <w:vAlign w:val="center"/>
          </w:tcPr>
          <w:p>
            <w:pPr>
              <w:pStyle w:val="TableContents"/>
              <w:pBdr/>
              <w:bidi w:val="0"/>
              <w:spacing w:before="0" w:after="283"/>
              <w:ind w:left="0" w:right="0" w:hanging="240"/>
              <w:jc w:val="left"/>
              <w:rPr/>
            </w:pPr>
            <w:hyperlink w:anchor="tx180355_3">
              <w:r>
                <w:rPr>
                  <w:rStyle w:val="InternetLink"/>
                  <w:rFonts w:ascii="Times New Roman" w:hAnsi="Times New Roman"/>
                  <w:color w:val="0000FF"/>
                  <w:sz w:val="20"/>
                  <w:u w:val="single"/>
                </w:rPr>
                <w:t>Condensed Balance Sheets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11" w:type="dxa"/>
            <w:tcBorders/>
            <w:vAlign w:val="center"/>
          </w:tcPr>
          <w:p>
            <w:pPr>
              <w:pStyle w:val="TableContents"/>
              <w:pBdr/>
              <w:bidi w:val="0"/>
              <w:spacing w:before="0" w:after="283"/>
              <w:ind w:left="0" w:right="0" w:hanging="240"/>
              <w:jc w:val="left"/>
              <w:rPr/>
            </w:pPr>
            <w:hyperlink w:anchor="tx180355_4">
              <w:r>
                <w:rPr>
                  <w:rStyle w:val="InternetLink"/>
                  <w:rFonts w:ascii="Times New Roman" w:hAnsi="Times New Roman"/>
                  <w:color w:val="0000FF"/>
                  <w:sz w:val="20"/>
                  <w:u w:val="single"/>
                </w:rPr>
                <w:t>Condensed Statements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011" w:type="dxa"/>
            <w:tcBorders/>
            <w:vAlign w:val="center"/>
          </w:tcPr>
          <w:p>
            <w:pPr>
              <w:pStyle w:val="TableContents"/>
              <w:pBdr/>
              <w:bidi w:val="0"/>
              <w:spacing w:before="0" w:after="283"/>
              <w:ind w:left="0" w:right="0" w:hanging="240"/>
              <w:jc w:val="left"/>
              <w:rPr/>
            </w:pPr>
            <w:hyperlink w:anchor="condensed_consolidated_socl">
              <w:r>
                <w:rPr>
                  <w:rStyle w:val="InternetLink"/>
                  <w:rFonts w:ascii="Times New Roman" w:hAnsi="Times New Roman"/>
                  <w:color w:val="0000FF"/>
                  <w:sz w:val="20"/>
                  <w:u w:val="single"/>
                </w:rPr>
                <w:t>Condensed Statements of Comprehensive Loss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11" w:type="dxa"/>
            <w:tcBorders/>
            <w:vAlign w:val="center"/>
          </w:tcPr>
          <w:p>
            <w:pPr>
              <w:pStyle w:val="TableContents"/>
              <w:pBdr/>
              <w:bidi w:val="0"/>
              <w:spacing w:before="0" w:after="283"/>
              <w:ind w:left="0" w:right="0" w:hanging="240"/>
              <w:jc w:val="left"/>
              <w:rPr/>
            </w:pPr>
            <w:hyperlink w:anchor="tx180355_6">
              <w:r>
                <w:rPr>
                  <w:rStyle w:val="InternetLink"/>
                  <w:rFonts w:ascii="Times New Roman" w:hAnsi="Times New Roman"/>
                  <w:color w:val="0000FF"/>
                  <w:sz w:val="20"/>
                  <w:u w:val="single"/>
                </w:rPr>
                <w:t>Condensed Statements of Stockholders’ Equity</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11" w:type="dxa"/>
            <w:tcBorders/>
            <w:vAlign w:val="center"/>
          </w:tcPr>
          <w:p>
            <w:pPr>
              <w:pStyle w:val="TableContents"/>
              <w:pBdr/>
              <w:bidi w:val="0"/>
              <w:spacing w:before="0" w:after="283"/>
              <w:ind w:left="0" w:right="0" w:hanging="240"/>
              <w:jc w:val="left"/>
              <w:rPr/>
            </w:pPr>
            <w:hyperlink w:anchor="tx180355_7">
              <w:r>
                <w:rPr>
                  <w:rStyle w:val="InternetLink"/>
                  <w:rFonts w:ascii="Times New Roman" w:hAnsi="Times New Roman"/>
                  <w:color w:val="0000FF"/>
                  <w:sz w:val="20"/>
                  <w:u w:val="single"/>
                </w:rPr>
                <w:t>Condensed Statements of Cash Flows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11" w:type="dxa"/>
            <w:tcBorders/>
            <w:vAlign w:val="center"/>
          </w:tcPr>
          <w:p>
            <w:pPr>
              <w:pStyle w:val="TableContents"/>
              <w:pBdr/>
              <w:bidi w:val="0"/>
              <w:spacing w:before="0" w:after="283"/>
              <w:ind w:left="0" w:right="0" w:hanging="240"/>
              <w:jc w:val="left"/>
              <w:rPr/>
            </w:pPr>
            <w:hyperlink w:anchor="tx180355_8">
              <w:r>
                <w:rPr>
                  <w:rStyle w:val="InternetLink"/>
                  <w:rFonts w:ascii="Times New Roman" w:hAnsi="Times New Roman"/>
                  <w:color w:val="0000FF"/>
                  <w:sz w:val="20"/>
                  <w:u w:val="single"/>
                </w:rPr>
                <w:t>Notes to Condensed Financial Statements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011" w:type="dxa"/>
            <w:tcBorders/>
            <w:vAlign w:val="center"/>
          </w:tcPr>
          <w:p>
            <w:pPr>
              <w:pStyle w:val="TableContents"/>
              <w:pBdr/>
              <w:bidi w:val="0"/>
              <w:spacing w:before="0" w:after="283"/>
              <w:ind w:left="0" w:right="0" w:hanging="240"/>
              <w:jc w:val="left"/>
              <w:rPr/>
            </w:pPr>
            <w:hyperlink w:anchor="tx180355_9">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011" w:type="dxa"/>
            <w:tcBorders/>
            <w:vAlign w:val="center"/>
          </w:tcPr>
          <w:p>
            <w:pPr>
              <w:pStyle w:val="TableContents"/>
              <w:pBdr/>
              <w:bidi w:val="0"/>
              <w:spacing w:before="0" w:after="283"/>
              <w:ind w:left="0" w:right="0" w:hanging="240"/>
              <w:jc w:val="left"/>
              <w:rPr/>
            </w:pPr>
            <w:hyperlink w:anchor="tx180355_10">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011" w:type="dxa"/>
            <w:tcBorders/>
            <w:vAlign w:val="center"/>
          </w:tcPr>
          <w:p>
            <w:pPr>
              <w:pStyle w:val="TableContents"/>
              <w:pBdr/>
              <w:bidi w:val="0"/>
              <w:spacing w:before="0" w:after="283"/>
              <w:ind w:left="0" w:right="0" w:hanging="240"/>
              <w:jc w:val="left"/>
              <w:rPr/>
            </w:pPr>
            <w:hyperlink w:anchor="tx180355_11">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r>
        <w:trPr/>
        <w:tc>
          <w:tcPr>
            <w:tcW w:w="1126" w:type="dxa"/>
            <w:tcBorders/>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011" w:type="dxa"/>
            <w:tcBorders/>
            <w:vAlign w:val="center"/>
          </w:tcPr>
          <w:p>
            <w:pPr>
              <w:pStyle w:val="TableContents"/>
              <w:pBdr/>
              <w:bidi w:val="0"/>
              <w:spacing w:before="0" w:after="283"/>
              <w:ind w:left="0" w:right="0" w:hanging="240"/>
              <w:jc w:val="left"/>
              <w:rPr/>
            </w:pPr>
            <w:hyperlink w:anchor="tx180355_12">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011" w:type="dxa"/>
            <w:tcBorders/>
            <w:vAlign w:val="center"/>
          </w:tcPr>
          <w:p>
            <w:pPr>
              <w:pStyle w:val="TableContents"/>
              <w:pBdr/>
              <w:bidi w:val="0"/>
              <w:spacing w:before="0" w:after="283"/>
              <w:ind w:left="0" w:right="0" w:hanging="240"/>
              <w:jc w:val="left"/>
              <w:rPr/>
            </w:pPr>
            <w:hyperlink w:anchor="tx180355_13">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011" w:type="dxa"/>
            <w:tcBorders/>
            <w:vAlign w:val="center"/>
          </w:tcPr>
          <w:p>
            <w:pPr>
              <w:pStyle w:val="TableContents"/>
              <w:pBdr/>
              <w:bidi w:val="0"/>
              <w:spacing w:before="0" w:after="283"/>
              <w:ind w:left="0" w:right="0" w:hanging="240"/>
              <w:jc w:val="left"/>
              <w:rPr/>
            </w:pPr>
            <w:hyperlink w:anchor="tx180355_14">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011" w:type="dxa"/>
            <w:tcBorders/>
            <w:vAlign w:val="center"/>
          </w:tcPr>
          <w:p>
            <w:pPr>
              <w:pStyle w:val="TableContents"/>
              <w:pBdr/>
              <w:bidi w:val="0"/>
              <w:spacing w:before="0" w:after="283"/>
              <w:ind w:left="0" w:right="0" w:hanging="240"/>
              <w:jc w:val="left"/>
              <w:rPr/>
            </w:pPr>
            <w:hyperlink w:anchor="tx180355_15">
              <w:r>
                <w:rPr>
                  <w:rStyle w:val="InternetLink"/>
                  <w:rFonts w:ascii="Times New Roman" w:hAnsi="Times New Roman"/>
                  <w:color w:val="0000FF"/>
                  <w:sz w:val="20"/>
                  <w:u w:val="single"/>
                </w:rPr>
                <w:t>Unregistered Sales of Equity Securities, Use of Proceeds, and Issuer Purchases of Equity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011" w:type="dxa"/>
            <w:tcBorders/>
            <w:vAlign w:val="center"/>
          </w:tcPr>
          <w:p>
            <w:pPr>
              <w:pStyle w:val="TableContents"/>
              <w:pBdr/>
              <w:bidi w:val="0"/>
              <w:spacing w:before="0" w:after="283"/>
              <w:ind w:left="0" w:right="0" w:hanging="240"/>
              <w:jc w:val="left"/>
              <w:rPr/>
            </w:pPr>
            <w:hyperlink w:anchor="tx180355_16">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011" w:type="dxa"/>
            <w:tcBorders/>
            <w:vAlign w:val="center"/>
          </w:tcPr>
          <w:p>
            <w:pPr>
              <w:pStyle w:val="TableContents"/>
              <w:pBdr/>
              <w:bidi w:val="0"/>
              <w:spacing w:before="0" w:after="283"/>
              <w:ind w:left="0" w:right="0" w:hanging="240"/>
              <w:jc w:val="left"/>
              <w:rPr/>
            </w:pPr>
            <w:hyperlink w:anchor="tx180355_17">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011" w:type="dxa"/>
            <w:tcBorders/>
            <w:vAlign w:val="center"/>
          </w:tcPr>
          <w:p>
            <w:pPr>
              <w:pStyle w:val="TableContents"/>
              <w:pBdr/>
              <w:bidi w:val="0"/>
              <w:spacing w:before="0" w:after="283"/>
              <w:ind w:left="0" w:right="0" w:hanging="240"/>
              <w:jc w:val="left"/>
              <w:rPr/>
            </w:pPr>
            <w:hyperlink w:anchor="tx180355_18">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011" w:type="dxa"/>
            <w:tcBorders/>
            <w:vAlign w:val="center"/>
          </w:tcPr>
          <w:p>
            <w:pPr>
              <w:pStyle w:val="TableContents"/>
              <w:pBdr/>
              <w:bidi w:val="0"/>
              <w:spacing w:before="0" w:after="283"/>
              <w:ind w:left="0" w:right="0" w:hanging="240"/>
              <w:jc w:val="left"/>
              <w:rPr/>
            </w:pPr>
            <w:hyperlink w:anchor="tx180355_19">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95</w:t>
            </w:r>
          </w:p>
        </w:tc>
      </w:tr>
      <w:tr>
        <w:trPr/>
        <w:tc>
          <w:tcPr>
            <w:tcW w:w="9137" w:type="dxa"/>
            <w:gridSpan w:val="2"/>
            <w:tcBorders/>
            <w:vAlign w:val="center"/>
          </w:tcPr>
          <w:p>
            <w:pPr>
              <w:pStyle w:val="TableContents"/>
              <w:bidi w:val="0"/>
              <w:spacing w:before="0" w:after="283"/>
              <w:jc w:val="left"/>
              <w:rPr/>
            </w:pPr>
            <w:hyperlink w:anchor="tx180355_20">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x180355_1"/>
      <w:bookmarkEnd w:id="2"/>
      <w:r>
        <w:rPr>
          <w:rFonts w:ascii="Times New Roman" w:hAnsi="Times New Roman"/>
          <w:b/>
          <w:caps/>
          <w:color w:val="000000"/>
          <w:sz w:val="20"/>
        </w:rPr>
        <w:t>PART I-FINANCIAL INFORMATION</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3" w:name="tx180355_2"/>
      <w:bookmarkStart w:id="4" w:name="tx180355_3"/>
      <w:bookmarkEnd w:id="3"/>
      <w:bookmarkEnd w:id="4"/>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268"/>
        <w:gridCol w:w="146"/>
        <w:gridCol w:w="196"/>
        <w:gridCol w:w="751"/>
        <w:gridCol w:w="166"/>
        <w:gridCol w:w="146"/>
        <w:gridCol w:w="211"/>
        <w:gridCol w:w="808"/>
        <w:gridCol w:w="513"/>
      </w:tblGrid>
      <w:tr>
        <w:trPr/>
        <w:tc>
          <w:tcPr>
            <w:tcW w:w="7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2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8"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right"/>
              <w:rPr/>
            </w:pPr>
            <w:r>
              <w:rPr/>
              <w:t> </w:t>
            </w:r>
          </w:p>
        </w:tc>
        <w:tc>
          <w:tcPr>
            <w:tcW w:w="513" w:type="dxa"/>
            <w:tcBorders/>
            <w:shd w:fill="CFF0FC" w:val="clear"/>
            <w:vAlign w:val="center"/>
          </w:tcPr>
          <w:p>
            <w:pPr>
              <w:pStyle w:val="TableContents"/>
              <w:bidi w:val="0"/>
              <w:spacing w:before="0" w:after="283"/>
              <w:jc w:val="right"/>
              <w:rPr/>
            </w:pPr>
            <w:r>
              <w:rPr/>
              <w:t> </w:t>
            </w:r>
          </w:p>
        </w:tc>
      </w:tr>
      <w:tr>
        <w:trPr/>
        <w:tc>
          <w:tcPr>
            <w:tcW w:w="726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center"/>
              <w:rPr/>
            </w:pPr>
            <w:r>
              <w:rPr/>
              <w:t> </w:t>
            </w:r>
          </w:p>
        </w:tc>
        <w:tc>
          <w:tcPr>
            <w:tcW w:w="513" w:type="dxa"/>
            <w:tcBorders/>
            <w:shd w:fill="FFFFFF" w:val="clear"/>
            <w:vAlign w:val="center"/>
          </w:tcPr>
          <w:p>
            <w:pPr>
              <w:pStyle w:val="TableContents"/>
              <w:bidi w:val="0"/>
              <w:spacing w:before="0" w:after="283"/>
              <w:ind w:left="0" w:right="0" w:firstLine="200"/>
              <w:jc w:val="center"/>
              <w:rPr/>
            </w:pPr>
            <w:r>
              <w:rPr/>
              <w:t> </w:t>
            </w:r>
          </w:p>
        </w:tc>
      </w:tr>
      <w:tr>
        <w:trPr/>
        <w:tc>
          <w:tcPr>
            <w:tcW w:w="7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230,784</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135,563</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8,927</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6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375,274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513" w:type="dxa"/>
            <w:tcBorders/>
            <w:shd w:fill="CFF0FC" w:val="clear"/>
            <w:vAlign w:val="center"/>
          </w:tcPr>
          <w:p>
            <w:pPr>
              <w:pStyle w:val="TableContents"/>
              <w:bidi w:val="0"/>
              <w:spacing w:before="0" w:after="283"/>
              <w:jc w:val="left"/>
              <w:rPr/>
            </w:pPr>
            <w:r>
              <w:rPr/>
              <w:t> </w:t>
            </w:r>
          </w:p>
        </w:tc>
      </w:tr>
      <w:tr>
        <w:trPr/>
        <w:tc>
          <w:tcPr>
            <w:tcW w:w="726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513" w:type="dxa"/>
            <w:tcBorders/>
            <w:shd w:fill="FFFFFF" w:val="clear"/>
            <w:vAlign w:val="center"/>
          </w:tcPr>
          <w:p>
            <w:pPr>
              <w:pStyle w:val="TableContents"/>
              <w:bidi w:val="0"/>
              <w:spacing w:before="0" w:after="283"/>
              <w:jc w:val="left"/>
              <w:rPr/>
            </w:pPr>
            <w:r>
              <w:rPr/>
              <w:t> </w:t>
            </w:r>
          </w:p>
        </w:tc>
      </w:tr>
      <w:tr>
        <w:trPr/>
        <w:tc>
          <w:tcPr>
            <w:tcW w:w="7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513" w:type="dxa"/>
            <w:tcBorders/>
            <w:shd w:fill="CFF0FC" w:val="clear"/>
            <w:vAlign w:val="center"/>
          </w:tcPr>
          <w:p>
            <w:pPr>
              <w:pStyle w:val="TableContents"/>
              <w:bidi w:val="0"/>
              <w:spacing w:before="0" w:after="283"/>
              <w:jc w:val="left"/>
              <w:rPr/>
            </w:pPr>
            <w:r>
              <w:rPr/>
              <w:t> </w:t>
            </w:r>
          </w:p>
        </w:tc>
      </w:tr>
      <w:tr>
        <w:trPr/>
        <w:tc>
          <w:tcPr>
            <w:tcW w:w="726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68"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376,048</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jc w:val="right"/>
              <w:rPr/>
            </w:pPr>
            <w:r>
              <w:rPr/>
              <w:t> </w:t>
            </w:r>
          </w:p>
        </w:tc>
      </w:tr>
      <w:tr>
        <w:trPr/>
        <w:tc>
          <w:tcPr>
            <w:tcW w:w="7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right"/>
              <w:rPr/>
            </w:pPr>
            <w:r>
              <w:rPr/>
              <w:t> </w:t>
            </w:r>
          </w:p>
        </w:tc>
        <w:tc>
          <w:tcPr>
            <w:tcW w:w="513" w:type="dxa"/>
            <w:tcBorders/>
            <w:shd w:fill="CFF0FC" w:val="clear"/>
            <w:vAlign w:val="center"/>
          </w:tcPr>
          <w:p>
            <w:pPr>
              <w:pStyle w:val="TableContents"/>
              <w:bidi w:val="0"/>
              <w:spacing w:before="0" w:after="283"/>
              <w:ind w:left="0" w:right="0" w:firstLine="200"/>
              <w:jc w:val="right"/>
              <w:rPr/>
            </w:pPr>
            <w:r>
              <w:rPr/>
              <w:t> </w:t>
            </w:r>
          </w:p>
        </w:tc>
      </w:tr>
      <w:tr>
        <w:trPr/>
        <w:tc>
          <w:tcPr>
            <w:tcW w:w="7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26,524</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68"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29,508</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6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29,508</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right"/>
              <w:rPr/>
            </w:pPr>
            <w:r>
              <w:rPr/>
              <w:t> </w:t>
            </w:r>
          </w:p>
        </w:tc>
        <w:tc>
          <w:tcPr>
            <w:tcW w:w="513" w:type="dxa"/>
            <w:tcBorders/>
            <w:shd w:fill="CFF0FC" w:val="clear"/>
            <w:vAlign w:val="center"/>
          </w:tcPr>
          <w:p>
            <w:pPr>
              <w:pStyle w:val="TableContents"/>
              <w:bidi w:val="0"/>
              <w:spacing w:before="0" w:after="283"/>
              <w:jc w:val="right"/>
              <w:rPr/>
            </w:pPr>
            <w:r>
              <w:rPr/>
              <w:t> </w:t>
            </w:r>
          </w:p>
        </w:tc>
      </w:tr>
      <w:tr>
        <w:trPr/>
        <w:tc>
          <w:tcPr>
            <w:tcW w:w="726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right"/>
              <w:rPr/>
            </w:pPr>
            <w:r>
              <w:rPr/>
              <w:t> </w:t>
            </w:r>
          </w:p>
        </w:tc>
        <w:tc>
          <w:tcPr>
            <w:tcW w:w="513" w:type="dxa"/>
            <w:tcBorders/>
            <w:shd w:fill="FFFFFF" w:val="clear"/>
            <w:vAlign w:val="center"/>
          </w:tcPr>
          <w:p>
            <w:pPr>
              <w:pStyle w:val="TableContents"/>
              <w:bidi w:val="0"/>
              <w:spacing w:before="0" w:after="283"/>
              <w:ind w:left="0" w:right="0" w:firstLine="200"/>
              <w:jc w:val="right"/>
              <w:rPr/>
            </w:pPr>
            <w:r>
              <w:rPr/>
              <w:t> </w:t>
            </w:r>
          </w:p>
        </w:tc>
      </w:tr>
      <w:tr>
        <w:trPr/>
        <w:tc>
          <w:tcPr>
            <w:tcW w:w="726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500,000,000</w:t>
            </w:r>
            <w:r>
              <w:rPr>
                <w:rFonts w:ascii="Times New Roman" w:hAnsi="Times New Roman"/>
                <w:color w:val="000000"/>
                <w:sz w:val="20"/>
              </w:rPr>
              <w:t> </w:t>
            </w:r>
            <w:r>
              <w:rPr>
                <w:rFonts w:ascii="Times New Roman" w:hAnsi="Times New Roman"/>
                <w:color w:val="000000"/>
                <w:sz w:val="18"/>
              </w:rPr>
              <w:t>shares authorized as of June 30, 2024 and December 31, 2023; 87,692,916</w:t>
            </w:r>
            <w:r>
              <w:rPr>
                <w:rFonts w:ascii="Times New Roman" w:hAnsi="Times New Roman"/>
                <w:color w:val="000000"/>
                <w:sz w:val="20"/>
              </w:rPr>
              <w:t> </w:t>
            </w:r>
            <w:r>
              <w:rPr>
                <w:rFonts w:ascii="Times New Roman" w:hAnsi="Times New Roman"/>
                <w:color w:val="000000"/>
                <w:sz w:val="18"/>
              </w:rPr>
              <w:t>and 87,227,132</w:t>
            </w:r>
            <w:r>
              <w:rPr>
                <w:rFonts w:ascii="Times New Roman" w:hAnsi="Times New Roman"/>
                <w:color w:val="000000"/>
                <w:sz w:val="20"/>
              </w:rPr>
              <w:t> </w:t>
            </w:r>
            <w:r>
              <w:rPr>
                <w:rFonts w:ascii="Times New Roman" w:hAnsi="Times New Roman"/>
                <w:color w:val="000000"/>
                <w:sz w:val="18"/>
              </w:rPr>
              <w:t>shares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805,107</w:t>
            </w:r>
          </w:p>
        </w:tc>
        <w:tc>
          <w:tcPr>
            <w:tcW w:w="513" w:type="dxa"/>
            <w:tcBorders/>
            <w:shd w:fill="FFFFFF" w:val="clear"/>
            <w:vAlign w:val="center"/>
          </w:tcPr>
          <w:p>
            <w:pPr>
              <w:pStyle w:val="TableContents"/>
              <w:bidi w:val="0"/>
              <w:spacing w:before="0" w:after="283"/>
              <w:ind w:left="0" w:right="0" w:firstLine="200"/>
              <w:jc w:val="left"/>
              <w:rPr/>
            </w:pPr>
            <w:r>
              <w:rPr/>
              <w:t> </w:t>
            </w:r>
          </w:p>
        </w:tc>
      </w:tr>
      <w:tr>
        <w:trPr/>
        <w:tc>
          <w:tcPr>
            <w:tcW w:w="7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13" w:type="dxa"/>
            <w:tcBorders/>
            <w:shd w:fill="CFF0FC" w:val="clear"/>
            <w:vAlign w:val="center"/>
          </w:tcPr>
          <w:p>
            <w:pPr>
              <w:pStyle w:val="TableContents"/>
              <w:bidi w:val="0"/>
              <w:spacing w:before="0" w:after="283"/>
              <w:ind w:left="0" w:right="0" w:firstLine="200"/>
              <w:jc w:val="left"/>
              <w:rPr/>
            </w:pPr>
            <w:r>
              <w:rPr/>
              <w:t> </w:t>
            </w:r>
          </w:p>
        </w:tc>
      </w:tr>
      <w:tr>
        <w:trPr/>
        <w:tc>
          <w:tcPr>
            <w:tcW w:w="7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(458,585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268"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346,540</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6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376,048</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tx180355_4"/>
      <w:bookmarkEnd w:id="5"/>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64"/>
        <w:gridCol w:w="146"/>
        <w:gridCol w:w="196"/>
        <w:gridCol w:w="916"/>
        <w:gridCol w:w="166"/>
        <w:gridCol w:w="146"/>
        <w:gridCol w:w="196"/>
        <w:gridCol w:w="916"/>
        <w:gridCol w:w="166"/>
        <w:gridCol w:w="146"/>
        <w:gridCol w:w="196"/>
        <w:gridCol w:w="916"/>
        <w:gridCol w:w="166"/>
        <w:gridCol w:w="146"/>
        <w:gridCol w:w="196"/>
        <w:gridCol w:w="916"/>
        <w:gridCol w:w="611"/>
      </w:tblGrid>
      <w:tr>
        <w:trPr/>
        <w:tc>
          <w:tcPr>
            <w:tcW w:w="4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0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Product revenue,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406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and operating expenses: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0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product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60,010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6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cost and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income (expense):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0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from sale of priority review voucher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Investment income,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non-operating income,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87,121,310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74,964,878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86,864,545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73,478,567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ocl"/>
      <w:bookmarkEnd w:id="6"/>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682" w:type="dxa"/>
        <w:jc w:val="left"/>
        <w:tblInd w:w="0" w:type="dxa"/>
        <w:tblLayout w:type="fixed"/>
        <w:tblCellMar>
          <w:top w:w="28" w:type="dxa"/>
          <w:left w:w="28" w:type="dxa"/>
          <w:bottom w:w="28" w:type="dxa"/>
          <w:right w:w="28" w:type="dxa"/>
        </w:tblCellMar>
      </w:tblPr>
      <w:tblGrid>
        <w:gridCol w:w="3971"/>
        <w:gridCol w:w="146"/>
        <w:gridCol w:w="196"/>
        <w:gridCol w:w="571"/>
        <w:gridCol w:w="166"/>
        <w:gridCol w:w="146"/>
        <w:gridCol w:w="196"/>
        <w:gridCol w:w="661"/>
        <w:gridCol w:w="166"/>
        <w:gridCol w:w="146"/>
        <w:gridCol w:w="196"/>
        <w:gridCol w:w="661"/>
        <w:gridCol w:w="166"/>
        <w:gridCol w:w="146"/>
        <w:gridCol w:w="196"/>
        <w:gridCol w:w="661"/>
        <w:gridCol w:w="291"/>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(88,256</w:t>
            </w:r>
          </w:p>
        </w:tc>
        <w:tc>
          <w:tcPr>
            <w:tcW w:w="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9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Unrealized (loss)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tx180355_6"/>
      <w:bookmarkEnd w:id="7"/>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95"/>
        <w:gridCol w:w="146"/>
        <w:gridCol w:w="146"/>
        <w:gridCol w:w="916"/>
        <w:gridCol w:w="166"/>
        <w:gridCol w:w="146"/>
        <w:gridCol w:w="271"/>
        <w:gridCol w:w="480"/>
        <w:gridCol w:w="146"/>
        <w:gridCol w:w="146"/>
        <w:gridCol w:w="215"/>
        <w:gridCol w:w="761"/>
        <w:gridCol w:w="146"/>
        <w:gridCol w:w="146"/>
        <w:gridCol w:w="621"/>
        <w:gridCol w:w="823"/>
        <w:gridCol w:w="166"/>
        <w:gridCol w:w="146"/>
        <w:gridCol w:w="233"/>
        <w:gridCol w:w="893"/>
        <w:gridCol w:w="166"/>
        <w:gridCol w:w="146"/>
        <w:gridCol w:w="258"/>
        <w:gridCol w:w="913"/>
        <w:gridCol w:w="214"/>
      </w:tblGrid>
      <w:tr>
        <w:trPr/>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4" w:type="dxa"/>
            <w:tcBorders/>
            <w:shd w:fill="FFFFFF" w:val="clear"/>
            <w:vAlign w:val="center"/>
          </w:tcPr>
          <w:p>
            <w:pPr>
              <w:pStyle w:val="TableContents"/>
              <w:bidi w:val="0"/>
              <w:spacing w:before="0" w:after="283"/>
              <w:jc w:val="center"/>
              <w:rPr/>
            </w:pPr>
            <w:r>
              <w:rPr/>
              <w:t> </w:t>
            </w:r>
          </w:p>
        </w:tc>
      </w:tr>
      <w:tr>
        <w:trPr/>
        <w:tc>
          <w:tcPr>
            <w:tcW w:w="1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87,227,132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346,540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14" w:type="dxa"/>
            <w:tcBorders/>
            <w:shd w:fill="FFFFFF" w:val="clear"/>
            <w:vAlign w:val="center"/>
          </w:tcPr>
          <w:p>
            <w:pPr>
              <w:pStyle w:val="TableContents"/>
              <w:bidi w:val="0"/>
              <w:spacing w:before="0" w:after="283"/>
              <w:jc w:val="left"/>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214" w:type="dxa"/>
            <w:tcBorders/>
            <w:shd w:fill="CFF0FC" w:val="clear"/>
            <w:vAlign w:val="center"/>
          </w:tcPr>
          <w:p>
            <w:pPr>
              <w:pStyle w:val="TableContents"/>
              <w:bidi w:val="0"/>
              <w:spacing w:before="0" w:after="283"/>
              <w:jc w:val="left"/>
              <w:rPr/>
            </w:pPr>
            <w:r>
              <w:rPr/>
              <w:t> </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14" w:type="dxa"/>
            <w:tcBorders/>
            <w:shd w:fill="CFF0FC" w:val="clear"/>
            <w:vAlign w:val="center"/>
          </w:tcPr>
          <w:p>
            <w:pPr>
              <w:pStyle w:val="TableContents"/>
              <w:bidi w:val="0"/>
              <w:spacing w:before="0" w:after="283"/>
              <w:jc w:val="left"/>
              <w:rPr/>
            </w:pPr>
            <w:r>
              <w:rPr/>
              <w:t> </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214" w:type="dxa"/>
            <w:tcBorders/>
            <w:shd w:fill="CFF0FC" w:val="clear"/>
            <w:vAlign w:val="center"/>
          </w:tcPr>
          <w:p>
            <w:pPr>
              <w:pStyle w:val="TableContents"/>
              <w:bidi w:val="0"/>
              <w:spacing w:before="0" w:after="283"/>
              <w:jc w:val="left"/>
              <w:rPr/>
            </w:pPr>
            <w:r>
              <w:rPr/>
              <w:t> </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w:t>
            </w:r>
          </w:p>
        </w:tc>
        <w:tc>
          <w:tcPr>
            <w:tcW w:w="214" w:type="dxa"/>
            <w:tcBorders/>
            <w:shd w:fill="CFF0FC" w:val="clear"/>
            <w:vAlign w:val="center"/>
          </w:tcPr>
          <w:p>
            <w:pPr>
              <w:pStyle w:val="TableContents"/>
              <w:bidi w:val="0"/>
              <w:spacing w:before="0" w:after="283"/>
              <w:jc w:val="left"/>
              <w:rPr/>
            </w:pPr>
            <w:r>
              <w:rPr/>
              <w:t> </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87,692,916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306,731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6"/>
        <w:gridCol w:w="146"/>
        <w:gridCol w:w="146"/>
        <w:gridCol w:w="916"/>
        <w:gridCol w:w="166"/>
        <w:gridCol w:w="146"/>
        <w:gridCol w:w="271"/>
        <w:gridCol w:w="480"/>
        <w:gridCol w:w="146"/>
        <w:gridCol w:w="146"/>
        <w:gridCol w:w="212"/>
        <w:gridCol w:w="754"/>
        <w:gridCol w:w="146"/>
        <w:gridCol w:w="146"/>
        <w:gridCol w:w="581"/>
        <w:gridCol w:w="835"/>
        <w:gridCol w:w="166"/>
        <w:gridCol w:w="146"/>
        <w:gridCol w:w="233"/>
        <w:gridCol w:w="893"/>
        <w:gridCol w:w="166"/>
        <w:gridCol w:w="146"/>
        <w:gridCol w:w="255"/>
        <w:gridCol w:w="903"/>
        <w:gridCol w:w="214"/>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4" w:type="dxa"/>
            <w:tcBorders/>
            <w:shd w:fill="FFFFFF" w:val="cle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73,458,176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214" w:type="dxa"/>
            <w:tcBorders/>
            <w:shd w:fill="FFFFFF" w:val="cle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9,447</w:t>
            </w:r>
          </w:p>
        </w:tc>
        <w:tc>
          <w:tcPr>
            <w:tcW w:w="214"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14" w:type="dxa"/>
            <w:tcBorders/>
            <w:shd w:fill="FFFFFF" w:val="cle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73,572,633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300,415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follow-on offering, net of issuance costs of $10,827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13,269,231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161,409</w:t>
            </w:r>
          </w:p>
        </w:tc>
        <w:tc>
          <w:tcPr>
            <w:tcW w:w="214"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14" w:type="dxa"/>
            <w:tcBorders/>
            <w:shd w:fill="FFFFFF" w:val="cle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214" w:type="dxa"/>
            <w:tcBorders/>
            <w:shd w:fill="FFFFFF" w:val="cle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9,477</w:t>
            </w:r>
          </w:p>
        </w:tc>
        <w:tc>
          <w:tcPr>
            <w:tcW w:w="214"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86,971,328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426,054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tx180355_7"/>
      <w:bookmarkEnd w:id="8"/>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50"/>
        <w:gridCol w:w="146"/>
        <w:gridCol w:w="196"/>
        <w:gridCol w:w="751"/>
        <w:gridCol w:w="166"/>
        <w:gridCol w:w="146"/>
        <w:gridCol w:w="346"/>
        <w:gridCol w:w="146"/>
        <w:gridCol w:w="196"/>
        <w:gridCol w:w="751"/>
        <w:gridCol w:w="811"/>
      </w:tblGrid>
      <w:tr>
        <w:trPr/>
        <w:tc>
          <w:tcPr>
            <w:tcW w:w="6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98"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811" w:type="dxa"/>
            <w:tcBorders/>
            <w:shd w:fill="FFFFFF" w:val="clear"/>
            <w:vAlign w:val="center"/>
          </w:tcPr>
          <w:p>
            <w:pPr>
              <w:pStyle w:val="TableContents"/>
              <w:bidi w:val="0"/>
              <w:spacing w:before="0" w:after="283"/>
              <w:jc w:val="center"/>
              <w:rPr/>
            </w:pPr>
            <w:r>
              <w:rPr/>
              <w:t> </w:t>
            </w:r>
          </w:p>
        </w:tc>
      </w:tr>
      <w:tr>
        <w:trPr/>
        <w:tc>
          <w:tcPr>
            <w:tcW w:w="65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5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(88,256</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25,674</w:t>
            </w:r>
          </w:p>
        </w:tc>
        <w:tc>
          <w:tcPr>
            <w:tcW w:w="16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discounts on short-term investments,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(5,858</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operating right-of-use asset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from sale of priority review voucher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5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60,548</w:t>
            </w:r>
          </w:p>
        </w:tc>
        <w:tc>
          <w:tcPr>
            <w:tcW w:w="16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3,569</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(98,858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(68,417</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purchase of 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(168,761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(264,744</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maturity of short-term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184,232</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274,000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acquired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 of priority review voucher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purchase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550"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106,345</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9,081</w:t>
            </w:r>
          </w:p>
        </w:tc>
        <w:tc>
          <w:tcPr>
            <w:tcW w:w="811" w:type="dxa"/>
            <w:tcBorders/>
            <w:shd w:fill="CFF0FC" w:val="clear"/>
            <w:vAlign w:val="center"/>
          </w:tcPr>
          <w:p>
            <w:pPr>
              <w:pStyle w:val="TableContents"/>
              <w:bidi w:val="0"/>
              <w:spacing w:before="0" w:after="283"/>
              <w:jc w:val="left"/>
              <w:rPr/>
            </w:pPr>
            <w:r>
              <w:rPr/>
              <w:t> </w:t>
            </w:r>
          </w:p>
        </w:tc>
      </w:tr>
      <w:tr>
        <w:trPr/>
        <w:tc>
          <w:tcPr>
            <w:tcW w:w="655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161,409</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upon stock option exercises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upon Employee Stock Purchase Plan purchase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163,285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8,832</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103,949</w:t>
            </w:r>
          </w:p>
        </w:tc>
        <w:tc>
          <w:tcPr>
            <w:tcW w:w="811" w:type="dxa"/>
            <w:tcBorders/>
            <w:shd w:fill="CFF0FC" w:val="clear"/>
            <w:vAlign w:val="center"/>
          </w:tcPr>
          <w:p>
            <w:pPr>
              <w:pStyle w:val="TableContents"/>
              <w:bidi w:val="0"/>
              <w:spacing w:before="0" w:after="283"/>
              <w:jc w:val="left"/>
              <w:rPr/>
            </w:pPr>
            <w:r>
              <w:rPr/>
              <w:t> </w:t>
            </w:r>
          </w:p>
        </w:tc>
      </w:tr>
      <w:tr>
        <w:trPr/>
        <w:tc>
          <w:tcPr>
            <w:tcW w:w="65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189,211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5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not yet paid for upfront license agreement payment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16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Unpaid/deferred offering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8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tx180355_8"/>
      <w:bookmarkEnd w:id="9"/>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Notes to the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Organization </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or the Company, is a commercial-stage biopharmaceutical company dedicated to developing and commercializing targeted therapies for people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 On May 26, 2021, the Company completed a conversion by filing a certificate of conversion with the Secretary of State of the State of Delaware and changed its name to Day One Biopharmaceuticals,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financial statements have been prepared in accordance with accounting principles generally accepted in the United States, or U.S. GAAP, for interim financial information and Article 10 of Regulation S-X of the Securities and Exchange Commission, or SEC, and should be read in conjunction with the Company's consolidated financial statements and notes thereto contained in the Company's Annual Report on Form 10-K for the year ended December 31, 2023, filed with the SEC on February 26, 2024. The condensed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Accounting Standards Codification, or ASC, and Accounting Standards Updates, or ASU, of the Financial Accounting Standards Board, or FASB.</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financial statements in conformity with U.S. GAAP requires management to make estimates and assumptions that affect the reported amounts of assets, liabilities and disclosure of contingent assets and liabilities at the date of the condensed financial statements, and the reported amounts of expenses during the reporting period. Estimates and assumptions made in the accompanying condensed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that its chief executive officer is the chief operating decision maker, or CODM. The Company operates and manages the business as one reporting and one operating segment, which is the business of identifying and advancing targeted therapies for people of all ages with genomically-defined cancers. The Company’s CODM reviews financial information on an aggregate basis for purposes of allocating resources and evaluating financial performance. All of the Company’s assets are located in the United States.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issuer, which limits its exposure. The Company has not experienced any losses on its cash, cash equivalents and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two individual customers accounted for 98% of total net product revenue, with these individual customers representing 61% and 37% of the Company's total net product revenue. As of June 30, 2024, two customers accounted for 98% of the accounts receivable balance, with these individual customers representing 59% and 39%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accounts receivable balance. No other individual customers account for more than 10.0% of net product sales or accounts receivable. The Company monitors the financial condition of its customers so that it can appropriately respond to changes in their creditworthiness. To date, the Company has not experienced any losses with respect to the collection of its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consists of trade receivables which are amounts due from the Company's specialty pharmacy and specialty distributor customers related to product sales. The Company records trade receivables net of discounts, chargebacks, and any allowances for potential credit losses. An allowance for credit losses is determined based on the financial condition and creditworthiness of customers and the Company considers economic factors and events or trends expected to affect future collections experience. Any allowance would reduce the net receivables to the amount that is expected to be collected. The payment history of the Company’s customers will be considered in future assessments of collectability as these patterns are established over a longer period of time. For the three and six months ended June 30, 2024, the Company did not record any expected credit losses related to outstanding accounts receivable.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began capitalizing inventory for OJEMDA upon approval by the U.S. Food and Drug Administration, or FDA, in April 2024. OJEMDA is approved for the treatment of patients 6 months of age and older with relapsed or refractory pediatric low-grade glioma, or pLGG, harboring a BRAF fusion rearrangement, or BRAF V600 mutation. Prior to regulatory approval, all direct and indirect manufacturing costs were charged to research and development expense in the period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comprised of raw materials,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revenue. The determination of whether inventory costs will be realizable requires estimates by management. If actual market conditions are less favorable than projected by management, additional write-downs of inventory may be required, which would be recorded as a cost of product revenue in the statements of operations. There were no expenses recorded for excess inventory or other impairments during the three and six months ended June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net product revenue from OJEMDA for the treatment of patients 6 months of age and older with relapsed or refractory pLGG harboring a BRAF fusion rearrangement, or BRAF V600 mutation, which it began selling in May 2024 through contractual arrangements with its specialty pharmacy and specialty distributor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net product revenue in accordance with ASC Topic 606, Revenue from Contracts with Customers, or ASC 606, which outlines a five-step process for recognizing revenue from contracts with customers: (i) identify the contract with the customer, (ii) identify the performance obligations in the contract, (iii) determine the transaction price, (iv) allocate the transaction price to the separate performance obligations in the contract, and (v) recognize revenue associated with the performance obligations as they are satisfied. The Company only applies the five-step model to contracts when it is probable that the Company will collect the consideration it is entitled to in exchange for the goods or services it transfers to the customer. Once a contract is determined to be within the scope of ASC 606, the Company determines the performance obligations that are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distinct. The Company recognizes as revenues the amount of the transaction price that is allocated to each respective performance obligation when the performance obligation is satisfied. The Company has determined that the delivery of OJEMDA to its customers constitutes a single performance obligation. There are no other promises to deliver goods or services beyond what is specified in each accepted customer order. Net product revenue is recognized at the transaction price when the customer obtains control of the Company’s product, which occurs at a point in time upon delivery of the product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assessed the existence of a significant financing component in the agreements with its customers. The trade payment terms with the Company’s customers do not exceed one year and therefore the Company has elected to apply the practical expedient and no amount of consideration has been allocated as a financing component.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product revenues from the sale of OJEMDA are recorded at the transaction price, which include adjustments for discounts and allowances, including estimated cash discounts, government chargebacks, government rebates, specialty distributor fees, copay assistance, and returns. These adjustments represent variable consideration under ASC 606 and are estimated using the expected value method or most likely amount method and are recorded when revenue is recognized on the sale of the product.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Overall, these reserves reflect the Company’s best estimates of the amount of consideration to which it is entitled based on the terms of the respective underlying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pStyle w:val="TextBody"/>
        <w:bidi w:val="0"/>
        <w:spacing w:before="120" w:after="283"/>
        <w:jc w:val="left"/>
        <w:rPr>
          <w:rFonts w:ascii="Times New Roman" w:hAnsi="Times New Roman"/>
          <w:sz w:val="20"/>
        </w:rPr>
      </w:pPr>
      <w:r>
        <w:rPr>
          <w:rFonts w:ascii="Times New Roman" w:hAnsi="Times New Roman"/>
          <w:i/>
          <w:color w:val="000000"/>
          <w:sz w:val="20"/>
        </w:rPr>
        <w:t>Cash Discounts</w:t>
      </w:r>
      <w:r>
        <w:rPr>
          <w:rFonts w:ascii="Times New Roman" w:hAnsi="Times New Roman"/>
          <w:color w:val="000000"/>
          <w:sz w:val="20"/>
        </w:rPr>
        <w:t xml:space="preserve"> — The Company estimates cash discounts based on contractual terms and expectations regarding future customer payment patterns. The adjustments are recorded in the same period the related revenue is recognized, resulting in a reduction of product revenue and accounts receivable.</w:t>
      </w:r>
    </w:p>
    <w:p>
      <w:pPr>
        <w:pStyle w:val="TextBody"/>
        <w:bidi w:val="0"/>
        <w:spacing w:before="120" w:after="283"/>
        <w:jc w:val="left"/>
        <w:rPr>
          <w:rFonts w:ascii="Times New Roman" w:hAnsi="Times New Roman"/>
          <w:sz w:val="20"/>
        </w:rPr>
      </w:pPr>
      <w:r>
        <w:rPr>
          <w:rFonts w:ascii="Times New Roman" w:hAnsi="Times New Roman"/>
          <w:i/>
          <w:color w:val="000000"/>
          <w:sz w:val="20"/>
        </w:rPr>
        <w:t>Government Chargebacks</w:t>
      </w:r>
      <w:r>
        <w:rPr>
          <w:rFonts w:ascii="Times New Roman" w:hAnsi="Times New Roman"/>
          <w:color w:val="000000"/>
          <w:sz w:val="20"/>
        </w:rPr>
        <w:t xml:space="preserve"> — Chargebacks for fees and discounts to qualified government healthcare providers represent the estimated obligations resulting from contractual commitments to sell products to qualified U.S. Department of Veterans Affairs hospitals and 340B entities at prices lower than the list prices charged to customers who directly purchase the product from the Company. The 340B Drug Discount Program is a U.S. federal government program created in 1992 that requires drug manufacturers to provide outpatient drugs to eligible health care organizations and covered entities at significantly reduced prices. Customers charge the Company for the difference between what they pay for the product and the statutory selling price to the qualified government entity. These reserves are established in the same period that the related revenue is recognized, resulting in a reduction of product revenue and accounts receivables, net. Chargeback amounts are generally determined at the time of resale to the qualified government healthcare provider by customers, and the Company generally issues credits for such amounts within a few weeks of the Customer’s notification to the Company of the resale. Reserves for chargebacks consist of chargebacks that customers have claimed, but for which the Company has not yet issued a credit and credits that the Company expects to issue for product that has been recognized as revenue, but which remains in the distribution channel inventories at the end of each reporting period.</w:t>
      </w:r>
    </w:p>
    <w:p>
      <w:pPr>
        <w:pStyle w:val="TextBody"/>
        <w:bidi w:val="0"/>
        <w:spacing w:before="120" w:after="283"/>
        <w:jc w:val="left"/>
        <w:rPr>
          <w:rFonts w:ascii="Times New Roman" w:hAnsi="Times New Roman"/>
          <w:sz w:val="20"/>
        </w:rPr>
      </w:pPr>
      <w:r>
        <w:rPr>
          <w:rFonts w:ascii="Times New Roman" w:hAnsi="Times New Roman"/>
          <w:i/>
          <w:color w:val="000000"/>
          <w:sz w:val="20"/>
        </w:rPr>
        <w:t>Government Rebates</w:t>
      </w:r>
      <w:r>
        <w:rPr>
          <w:rFonts w:ascii="Times New Roman" w:hAnsi="Times New Roman"/>
          <w:color w:val="000000"/>
          <w:sz w:val="20"/>
        </w:rPr>
        <w:t xml:space="preserve"> — The Company is subject to discount obligations under state Medicaid programs and Medicare. These reserves are recorded 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For Medicaid programs, the Company estimates the portion of sales attributed to Medicaid patients and records a liability for the rebates to be paid to the respective state Medicaid programs.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pStyle w:val="TextBody"/>
        <w:bidi w:val="0"/>
        <w:spacing w:before="120" w:after="283"/>
        <w:jc w:val="left"/>
        <w:rPr>
          <w:rFonts w:ascii="Times New Roman" w:hAnsi="Times New Roman"/>
          <w:sz w:val="20"/>
        </w:rPr>
      </w:pPr>
      <w:r>
        <w:rPr>
          <w:rFonts w:ascii="Times New Roman" w:hAnsi="Times New Roman"/>
          <w:i/>
          <w:color w:val="000000"/>
          <w:sz w:val="20"/>
        </w:rPr>
        <w:t>Specialty Distributor Fees</w:t>
      </w:r>
      <w:r>
        <w:rPr>
          <w:rFonts w:ascii="Times New Roman" w:hAnsi="Times New Roman"/>
          <w:color w:val="000000"/>
          <w:sz w:val="20"/>
        </w:rPr>
        <w:t xml:space="preserve"> — The Company pays fees to our specialty distributor customers for distribution services provided in connection with the sales of OJEMDA. These specialty distributor fees are based on a contractually determined fixed percentage of sales. The adjustments are recorded in the same period the related revenue is recognized, resulting in a reduction of product revenue and the establishment of a current liability which is included in accrued expenses and other current liabilities.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Copay Assistance</w:t>
      </w:r>
      <w:r>
        <w:rPr>
          <w:rFonts w:ascii="Times New Roman" w:hAnsi="Times New Roman"/>
          <w:color w:val="000000"/>
          <w:sz w:val="20"/>
        </w:rPr>
        <w:t xml:space="preserve"> — The Company offers a co-pay assistance program, which is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accrued expenses and other current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Product Returns</w:t>
      </w:r>
      <w:r>
        <w:rPr>
          <w:rFonts w:ascii="Times New Roman" w:hAnsi="Times New Roman"/>
          <w:color w:val="000000"/>
          <w:sz w:val="20"/>
        </w:rPr>
        <w:t xml:space="preserve"> — Consistent with industry practice, the Company’s contracts with customers for OJEMDA generally provide for returns only if the product is damaged or defective upon delivery, if there is a shipment error, and for certain customers, if the product is within an eligible expiry window. The Company currently estimates product return reserves using available industry data and its own sales information, including its visibility into the inventory remaining in the distribution channel. The Company believes the returns of OJEMDA will be minimal because our customers often carry limited inventory given the price of our products, and the limited number of patients. These reserves are established in the same period that the related revenue is recognized.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 of product revenue includes the cost of inventory sold, amortization expense of intangible assets and third-party royalties payable on our net product revenue. Cost of goods sold may also include costs related to excess or obsolete inventory adjustment charges, abnormal costs, unabsorbed manufacturing and overhead costs, and manufacturing variances.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FDA approval and commercial launch of OJEMDA in April 2024, the Company capitalized the $9.0 million milestone payment to Viracta Therapeutics, Inc. (f/k/a Sunesis Pharmaceuticals, Inc.), or Viracta, for a specified regulatory milestone as a finite-lived intangible asset. Upon the sale of the Priority Review Voucher, or PRV, in May 2024 to fully satisfy PRV-related obligations of the Company's license agreement with Viracta, dated December 16, 2019, as amended, the Company capitalized the $8.1 million payment to Viracta as a finite-lived intangible asset. The intangible assets will be amortized on a straight-line basis over each of the estimated useful life of the underlying intellectual property of 7.3 years. Amortization expense will be recorded as cost of product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No. 2023-07, Segment Reporting (Topic 280) – Improvements to Reportable Segment Disclosures, which requires incremental disclosure of segment information on an interim and annual basis. This ASU is effective for public entities for fiscal years beginning after December 15, 2023, and interim periods within fiscal years beginning after December 15, 2024. Retrospective application to all prior periods presented in the financial statements is required for public entities. The Company is currently evaluating the effect of this update on its financial statement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Recurring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financial instruments as of June 30, 2024 and December 31, 2023, which are measured at fair value on a recurring basis by level within the fair value hierarchy (in thousands):</w:t>
      </w:r>
    </w:p>
    <w:tbl>
      <w:tblPr>
        <w:tblW w:w="7720" w:type="dxa"/>
        <w:jc w:val="left"/>
        <w:tblInd w:w="0" w:type="dxa"/>
        <w:tblLayout w:type="fixed"/>
        <w:tblCellMar>
          <w:top w:w="28" w:type="dxa"/>
          <w:left w:w="28" w:type="dxa"/>
          <w:bottom w:w="28" w:type="dxa"/>
          <w:right w:w="28" w:type="dxa"/>
        </w:tblCellMar>
      </w:tblPr>
      <w:tblGrid>
        <w:gridCol w:w="3011"/>
        <w:gridCol w:w="146"/>
        <w:gridCol w:w="211"/>
        <w:gridCol w:w="571"/>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181,583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246,208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money market funds are classified as Level 1 because they are measured using observable inputs from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assets or liabilities classified as Level 3 as of June 30,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 1, Level 2 or Level 3 categories during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estimated fair value of the Company's cash equivalents, available-for-sale securities classified as short-term investments, and associated unrealized gains and losses (in thousands):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95"/>
        <w:gridCol w:w="885"/>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5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4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522"/>
        <w:gridCol w:w="858"/>
        <w:gridCol w:w="14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maturities of our cash equivalents and available-for-sale securities (in thousands):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regularly reviews the changes to the rating of its securities and monitors the surrounding economic conditions to assess the risk of expected credit losses. As of June 30, 2024 and December 31, 2023, there were no securities that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were in an unrealized loss position for more than 12 months. As of June 30, 2024, the unrealized losses, if any,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Items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6542"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872"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60"/>
        <w:gridCol w:w="835"/>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license agreement upfront payment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12,643</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9,165</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Assets Purchase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the Company ceases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for the sale and assignment of assets and the grant of the license under the Takeda Asset Agreement, the Company made an upfront payment of $1.0 million in cash and issued 9,857,143 shares of Series A redeemable convertible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$2.0 million upfront in cash to Viracta, which was recorded as research and development expenses as the technology does not have an alternative future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2024, the Company entered into an amendment to the Viracta License Agreement. As part of the amendment, the Company made a one-time payment in March 2024 to Viracta of $5.0 million, which was recorded as research and development expenses during the six months ended June 30, 2024, in exchange for reduced future payment obligations ranging from the mid-teens to the high single-digit percentage related to the future sale or use of the rare pediatric disease PRV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the Company’s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The gross proceeds of $108.0 million were recorded as a gain from sale of priority review voucher in the accompanying condensed statements of operations during the three and six months ended June 30, 2024. As of June 30, 2024, the $8.1 million paid to satisfy PRV-related obligations was capitalized as a finite-lived intangible asset, which will be amortized on a straight-line basis over its estimated useful life. Related amortization expense will be recorded as cost of product revenue in the Company’s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Company could be required to make additional milestone payments of up to $40.0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As of June 30, 2024, the Company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paid $3.0 million upfront in cash to Sprint, which was recorded as research and development expenses as the technology does not have an alternative future use. As of June 30, 2024, the Company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 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for the rights granted under the MabCare License Agreement, the Company accrued a $55.0 million upfront payment as a liability as of June 30, 2024, which was paid in July 2024. The upfront payment was recorded as research and development expenses, as the technology and supplies licensed do not have an alternative future use. As of June 30, 2024,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could be required to make additional payments of $1,152.0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condensed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the Company entered into a lease agreement for approximately 19,000 square feet of general use office space in Brisbane, California. Such agreement was determined to be a lease since the right to control the use of the identified asset was conveyed to the Company for a period of time in exchange for consideration. The term of the lease is approximately 7.1 years.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As of June 30, 2024, this lease has not yet commenced. The total payments for base rent over the term of the lease is approximately $4.4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June 30, 2024, for the lease entered into in April 2022, the weighted-average remaining lease term and weighted-average discount rate were 0.4 years and 9.0%,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 does not require any contingent rental payments, impose financial restrictions, or contain any residual value guarantees.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of right-of-use assets is recognized on a straight-line basis over the applicable lease term. Lease expense was $0.1 million for each of the three months ended June 30, 2024 and 2023 and was $0.2 million for each of the six months ended June 30, 2024 and 2023. Cash paid for amounts included in the measurement of operating lease liabilities was $0.2 million for each of the six months ended June 30, 2024 and 2023. Variable payments expensed during the three and six months ended June 30, 2024 and 2023 were immaterial.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future lease obligations for the lease entered into in April 2022 were as follows (in thousands): </w:t>
      </w:r>
    </w:p>
    <w:tbl>
      <w:tblPr>
        <w:tblW w:w="5132" w:type="dxa"/>
        <w:jc w:val="left"/>
        <w:tblInd w:w="0" w:type="dxa"/>
        <w:tblLayout w:type="fixed"/>
        <w:tblCellMar>
          <w:top w:w="28" w:type="dxa"/>
          <w:left w:w="28" w:type="dxa"/>
          <w:bottom w:w="28" w:type="dxa"/>
          <w:right w:w="28" w:type="dxa"/>
        </w:tblCellMar>
      </w:tblPr>
      <w:tblGrid>
        <w:gridCol w:w="4111"/>
        <w:gridCol w:w="247"/>
        <w:gridCol w:w="563"/>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81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2024</w:t>
            </w:r>
          </w:p>
        </w:tc>
        <w:tc>
          <w:tcPr>
            <w:tcW w:w="2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in 2024</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247"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247"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June 30, 2024 and December 31, 2023, there were no amounts accrued related to termination and cancellation charges as these are not probable.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license agreements, as disclosed in Note 5, with various parties under which it is obligated to make contingent and non-contingent payments.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product needs for OJEMDA, the Company has entered into a manufacturing and supply agreement with Quotient Sciences - Philadelphia, LLC in July 2023 that requires the Company to meet minimum purchase obligations on an annual basis. The amount of future minimum purchase obligations under the manufacturing and supply agreement over the next five years is approximately $16.7 million, in aggregate, as of June 30, 2024. For the six months ended June 30, 2024, the Company made purchases of $0.5 million under the purchase obligation.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June 30, 2024 and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its certificate of incorporation, the Company is authorized to issue 500.0 million shares of common stock at a par value of $0.0001 per share. As of June 30, 2024, 87,692,916 shares of common stock were issued and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issuances as follows:</w:t>
      </w:r>
    </w:p>
    <w:tbl>
      <w:tblPr>
        <w:tblW w:w="5450" w:type="dxa"/>
        <w:jc w:val="left"/>
        <w:tblInd w:w="0" w:type="dxa"/>
        <w:tblLayout w:type="fixed"/>
        <w:tblCellMar>
          <w:top w:w="28" w:type="dxa"/>
          <w:left w:w="28" w:type="dxa"/>
          <w:bottom w:w="28" w:type="dxa"/>
          <w:right w:w="28" w:type="dxa"/>
        </w:tblCellMar>
      </w:tblPr>
      <w:tblGrid>
        <w:gridCol w:w="3931"/>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12,203,622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3,716,936</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ESPP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2,498,360</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20,335,506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June 2023 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the Company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June 30, 2024.</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recorded in the accompanying condensed statements of operations is as follows (in thousands):</w:t>
      </w:r>
    </w:p>
    <w:tbl>
      <w:tblPr>
        <w:tblW w:w="8317" w:type="dxa"/>
        <w:jc w:val="left"/>
        <w:tblInd w:w="0" w:type="dxa"/>
        <w:tblLayout w:type="fixed"/>
        <w:tblCellMar>
          <w:top w:w="28" w:type="dxa"/>
          <w:left w:w="28" w:type="dxa"/>
          <w:bottom w:w="28" w:type="dxa"/>
          <w:right w:w="28" w:type="dxa"/>
        </w:tblCellMar>
      </w:tblPr>
      <w:tblGrid>
        <w:gridCol w:w="3661"/>
        <w:gridCol w:w="146"/>
        <w:gridCol w:w="211"/>
        <w:gridCol w:w="676"/>
        <w:gridCol w:w="146"/>
        <w:gridCol w:w="146"/>
        <w:gridCol w:w="211"/>
        <w:gridCol w:w="571"/>
        <w:gridCol w:w="146"/>
        <w:gridCol w:w="146"/>
        <w:gridCol w:w="211"/>
        <w:gridCol w:w="676"/>
        <w:gridCol w:w="146"/>
        <w:gridCol w:w="146"/>
        <w:gridCol w:w="211"/>
        <w:gridCol w:w="67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Equity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board of directors and stockholders approved the 2022 Equity Inducement Plan, or the 2022 Plan. The 2022 Plan provides for the grant of non-statutory stock options and restricted stock units. The number of shares of common stock reserved for issuance under the 2022 Plan is 1,000,000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stock option activity during the six months ended June 30, 2024. </w:t>
      </w:r>
    </w:p>
    <w:tbl>
      <w:tblPr>
        <w:tblW w:w="10205" w:type="dxa"/>
        <w:jc w:val="left"/>
        <w:tblInd w:w="0" w:type="dxa"/>
        <w:tblLayout w:type="fixed"/>
        <w:tblCellMar>
          <w:top w:w="28" w:type="dxa"/>
          <w:left w:w="28" w:type="dxa"/>
          <w:bottom w:w="28" w:type="dxa"/>
          <w:right w:w="28" w:type="dxa"/>
        </w:tblCellMar>
      </w:tblPr>
      <w:tblGrid>
        <w:gridCol w:w="3686"/>
        <w:gridCol w:w="146"/>
        <w:gridCol w:w="146"/>
        <w:gridCol w:w="1036"/>
        <w:gridCol w:w="166"/>
        <w:gridCol w:w="146"/>
        <w:gridCol w:w="396"/>
        <w:gridCol w:w="1075"/>
        <w:gridCol w:w="146"/>
        <w:gridCol w:w="146"/>
        <w:gridCol w:w="423"/>
        <w:gridCol w:w="1048"/>
        <w:gridCol w:w="146"/>
        <w:gridCol w:w="146"/>
        <w:gridCol w:w="312"/>
        <w:gridCol w:w="848"/>
        <w:gridCol w:w="193"/>
      </w:tblGrid>
      <w:tr>
        <w:trP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3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0"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3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3" w:type="dxa"/>
            <w:tcBorders/>
            <w:shd w:fill="CFF0FC" w:val="clear"/>
            <w:vAlign w:val="center"/>
          </w:tcPr>
          <w:p>
            <w:pPr>
              <w:pStyle w:val="TableContents"/>
              <w:bidi w:val="0"/>
              <w:spacing w:before="0" w:after="283"/>
              <w:jc w:val="left"/>
              <w:rPr/>
            </w:pPr>
            <w:r>
              <w:rPr/>
              <w:t> </w:t>
            </w:r>
          </w:p>
        </w:tc>
      </w:tr>
      <w:tr>
        <w:trPr/>
        <w:tc>
          <w:tcPr>
            <w:tcW w:w="3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0"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3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3" w:type="dxa"/>
            <w:tcBorders/>
            <w:shd w:fill="CFF0FC" w:val="clear"/>
            <w:vAlign w:val="center"/>
          </w:tcPr>
          <w:p>
            <w:pPr>
              <w:pStyle w:val="TableContents"/>
              <w:bidi w:val="0"/>
              <w:spacing w:before="0" w:after="283"/>
              <w:jc w:val="left"/>
              <w:rPr/>
            </w:pPr>
            <w:r>
              <w:rPr/>
              <w:t> </w:t>
            </w:r>
          </w:p>
        </w:tc>
      </w:tr>
      <w:tr>
        <w:trPr/>
        <w:tc>
          <w:tcPr>
            <w:tcW w:w="3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3" w:type="dxa"/>
            <w:tcBorders/>
            <w:shd w:fill="FFFFFF" w:val="clear"/>
            <w:vAlign w:val="center"/>
          </w:tcPr>
          <w:p>
            <w:pPr>
              <w:pStyle w:val="TableContents"/>
              <w:bidi w:val="0"/>
              <w:spacing w:before="0" w:after="283"/>
              <w:jc w:val="left"/>
              <w:rPr/>
            </w:pPr>
            <w:r>
              <w:rPr/>
              <w:t> </w:t>
            </w:r>
          </w:p>
        </w:tc>
      </w:tr>
      <w:tr>
        <w:trPr/>
        <w:tc>
          <w:tcPr>
            <w:tcW w:w="3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93"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options. The total intrinsic value of options exercised during the six months ended June 30, 2024 and 2023 was less than $0.1 million and $0.6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six months ended June 30, 2024 and 2023 was $17.9 million and $12.8 million, respectively. The weighted-average grant date fair value of options granted during the six months ended June 30, 2024 and 2023 was $9.26 per share and $13.81 per share,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stock options as of June 30, 2024 was $59.6 million, which is expected to be recognized over a weighted-average period of 2.4 years.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stock option awards granted with the following assumptions:</w:t>
      </w:r>
    </w:p>
    <w:tbl>
      <w:tblPr>
        <w:tblW w:w="8824" w:type="dxa"/>
        <w:jc w:val="left"/>
        <w:tblInd w:w="0" w:type="dxa"/>
        <w:tblLayout w:type="fixed"/>
        <w:tblCellMar>
          <w:top w:w="28" w:type="dxa"/>
          <w:left w:w="28" w:type="dxa"/>
          <w:bottom w:w="28" w:type="dxa"/>
          <w:right w:w="28" w:type="dxa"/>
        </w:tblCellMar>
      </w:tblPr>
      <w:tblGrid>
        <w:gridCol w:w="2131"/>
        <w:gridCol w:w="146"/>
        <w:gridCol w:w="1516"/>
        <w:gridCol w:w="146"/>
        <w:gridCol w:w="1516"/>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shd w:fill="FFFFFF" w:val="clear"/>
            <w:vAlign w:val="center"/>
          </w:tcPr>
          <w:p>
            <w:pPr>
              <w:pStyle w:val="TableContents"/>
              <w:bidi w:val="0"/>
              <w:spacing w:before="0" w:after="283"/>
              <w:jc w:val="left"/>
              <w:rPr/>
            </w:pPr>
            <w:r>
              <w:rPr/>
              <w:t> </w:t>
            </w:r>
          </w:p>
        </w:tc>
        <w:tc>
          <w:tcPr>
            <w:tcW w:w="322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5.3 - 6.2</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5.3 - 6.7</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5.3 - 6.3</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68.57% - 69.18%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69.21% - 81.65%</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68.27% - 70.57%</w:t>
            </w:r>
          </w:p>
        </w:tc>
        <w:tc>
          <w:tcPr>
            <w:tcW w:w="146"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69.21% - 81.98%</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 - 4.47%</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3.47% - 3.98%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3.90% - 4.47%</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3.47% - 4.08%</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restricted stock units activity during the six months ended June 30, 2024:</w:t>
      </w:r>
    </w:p>
    <w:tbl>
      <w:tblPr>
        <w:tblW w:w="7922" w:type="dxa"/>
        <w:jc w:val="left"/>
        <w:tblInd w:w="0" w:type="dxa"/>
        <w:tblLayout w:type="fixed"/>
        <w:tblCellMar>
          <w:top w:w="28" w:type="dxa"/>
          <w:left w:w="28" w:type="dxa"/>
          <w:bottom w:w="28" w:type="dxa"/>
          <w:right w:w="28" w:type="dxa"/>
        </w:tblCellMar>
      </w:tblPr>
      <w:tblGrid>
        <w:gridCol w:w="4426"/>
        <w:gridCol w:w="146"/>
        <w:gridCol w:w="146"/>
        <w:gridCol w:w="931"/>
        <w:gridCol w:w="166"/>
        <w:gridCol w:w="146"/>
        <w:gridCol w:w="476"/>
        <w:gridCol w:w="129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restricted stock units as of June 30, 2024 was $28.7 million, which is expected to be recognized over a weighted-average period of 3.0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the unvested common stock awards activity during the six months ended June 30, 2024. </w:t>
      </w:r>
    </w:p>
    <w:tbl>
      <w:tblPr>
        <w:tblW w:w="7562" w:type="dxa"/>
        <w:jc w:val="left"/>
        <w:tblInd w:w="0" w:type="dxa"/>
        <w:tblLayout w:type="fixed"/>
        <w:tblCellMar>
          <w:top w:w="28" w:type="dxa"/>
          <w:left w:w="28" w:type="dxa"/>
          <w:bottom w:w="28" w:type="dxa"/>
          <w:right w:w="28" w:type="dxa"/>
        </w:tblCellMar>
      </w:tblPr>
      <w:tblGrid>
        <w:gridCol w:w="4156"/>
        <w:gridCol w:w="146"/>
        <w:gridCol w:w="146"/>
        <w:gridCol w:w="841"/>
        <w:gridCol w:w="166"/>
        <w:gridCol w:w="146"/>
        <w:gridCol w:w="476"/>
        <w:gridCol w:w="1294"/>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restricted stock awards as of June 30, 2024 was $1.9 million, which is expected to be recognized over a weighted-average period of 0.7 years.</w:t>
      </w:r>
    </w:p>
    <w:p>
      <w:pPr>
        <w:pStyle w:val="TextBody"/>
        <w:bidi w:val="0"/>
        <w:spacing w:before="120" w:after="283"/>
        <w:jc w:val="left"/>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331,014 shares have been issued under the ESPP as of June 30, 2024. The Company recognized compensation expense related to the ESPP of $0.2 million and $0.3 million for the three months ended June 30, 2024 and 2023, respectively, and $0.4 million and $0.5 million for the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our common stock to be issued under the ESPP is estimated at the date of grant using a Black-Scholes option-pricing model with the following assumptions:</w:t>
      </w:r>
    </w:p>
    <w:tbl>
      <w:tblPr>
        <w:tblW w:w="3940" w:type="dxa"/>
        <w:jc w:val="left"/>
        <w:tblInd w:w="0" w:type="dxa"/>
        <w:tblLayout w:type="fixed"/>
        <w:tblCellMar>
          <w:top w:w="28" w:type="dxa"/>
          <w:left w:w="28" w:type="dxa"/>
          <w:bottom w:w="28" w:type="dxa"/>
          <w:right w:w="28" w:type="dxa"/>
        </w:tblCellMar>
      </w:tblPr>
      <w:tblGrid>
        <w:gridCol w:w="2131"/>
        <w:gridCol w:w="146"/>
        <w:gridCol w:w="736"/>
        <w:gridCol w:w="146"/>
        <w:gridCol w:w="78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63.45%</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63.57%</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w:t>
            </w:r>
          </w:p>
        </w:tc>
        <w:tc>
          <w:tcPr>
            <w:tcW w:w="14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5.24%</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center"/>
              <w:rPr/>
            </w:pPr>
            <w:r>
              <w:rPr/>
              <w:t> </w:t>
            </w:r>
          </w:p>
        </w:tc>
        <w:tc>
          <w:tcPr>
            <w:tcW w:w="781" w:type="dxa"/>
            <w:tcBorders/>
            <w:shd w:fill="CFF0FC" w:val="cle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the Condensed Financial Statements</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the Company recognized income tax expense of $1.6 million resulting in an effective tax rate of (54.4)% and (2.4)%, respectively. The primary reconciling items between the federal statutory rate of 21.0% for the three and six months ended June 30, 2024 and the Company’s overall effective tax rate of (54.4)% and (2.4)%, respectively, was the effect of equity compensation, generation of tax credits, deferred state income taxes and the valuation allowance recorded against the full amount of its net deferred tax assets. The Company did not record an income tax provision for the three and six months ended June 30, 2023 as it generated tax losses during each of the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the Company expects continuing losses in the future.</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shd w:fill="FFFFFF" w:val="cle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87,121,310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74,964,878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86,864,545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73,478,567</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outstanding potentially dilutive securities have been excluded from the calculation of diluted net loss per share, as their effect is anti-dilutive: </w:t>
      </w:r>
    </w:p>
    <w:tbl>
      <w:tblPr>
        <w:tblW w:w="5544" w:type="dxa"/>
        <w:jc w:val="left"/>
        <w:tblInd w:w="0" w:type="dxa"/>
        <w:tblLayout w:type="fixed"/>
        <w:tblCellMar>
          <w:top w:w="28" w:type="dxa"/>
          <w:left w:w="28" w:type="dxa"/>
          <w:bottom w:w="28" w:type="dxa"/>
          <w:right w:w="28" w:type="dxa"/>
        </w:tblCellMar>
      </w:tblPr>
      <w:tblGrid>
        <w:gridCol w:w="2551"/>
        <w:gridCol w:w="146"/>
        <w:gridCol w:w="146"/>
        <w:gridCol w:w="1036"/>
        <w:gridCol w:w="146"/>
        <w:gridCol w:w="146"/>
        <w:gridCol w:w="146"/>
        <w:gridCol w:w="103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9,933,697</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1,202,257</w:t>
            </w:r>
          </w:p>
        </w:tc>
        <w:tc>
          <w:tcPr>
            <w:tcW w:w="1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999,509</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12,205,041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an employee savings plan pursuant to Section 401(k) of the Internal Revenue Code. All employees are eligible to participate provided that they meet the requirements of the plan. For each of the three months ended June 30, 2024 and 2023, the Company made matching contributions of $0.4 million and $0.3 million, respectively. For the six months ended June 30, 2024 and 2023, the Company made matching contributions of $1.0 million and $0.8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Ipsen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23, 2024, the Company and Ipsen Pharma SAS, or Ipsen, entered into an Exclusive License Agreement, or the Ipsen License Agreement, pursuant to which the Company will license to Ipsen, on an exclusive basis, the right to commercialize tovorafenib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and licenses granted by the Company to Ipsen in the Ipsen License Agreement, Ipsen will pay the Company (i) an upfront license fee in the amount of approximately $71.0 million within thirty days after the effective date of the Ipsen License Agreement and (ii) Ipsen Biopharmaceuticals, Inc. (USA), or the Investor, a fully-owned Affiliate, as defined in the Ipsen License Agreement, of Ipsen, agreed to purchase shares of the Company’s common stock, or the Company Share Issuance, for $40.0 million, at a price per share representing a 17.0% premium to the volume weighted average price of the Company’s common stock as traded on The Nasdaq Stock Market LLC for the ten consecutive trading days prior to and including the date of the Company’s public release of U.S. GAAP revenue for the quarter ended June 30, 2024, or the Revenue Release, and the ten consecutive trading days following the Revenue Release, in accordance with the terms set forth in a certain investment agreement by and between the Company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also eligible to receive up to approximately $350.0 million in launch and sales milestones as well as tiered, double-digit royalty payments starting at mid-teens percentage of annual net sales of OJEMDA, subject to certain adjustments specified in the Ipsen License Agreement. The royalty payment obligations under the Ipsen License Agreement expire on a country-by-country basis no earlier than ten years following the first commercial sale of OJEMDA in the applicable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account for the Ipsen License Agreement under the provisions of ASC 606. The Company will estimate the standalone selling price of each performance obligation to allocate the transaction price and recognize revenue for each performance obligation when the associated goods or services are transferred. The Company expects a portion of the transaction price received under the Ipsen License Agreement shall be deferred into future periods as each performance obligation is not expected to be fully satisfied at contract inception.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2024, the Company entered into a securities purchase agreement, or the Securities Purchase Agreement, with certain institutional and accredited investors, or Investors, pursuant to which the Company agreed to sell and issue to the Investors in a private placement, or the Private Placement, an aggregate of (i) 10,551,718 shares, or the Shares, of the Company’s common stock, par value $0.0001 per share, or the Common Stock, at a purchase price of $14.50 per share and (ii) 1,517,241 pre-funded warrants, or the Pre-Funded Warrants, to purchase up to an aggregate of 1,517,241 shares of Common Stock, or the Warrant Shares, and together with the Shares and the Pre-Funded Warrants, or the Securities, at a purchase price of $14.4999 per Pre-Funded Warrant. Each Pre-Funded Warrant has an exercise price of $0.0001 per Warrant Share. The Pre-Funded Warrants are exercisable at any time after their original issuance and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Private Placement closed on August 1, 2024. The Company received gross proceeds from the Private Placement of approximately $175.0 million, before deducting placement agent fees and other expenses. </w:t>
      </w:r>
    </w:p>
    <w:p>
      <w:pPr>
        <w:pStyle w:val="TextBody"/>
        <w:bidi w:val="0"/>
        <w:spacing w:before="360" w:after="283"/>
        <w:jc w:val="left"/>
        <w:rPr>
          <w:rFonts w:ascii="Times New Roman" w:hAnsi="Times New Roman"/>
          <w:sz w:val="20"/>
        </w:rPr>
      </w:pPr>
      <w:bookmarkStart w:id="10" w:name="tx180355_9"/>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our interim condensed financial statements and related notes, and other financial information appearing in our Annual Report on Form 10-K for the year ended December 31, 2023,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is a biopharmaceutical company founded to address a critical unmet need: the dire lack of therapeutic development in pediatric cancer.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accelerated approval of OJEMDA is based on data from the Company’s pivotal open-label Phase 2 FIREFLY-1 trial,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Nature Medicine.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Arm 1, data from the 76 RAPNO LGG evaluable patients include: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best ORR of 51% (95% CI: 40 - 63), which included 28 PRs and 11 MRs.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ORR for OJEMDA was 52% among the 64 patients with BRAF fusions or rearrangements and 50% for the 12 patients with a BRAF V600 mutation.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ORR was 49% among the 45 patients who had received a prior MAPK-targeted therapy, and 55% among the 31 patients who had not received a prior MAPK-targeted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As of the June 5, 2023 data cutoff, the median duration of response by RAPNO LGG was 13.8 months (95% CI: 11.3, not estimable). In addition, 66% of patients remained on study and continue on treatment as of this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median time to response, following initiation of treatment, with OJEMDA was 5.3 months (range 1.6 months, 11.2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Based on RANO LGG criteria, the ORR was 53% [95% CI: (41, 64)].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of OJEMDA was evaluated in 137 patients with relapsed or refractory pLGG, with the majority of adverse events being Grade 1 or Grade 2. The most common side effects were rash, hair color changes, tiredness, viral infection, vomiting, headache, fever, dry skin, constipation, nausea, acne and upper respiratory tract infection.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and Asia, with approximately 100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criteria, new patients will be initiated on a starting dose of 380 mg/m</w:t>
      </w:r>
      <w:r>
        <w:rPr>
          <w:rFonts w:ascii="Times New Roman" w:hAnsi="Times New Roman"/>
          <w:color w:val="000000"/>
          <w:sz w:val="13"/>
        </w:rPr>
        <w:t>2</w:t>
      </w:r>
      <w:r>
        <w:rPr>
          <w:rFonts w:ascii="Times New Roman" w:hAnsi="Times New Roman"/>
          <w:color w:val="000000"/>
          <w:sz w:val="20"/>
        </w:rPr>
        <w:t>/dose once weekly, and the addition of a once-monthly carboplatin regime as a fourth standard of care option for arm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23, 2024, we entered into an Exclusive License Agreement, or the Ipsen License Agreement, with Ipsen Pharma SAS, or Ipsen, pursuant to which we will license to Ipsen, on an exclusive basis, the right to commercialize tovorafenib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and licenses granted by us to Ipsen in the Ipsen License Agreement, Ipsen will pay us (i) an upfront license fee in the amount of approximately $71.0 million within thirty days after the effective date of the Ipsen License Agreement and (ii) Ipsen Biopharmaceuticals, Inc. (USA), or the Investor, a fully-owned Affiliate of Ipsen, agreed to purchase shares of our common stock, or the Company Share Issuance, for $40.0 million, at a price per share representing a 17.0% premium to the volume weighted average price of our common stock as traded on The Nasdaq Stock Market LLC for the ten consecutive trading days prior to and including the date of our public release of U.S. GAAP revenue for the quarter ended June 30, 2024, or the Revenue Release, and the ten consecutive trading days following the Revenue Release, in accordance with the terms set forth in a certain investment agreement by and between us and the Investor dated July 23, 2024, or the Investment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eligible to receive up to approximately $350.0 million in launch and sales milestones as well as tiered, double-digit royalty payments starting at mid-teens percentage of annual net sales of OJEMDA, subject to certain adjustments specified in the Ipsen License Agreement. The royalty payment obligations under the Ipsen License Agreement expire on a country-by-country basis no earlier than ten years following the first commercial sale of OJEMDA in the applicable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 pimasertib, is an oral, highly selective small molecule inhibitor of mitogen-activated protein kinase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an open-label, multicenter, Phase 1b/2a umbrella master trial, or FIRELIGHT-1, of tovorafenib as a monotherapy or in combination, which consists of two substudies. Substudy 1 is a Phase 2a trial of tovorafenib as a monotherapy in patients 12 years and older with relapsed, progressive, or refractory solid tumors harboring a RAF alteration (RAF fusion or amplification). Despite observing responses with a generally well tolerated therapy, a limited duration of response in this rare patient population was observed. We decided in November 2023 to discontinue this monotherapy substudy and re-direct resources to other programs. Results from the substudy will be shared for presentation or publication after the final dataset becomes available. Substudy 2 is a Phase 1b/2 combination trial of tovorafenib and pimasertib in patients 12 years and older with various MAPK-altered solid tumors. Despite observing some clinical responses, the benefit/risk profile, as well as the market opportunity, did not justify the significant investment required to continue the trial. Moreover, it is clear from competing efforts to combine other Type II RAF inhibitors with MEK inhibitors that the hoped-for therapeutic benefit of the combination was more limited than preclinical studies predicted. We decided in July 2024 to close the program. Results from the substudy will be shared for presentation at a future medical meeting or publication.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 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program are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April 2024, the FDA cleared the investigational new drug application for DAY301.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and pimasertib for all therapeutic areas worldwide subject to certain milestone and royalty payments. Further, we hold exclusive rights to commercialize tovorafenib in the United States subject to royalty payments. Pursuant to the Ipsen License Agreement, we licensed to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Ipsen, on an exclusive basis, the right to commercialize tovorafenib outside of the United States, in exchange for certain milestone and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product and product candidate pipeline.</w:t>
      </w:r>
    </w:p>
    <w:p>
      <w:pPr>
        <w:pStyle w:val="TextBody"/>
        <w:bidi w:val="0"/>
        <w:spacing w:before="120" w:after="283"/>
        <w:jc w:val="center"/>
        <w:rPr/>
      </w:pPr>
      <w:r>
        <w:rPr/>
        <w:drawing>
          <wp:inline distT="0" distB="0" distL="0" distR="0">
            <wp:extent cx="6391275" cy="3638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91275" cy="3638550"/>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Assets Purchase Agreement. Pursuant to the Takeda Asset Agreement, we purchased certain technology rights and know-how related to TAK-580 (which is now OJEMDA) that provides a new approach for treating patients with primary brain tumors or brain metastases of solid tumors. We also received clinical inventory supplies to use in our research and development activities of such RAF-inhibitor and an assigned investigator clinical trial agreement.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The fair value of issued shares was estimated as $9.9 million, based on the price paid by other investors for issued shares in the Series A financing of our subsidiary. Based on the terms of the Millennium Stock Exchange Agreement,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Takeda exchanged the 9,857,143 shares of Series A redeemable convertible preferred stock of our subsidiary for 6,470,382 shares of our common stock upon the effectiveness of the conversion,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we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We have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$2.0 million upfront in cash to Viracta, which was recorded as research and development expenses as the technology does not have an alternative future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4, 2024, we entered into an amendment to the Viracta License Agreement. As part of the amendment, we made a one-time payment in March 2024 to Viracta of $5.0 million, which was recorded as research and development expenses during the six months ended June 30, 2024, in exchange for reduced future payment obligations ranging from the mid-teens to the high single-digit percentage related to the future sale or use of the rare pediatric disease PRV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our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The gross proceeds of $108.0 million were recorded as a gain from sale of priority review voucher in the accompanying condensed statements of operations during the three and six months ended June 30, 2024. As of June 30, 2024, the $8.1 million paid to satisfy PRV-related obligations was capitalized as a finite-lived intangible asset, which will be amortized on a straight-line basis over its estimated useful life. Related amortization expense will be recorded as cost of product revenue in the Company’s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could be required to make additional milestone payments of up to $40.0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we have obligations to use commercially reasonable efforts to develop and commercialize at least two licensed products in at least two specified major market countries by the year 2029.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As of June 30, 2024, we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$3.0 million upfront in cash to Sprint, which was recorded as research and development expenses as the technology does not have an alternative future use. As of June 30, 2024,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We will also receive clinical inventory supplies to use in our research and development activities.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MabCare License Agreement, we made an upfront payment of $55.0 million, which was recorded as research and development expenses, as the technology does not have an alternative future use. As of June 30, 2024, the Company could be required to make additional payments of $1,152.0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2024, the FDA approved OJEMDA for the treatment of patients 6 months of age and older with relapsed or refractory pLGG harboring a BRAF fusion or rearrangement, or BRAF V600 mutation. In May 2024, we began to generate revenue from sales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OJEMDA in the United States. We record product revenue net of estimated discounts, chargebacks, rebates, specialty distributor fees, copay assistance, and product returns.</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 revenue includes the cost of inventory sold, amortization expense of intangible assets and third-party royalties payable on our net product revenue. Cost of goods sold may also include costs related to excess or obsolete inventory adjustment charges, abnormal costs, unabsorbed manufacturing and overhead costs, and manufacturing variances.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external and internal expenses incurred for our research activities, including our discovery and in-licensing undertakings, and the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agreements with third-party contract research organizations, or CROs, contract manufacturing organizations, or CMOs, and other third parties that conduct clinical trials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acquiring technology and intellectual property licenses that have no alternative future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business operational costs, such as rent, facilities and maintenance, travel and information technology, incurred related to research and development activities, but are not allocable to a specific product or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costs, including salaries, bonuses, benefits and share-based compensation expense, for our research and development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as incurred. We track external costs by program, which currently consist of expenses for our OJEMDA, pimasertib, and VRK1 programs. We do not track indirect costs on a program specific basis because these costs are deployed across multiple programs and, as such, are not separately classified.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employee-related costs, professional services and other operational costs. Employee-related costs include salaries, bonuses, benefits and share-based compensation expense for our selling, general and administrative personnel. Professional service expenses include legal fees; professional fees for accounting, marketing, human resources, business development, and other consulting services. Other operational costs include expenses for rent and facilities maintenance, travel, insurance and information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selling, general and administrative expenses will increase for the foreseeable future as we anticipate an increase in our personnel headcount to support the expansion of our corporate and commercial activities and continued expenses associated with being a public company, including costs related to compliance with the requirements of the Nasdaq Global Select Market, or Nasdaq, and the Securities and Exchange Commission, or the SEC; and investor and public relations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Gain from sale of priority review voucher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Gain from the sale of priority review voucher represents the sale of our rare pediatric disease PRV, which was awarded to us in connection with the FDA’s approval of OJEMDA.</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three months ended June 30, 2024 and 2023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2024 and 2023 (unaudited):</w:t>
      </w:r>
    </w:p>
    <w:tbl>
      <w:tblPr>
        <w:tblW w:w="9371" w:type="dxa"/>
        <w:jc w:val="left"/>
        <w:tblInd w:w="0" w:type="dxa"/>
        <w:tblLayout w:type="fixed"/>
        <w:tblCellMar>
          <w:top w:w="28" w:type="dxa"/>
          <w:left w:w="28" w:type="dxa"/>
          <w:bottom w:w="28" w:type="dxa"/>
          <w:right w:w="28" w:type="dxa"/>
        </w:tblCellMar>
      </w:tblPr>
      <w:tblGrid>
        <w:gridCol w:w="3651"/>
        <w:gridCol w:w="146"/>
        <w:gridCol w:w="211"/>
        <w:gridCol w:w="841"/>
        <w:gridCol w:w="166"/>
        <w:gridCol w:w="146"/>
        <w:gridCol w:w="211"/>
        <w:gridCol w:w="736"/>
        <w:gridCol w:w="166"/>
        <w:gridCol w:w="146"/>
        <w:gridCol w:w="211"/>
        <w:gridCol w:w="781"/>
        <w:gridCol w:w="166"/>
        <w:gridCol w:w="146"/>
        <w:gridCol w:w="177"/>
        <w:gridCol w:w="694"/>
        <w:gridCol w:w="77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FFFFFF" w:val="clear"/>
            <w:vAlign w:val="center"/>
          </w:tcPr>
          <w:p>
            <w:pPr>
              <w:pStyle w:val="TableContents"/>
              <w:bidi w:val="0"/>
              <w:spacing w:before="0" w:after="283"/>
              <w:jc w:val="righ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 (expense):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from sale of priority review voucher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2024, we recorded net product revenue of $8.2 million from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2024, we recorded cost of product revenue of $0.6 million related to sales of OJEMDA in the United States. Prior to the FDA approval of OJEMDA, product costs were expensed as research and development expense.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$59.9 million, from $32.2 million for the three months ended June 30, 2023 to $92.1 million for the three months ended June 30, 2024. Third-party expenses increased by $2.9 million due primarily to an increase in clinical trial and manufacturing activities, personnel related expenses increased by $1.6 million driven by headcount growth, and other research and development costs increased by $0.4 million. Additionally, during the three months ended June 30, 2024, expense of $55.0 million was recorded for the upfront payment due per the terms of the MabCare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three months ended June 30, 2024 and 2023:</w:t>
      </w:r>
    </w:p>
    <w:tbl>
      <w:tblPr>
        <w:tblW w:w="7924" w:type="dxa"/>
        <w:jc w:val="left"/>
        <w:tblInd w:w="0" w:type="dxa"/>
        <w:tblLayout w:type="fixed"/>
        <w:tblCellMar>
          <w:top w:w="28" w:type="dxa"/>
          <w:left w:w="28" w:type="dxa"/>
          <w:bottom w:w="28" w:type="dxa"/>
          <w:right w:w="28" w:type="dxa"/>
        </w:tblCellMar>
      </w:tblPr>
      <w:tblGrid>
        <w:gridCol w:w="5521"/>
        <w:gridCol w:w="146"/>
        <w:gridCol w:w="211"/>
        <w:gridCol w:w="676"/>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19,646</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MabCare license agreement upfront payment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and VRK1 programs were $19.3 million, $1.5 million, and $1.7 million, respectively, for three months ended June 30, 2024 compared to $19.0 million, $0.6 million, and $0, respectively, for the three months ended June 30, 2023. </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increased $13.1 million, from $17.1 million for the three months ended June 30, 2023 to $30.2 million for the three months ended June 30, 2024. The increase in selling, general and administrative expenses was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due to an increase of $6.8 million in personnel related expenses driven by headcount growth, an increase of $5.1 million in professional services driven by commercial launch activities, and an increase of $1.2 million in other selling,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Gain from sale of priority review voucher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from sale of priority review voucher for the three months ended June 30, 2024 was $108.0 million related to the sale of our rare pediatric disease PRV, which was awarded to us in connection with the FDA’s approval of OJEMDA.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for the three months ended June 30, 2024, was $1.6 million resulting in an effective tax rate of (54.4%) driven by the effect of equity compensation, generation of tax credits, deferred state income taxes and the valuation allowance recorded against the full amount of our net deferred tax assets. The Company did not record an income tax provision for the three months ended June 30, 2023 as it generated tax losses during the period.</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six months ended June 30, 2024 and 2023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2024 and 2023 (unaudited):</w:t>
      </w:r>
    </w:p>
    <w:tbl>
      <w:tblPr>
        <w:tblW w:w="9311" w:type="dxa"/>
        <w:jc w:val="left"/>
        <w:tblInd w:w="0" w:type="dxa"/>
        <w:tblLayout w:type="fixed"/>
        <w:tblCellMar>
          <w:top w:w="28" w:type="dxa"/>
          <w:left w:w="28" w:type="dxa"/>
          <w:bottom w:w="28" w:type="dxa"/>
          <w:right w:w="28" w:type="dxa"/>
        </w:tblCellMar>
      </w:tblPr>
      <w:tblGrid>
        <w:gridCol w:w="3651"/>
        <w:gridCol w:w="146"/>
        <w:gridCol w:w="211"/>
        <w:gridCol w:w="841"/>
        <w:gridCol w:w="166"/>
        <w:gridCol w:w="146"/>
        <w:gridCol w:w="211"/>
        <w:gridCol w:w="736"/>
        <w:gridCol w:w="166"/>
        <w:gridCol w:w="146"/>
        <w:gridCol w:w="211"/>
        <w:gridCol w:w="781"/>
        <w:gridCol w:w="166"/>
        <w:gridCol w:w="146"/>
        <w:gridCol w:w="177"/>
        <w:gridCol w:w="694"/>
        <w:gridCol w:w="71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jc w:val="righ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 (expense):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from sale of priority review voucher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we recorded net product revenue of $8.2 million from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we recorded cost of product revenue of $0.6 million related to sales of OJEMDA in the United States. Prior to the FDA approval of OJEMDA, the majority of costs were expensed as research and development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$72.3 million, from $60.0 million for the six months ended June 30, 2023 to $132.3 million for the six months ended June 30, 2024. Third-party expenses increased by $6.6 million, due primarily to an increase in clinical trial, manufacturing, and other product development expenses, personnel related expenses increased by $4.5 million resulting from additional headcount and stock-based compensation, and other research and development expenses increased by $1.2 million. Milestone expense increased by $60.0 million due to a $55.0 million upfront fee related to the MabCare License Agreement and a $5.0 million amendment payment related to the Viracta License Agreement.</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six months ended June 30, 2024 and 2023:</w:t>
      </w:r>
    </w:p>
    <w:tbl>
      <w:tblPr>
        <w:tblW w:w="8029" w:type="dxa"/>
        <w:jc w:val="left"/>
        <w:tblInd w:w="0" w:type="dxa"/>
        <w:tblLayout w:type="fixed"/>
        <w:tblCellMar>
          <w:top w:w="28" w:type="dxa"/>
          <w:left w:w="28" w:type="dxa"/>
          <w:bottom w:w="28" w:type="dxa"/>
          <w:right w:w="28" w:type="dxa"/>
        </w:tblCellMar>
      </w:tblPr>
      <w:tblGrid>
        <w:gridCol w:w="5521"/>
        <w:gridCol w:w="146"/>
        <w:gridCol w:w="211"/>
        <w:gridCol w:w="781"/>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35,497</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MabCare license agreement upfront payment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Viracta license agreement amendment payment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91" w:type="dxa"/>
            <w:tcBorders/>
            <w:shd w:fill="CFF0FC" w:val="clear"/>
            <w:vAlign w:val="center"/>
          </w:tcPr>
          <w:p>
            <w:pPr>
              <w:pStyle w:val="TableContents"/>
              <w:bidi w:val="0"/>
              <w:spacing w:before="0" w:after="283"/>
              <w:jc w:val="lef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5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and VRK1 programs were $36.1 million, $2.5 million, and $3.5 million, respectively, for six months ended June 30, 2024 compared to $33.7 million, $1.8 million, and $0, respectively, for the six months ended June 30, 2023.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$21.6 million, from $35.1 million for the six months ended June 30, 2023 to $56.7 million for the six months ended June 30, 2024. The increase in selling, general and administrative expenses was primarily due to an increase of $11.9 million in personnel related expenses driven by headcount growth, an increase of $6.8 million in professional services driven by commercial launch activities, and an increase of $2.9 million in other selling,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Gain from sale of priority review voucher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from sale of priority review voucher for the six months ended June 30, 2024 was $108.0 million related to the sale of our rare pediatric disease PRV, which was awarded to us in connection with the FDA’s approval of OJEMDA.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for the six months ended June 30, 2024, was $1.6 million resulting in an effective tax rate of (2.4%) driven by the effect of equity compensation, generation of tax credits, deferred state income taxes and the valuation allowance recorded against the full amount of our net deferred tax assets. The Company did not record an income tax provision for the six months ended June 30, 2023 as it generated tax losses during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an accumulated deficit of $525.4 million and $361.9 million in cash and cash equivalents and short-term investments. We believe our cash and cash equivalents and short-term investments will be sufficient to satisfy our cash requirements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operating lease obligation for office space. As of June 30, 2024, we had fixed lease payment obligations of approximately $0.2 million payable within 12 months.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Research Organizations and Contract Manufacturing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June 30, 2024, there were no amounts accrued related to termination and cancellation charges as these are not probable.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5 to the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the periods presented: </w:t>
      </w:r>
    </w:p>
    <w:tbl>
      <w:tblPr>
        <w:tblW w:w="6119"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2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2024 was $98.9 million, consisting of our net loss of $66.8 million, non-cash charges of $84.0 million and net changes in operating assets and liabilities of $52.0 million. Non-cash charges are primarily related to a gain from the sale of our rare pediatric disease PRV of $108.0 million and accretion of discounts on short-term investments of $2.2 million, which was partially offset by share-based compensation expense of $25.7 million. Net changes in operating assets and liabilities are primarily related to an increase in accrued expenses and other current liabilities of $60.5 million and accounts payable of $3.9 million, which was partially offset by an increase in accounts receivable of $9.1 million and prepaid expenses and other current assets of $3.1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2023 was $68.4 million, consisting of our net loss of $88.3 million, non-cash charges of $13.2 million and net changes in operating assets and liabilities of $6.6 million. Non-cash charges is primarily related to share-based compensation expense of $18.9 million, which was partially offset by accretion of discounts on short-term investments of $5.9 million. Net changes in operating assets and liabilities is primarily related to an increase in accounts payable of $4.3 million, an increase in accrued expenses and other current liabilities of $3.6 million and a decrease of deposits and other long-term assets of $0.2 million, which were partially offset by an increase in prepaid expenses and other current assets of $1.3 million and a decrease to operating lease liabilities of $0.2 million.</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2024 was $106.3 million related to the proceeds from the maturity of short-term investments of $184.2 million and from the sale of our rare pediatric disease PRV of $108.0 million, partially offset by the purchase of short-term investments of $168.8 million and acquisition of intangible assets of $17.1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2023 was $9.1 million related to the proceeds from the maturity of short-term investments of $274.0 million, partially offset by the purchase of short-term investments of $264.7 million and the purchase of property and equipment of $0.2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for the six months ended June 30, 2024 was $1.3 million related to net proceeds from the issuance of common stock upon stock option exercises and purchases made under our 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2023 was $163.3 million, primarily attributable to the net proceeds from the issuance of common stock in connection with our follow-on offering of common stock of $161.4 million.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there was $1.9 million of net cash provided by financing activities related to proceeds from the issuance of common stock upon stock option exercises and purchases made under our 2021 Employee Stock Purchase Plan. </w:t>
      </w:r>
    </w:p>
    <w:p>
      <w:pPr>
        <w:pStyle w:val="TextBody"/>
        <w:bidi w:val="0"/>
        <w:spacing w:before="360" w:after="283"/>
        <w:jc w:val="left"/>
        <w:rPr>
          <w:rFonts w:ascii="Times New Roman" w:hAnsi="Times New Roman"/>
          <w:sz w:val="20"/>
        </w:rPr>
      </w:pPr>
      <w:r>
        <w:rPr>
          <w:rFonts w:ascii="Times New Roman" w:hAnsi="Times New Roman"/>
          <w:b/>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continue to incur significant expenses and increasing operating losses for the foreseeable future in connection with our ongoing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cash, cash equivalents and short-term investments are not sufficient to meet capital needs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funds may be adversely impacted by potential worsening global economic conditions, and disruptions to and volatility in the credit and financial markets in the United States and worldwide resulting from inflation, changing interest rates, potential instability in the global banking system, uncertainty with respect to the federal debt ceiling and budget and potential government shutdowns related thereto with respect to the federal budget,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critical accounting policies are disclosed in our audited consolidated financial statements for the year ended December 31, 2023, and the related notes, included in our Annual Report. </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2 of the Notes to our Financial Statements included elsewhere in this Quarterly Report on Form 10-Q for a summary of recently issued and adopted accounting pronouncements. </w:t>
      </w:r>
    </w:p>
    <w:p>
      <w:pPr>
        <w:pStyle w:val="TextBody"/>
        <w:bidi w:val="0"/>
        <w:spacing w:before="360" w:after="283"/>
        <w:jc w:val="left"/>
        <w:rPr>
          <w:rFonts w:ascii="Times New Roman" w:hAnsi="Times New Roman"/>
          <w:sz w:val="20"/>
        </w:rPr>
      </w:pPr>
      <w:bookmarkStart w:id="11" w:name="tx180355_10"/>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market risks from those described in Part II Item 7A. Quantitative and qualitative disclosures about market risk of our 2023 Form 10-K.</w:t>
      </w:r>
    </w:p>
    <w:p>
      <w:pPr>
        <w:pStyle w:val="TextBody"/>
        <w:bidi w:val="0"/>
        <w:spacing w:before="360" w:after="283"/>
        <w:jc w:val="left"/>
        <w:rPr>
          <w:rFonts w:ascii="Times New Roman" w:hAnsi="Times New Roman"/>
          <w:sz w:val="20"/>
        </w:rPr>
      </w:pPr>
      <w:bookmarkStart w:id="12" w:name="tx180355_11"/>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management, with the participation of our Principal Executive Officer and Principal Financial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June 30, 2024, our disclosure controls and procedures were effective at a reasonable assurance level.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that occurred during the six months ended June 30, 2024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tx180355_12"/>
      <w:bookmarkEnd w:id="13"/>
      <w:r>
        <w:rPr>
          <w:rFonts w:ascii="Times New Roman" w:hAnsi="Times New Roman"/>
          <w:b/>
          <w:caps/>
          <w:color w:val="000000"/>
          <w:sz w:val="20"/>
        </w:rPr>
        <w:t>PART II-OTHER INFORMATION</w:t>
      </w:r>
      <w:r>
        <w:rPr>
          <w:rFonts w:ascii="Times New Roman" w:hAnsi="Times New Roman"/>
          <w:caps/>
          <w:color w:val="000000"/>
          <w:sz w:val="20"/>
        </w:rPr>
        <w:t xml:space="preserve"> </w:t>
      </w:r>
    </w:p>
    <w:p>
      <w:pPr>
        <w:pStyle w:val="TextBody"/>
        <w:bidi w:val="0"/>
        <w:spacing w:before="360" w:after="283"/>
        <w:jc w:val="left"/>
        <w:rPr>
          <w:rFonts w:ascii="Times New Roman" w:hAnsi="Times New Roman"/>
          <w:sz w:val="20"/>
        </w:rPr>
      </w:pPr>
      <w:bookmarkStart w:id="14" w:name="tx180355_13"/>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 </w:t>
      </w:r>
    </w:p>
    <w:p>
      <w:pPr>
        <w:pStyle w:val="TextBody"/>
        <w:bidi w:val="0"/>
        <w:spacing w:before="360" w:after="283"/>
        <w:jc w:val="left"/>
        <w:rPr>
          <w:rFonts w:ascii="Times New Roman" w:hAnsi="Times New Roman"/>
          <w:sz w:val="20"/>
        </w:rPr>
      </w:pPr>
      <w:bookmarkStart w:id="15" w:name="tx180355_14"/>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several risks and uncertainties, including those immediately following this summary. Some of these risks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not completed any clinical trials beyond Phase 2, and, to date, have not generated substantial revenue from the sales of our product, OJEMDA, which may make it difficult for investors to evaluate our current business and likelihood of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and, to date, have not generated substantial revenue from the sales of our product, OJEMDA. We expect to incur continued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our ability to achieve several objectives relating to the discovery or identification, development and commercialization of OJEMDA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OJEMDA or our product candidates, our reputation may be harmed and our business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data from investigator-initiated studies, as we did for the Phase 1 clinical trial, and we do not control the trial operations or reporting of the results of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pharmaceutical products are subject to extensive regulation, and we may not obtain marketing authorizations for pimasertib, DAY301 or any future product candidates,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pharmaceutical products, including OJEMDA and our product candidates, including pimasertib and DAY301, is complex. Our third-party manufacturers may encounter difficulties in production, which could delay or entirely halt their ability to supply our product candidates for clinical trials or, if approved, our products for commercial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depends on our ability to retain our executive officers and key employees and to attract, retain and motivate qualified personnel and manage our human capital.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the size and capabilities of our organization, and we may experience difficulties in managing this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have not completed any clinical trials beyond Phase 2 and, to date, have not generated substantial revenue from the sales of our product OJEMDA, which may make it difficult for investors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commercial-stage biopharmaceutical company with a limited operating history upon which you can evaluate our business and prospects. We commenced operations in 2018, and to date, have not generated substantial revenue from the sales of our product, OJEMDA. Investment in drug development is a highly speculative undertaking and involves a substantial degree of risk. To date, we have devoted substantially all of our resources to identifying, acquiring and developing OJEMDA and our product candidates and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focused substantially all of our efforts and financial resources on the clinical development of our product, OJEMDA, initially for relapsed or refractory pediatric low-grade gliomas, or pLGGs, and our product candidate, pimasertib, which we are studying in combination with tovorafenib for the treatment of RAS- and RAF-dependent tumors. Further, pursuant to a License Agreement with MabCare Therapeutics, or MabCare, entered into in June 2024, or the MabCare License Agreement, we have exclusive rights to develop, manufacture and commercialize DAY301, a novel ADC targeting PTK7, worldwide, excluding Greater China. To date, we have financed our operations primarily through the sale and issuance of redeemable convertible preferred shares, convertible notes, the completion of our initial public offering, or IPO, and follow-on public offerings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demonstrated an ability to successfully complete any clinical trials beyond Phase 2,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and risks frequently experienced by biopharmaceutical companies in rapidly evolving fields and with recently approved therapies.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significant net losses since our inception and, to date, have not generated substantial revenue from the sales of our product, OJEMDA. We expect to incur continued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our inception, have not generated substantial revenue from the sales of our product, OJEMDA, to date and have financed our operations principally through private placements of our redeemable convertible preferred shares, our convertible notes, the completion of our IPO and follow-on offerings of our common stock. For the six months ended June 30, 2024 and 2023, we reported a net loss of $66.8 million and $88.3 million, respectively. We had an accumulated deficit of $525.4 million as of June 30, 2024. We expect to incur increasing levels of operating losses for the foreseeable future, particularly as we advance tovorafenib, pimasertib and DAY301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2 FIREFLY-1 trial for OJEMDA, our ongoing pivotal Phase 3 FIREFLY-2 trial of tovorafenib as a potential front-line therapy in pLGG, our post-marketing commitments and requirements for OJEMDA, our ongoing Phase 1b/2 FIRELIGHT-1 umbrella master trial of tovorafenib in adult RAS/RAF-altered solid tumors as a monotherapy and in combination with pimasertib, our Phase 1/2a trial of DAY301 targeting PTK7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candidates, including pimasertib and DAY301, if marketing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authorization is received. We have also incurred, and will continue to incur, additional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and our product, tovorafenib, is currently in pivotal Phase 3 clinical trials. Our product candidates, pimasertib and DAY301, are in earlier stages of development and are not approved for sale in any jurisdiction. There can be no assurance that tovorafenib, pimasertib, DAY301 or any future product candidates we develop, if any, will achieve success in their clinical trials or obtain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OJEMDA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current and future clinical trials resulting in attractive, competitive target product profiles, including our pivotal Phase 3 FIREFLY-2 trial of tovorafenib as a front-line therapy for patients with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ongoing clinical trial for tovorafenib and Phase 1b/2 umbrella master trial of tovorafenib in combination with pimasertib meeting clinical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successful enrollment of patients in, and completion of, clinical trials with favorable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demonstration of safety, effectiveness and acceptable risk-benefit profiles of OJEMDA and our product candidates to the satisfaction of the FDA and foreign regulatory agencies and attractiveness of OJEMDA and our product candidates to physicians, patients, advocates, payors and caregivers;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that of our collaborators, to develop and obtain clearance or approval of complementary or companion diagnostics, if any, on a timely basis, or at all, and an adequate supply of these diagnostics and access to these diagnostics that outpaces demand;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and related terms of marketing authorizations from applicable regulatory authorities for our product candidates such as pimasertib and DAY301, including potential restrictions or limitations on the conditions of use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patents will be sufficient to prevent generic competition for OJEMDA after our orphan drug exclusivity expires;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completion of any required or committed post-marketing studies and available funding to perform any such post-marketing requirements or post-marketing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and successful commercialization of OJEMDA and our product candidates, including pimasertib and DAY301;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statutory exclusivities for OJEMDA and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or establishing manufacturing capabilities, for both clinical and commercial supplies of OJEMDA and our product candidates and ensuring a resilient, effective supply chain that produces supply that outpaces demand;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implementing marketing, pricing and reimbursement strategies, as well as adequate demand forecasts for supply and sales planning;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in a market where promotional sales approaches are rapidly moving to digital platforms and access of sales representatives to major institutions remains uncertain;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products, if and when approved, by patients, physicians, the medical community and third-party payors underpinned by adequate health economic data and a meaningful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 across multiple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including those that have not yet entered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companies in the pharmaceutical and biotechnology industries, which are characterized by rapidly advancing technologies, intense competition and a strong emphasis on proprietary and novel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appropriate support from patient advocacy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shaping the market in the early years following launch to help providers understand a new way of thinking about treating relevant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ongoing and planned clinical trials resulting from factors related to any macroeconomic conditions, major natural disaster, public health epidemic or significant political event, including inflation, changes in interest rates, actual or perceived instability in the global banking system, uncertainty with respect to the federal debt ceiling and budget and potential government shutdowns related thereto and global regional conflicts, as well as any delays due to supply chain issues impacting the availability of certain standard-of-care chemotherapy drugs;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products following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and if we cannot address any of them in a timely manner or at all, we could experience significant delays or an inability to successfully commercialize OJEMDA and our product candidates, which would materially harm our business. It is also possible that not all of our product candidates, including pimasertib and DAY301, will obtain marketing authorization even if we expend substantial time and resources seeking such approval.</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successful development and commercialization of OJEMDA and our product candidates. Our ability to generate future revenue at the levels or timing we expect and achieve profitability depends on several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market and sell OJEMDA while maintaining full compliance with applicable federal and state laws, rules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pivotal Phase 3 FIREFLY-2 trial with tovorafenib that achieves a competitive, clinically meaningful and generally well-tolerated target product profile for the front-line treatment of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Phase 1b/2 FIRELIGHT-1 umbrella master trial of tovorafenib in combination with pimasertib;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Phase 1/2a trial of DAY301;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successfully complete all safety, pharmacokinetic and other studies required to obtain foreign marketing authorization for OJEMDA as a treatment for patients with pLGGs;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complete additional, successful late-stage clinical trials that meet their clinical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favorable results from our clinical trials and apply for and obtain marketing authorizations for pimasertib and DAY301 from applicable regulatory authorities, including NDAs from the FDA, and maintaining such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licenses, collaborations or strategic partnerships that allow for the commercialization of OJEMDA and our product candidates and/or may increase the value of our programs;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viable supply and manufacturing relationships with third parties that can provide adequate, in both amount and quality, products and services to support clinical development and meet the market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commercialize OJEMDA, pimasertib, and DAY301 and any future product candidates we may develop, if approved, by building and maintaining a sales force and/or entering into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 any post-marketing requirements imposed by, or post-marketing commitments made to, applicable regulatory authorities, including for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an acceptable safety profile of our product and our product candidates, including OJEMDA, pimasertib and DAY301, and continue to maintain a continued acceptable safety profile following marketing authorization,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assess and develop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patent and trade secret protection, statutory exclusivities and other intellectual property protections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defend our intellectual property portfolio, including any necessary licenses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OJEMDA and our product candidates, including pimasertib and DAY301, if approved, with patients, the medical community and third-party payors, both in the United States and internationally;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earlier stages of most of these activities. We may never succeed in these activities and, even if we do, may never generate revenues that are significant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product, OJEMDA, and product candidates, pimasertib and DAY301, and any future product candidates through clinical development. We expect increased expenses as we continue our research and development, initiate additional clinical trials, seek to expand our product pipeline, seek marketing authorization for our lead programs and future product candidates, if any, and invest in our organization. In addition, we expect to incur significant expenses related to the product manufacturing, marketing, sales and distribution of OJEMDA and, if we obtain marketing authorization, for our product candidates including pimasertib and DAY301. Furthermore, we have incurred and will continue to incur additional costs associated with operating as a public company, such as acquiring and retaining experienced personnel, developing new information technology systems and other costs associated with being a public company.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$361.9 million in cash, cash equivalents and short-term investments as of June 30, 2024. We believe that our existing cash, cash equivalents and short-term investments, will enable us to fund our operating expenses and capital expenditure requirements into 2026.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preclinical studies and clinical trials for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pipeline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current or future product candidates that we may pursue, and other indications for our current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marketing authorization for our current or future product candidates or the modification of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and marketing authorization for any complementary or companion diagnostics that may be useful to or necessary for the commercialization of OJEMDA and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making arrangements with third-party manufacturers, or establishing manufacturing capabilities, for both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our organization to the size needed to allow for the research, development and potential commercialization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pursue strategic collaborations, including collaborations to commercialize OJEMDA, pimasertib, DAY301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commercializing any approved products and product candidates, including establishing sales, marketing, market access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completing any post-marketing studies or trials requested or required by the FDA or other regulatory authorities, including for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OJEMDA, pimasertib, DAY301 or any of our future product candidates, if approved, or any other future pipeline product candidates that receive marketing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potential product liability claims, including the costs associated with obtaining insurance against such claims and with defending against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capital to complete our planned clinical development programs for our current product candidates to obtain marketing authorization, and we anticipate needing to raise additional capital to complete the development of and to commercialize OJEMDA or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ATM. No shares of our common stock have been sold under the ATM as of June 30, 2024.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actual or perceived instability in the global banking system, uncertainty with respect to the federal debt ceiling and budget and potential government shutdowns related thereto, global regional conflicts, public health epidemics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OJEMDA and our product candidates, our reputation may be harmed and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failure for OJEMDA and our product candidates is high. It is impossible to predict when or if OJEMDA and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results of preclinical studies and earlier clinical trials may not be predictive of the results of later-stage preclinical studies or clinical trials. We have limited clinical data for OJEMDA and our product candidates. Products and product candidates in later stages of clinical trials may fail to show similar or desired safety and efficacy traits despite having progressed through preclinical and earlier stage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OJEMDA has only been studied in a limited number of patients. Following commercial launch, OJEMDA will be available to a much larger number of patients, and we do not know whether the results of OJEMDA’s use in such larger number of patients will be consistent with the results from our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has been administered only to a limited number of patients in clinical studies. While the FDA granted accelerated approval of OJEMDA based on the data included in the NDAs, we do not know whether the real 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rely on data from investigator-initiated studies, as we did for the Phase 1 clinical trial, and we do not control the trial operations or reporting of the results of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compassionate use programs could subject us to additional risks, including delays in our clinical trial programs, impacts to our supply capabilities, or adverse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patients receive access to investigational drugs outside of clinical trials through compassionate use programs, which refer to expanded access or right to try programs. These patients generally have life-threatening illnesses for which there are no alternative therapies or they have exhausted all other available therapies.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delays, result in an inability to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 any compassionate use program in order to enroll sufficient numbers of patients in our clinical trials required for marketing authorization and successful commercialization of our drug candidates. If we were to restructure or pause our compassionate use programs, we could face adverse publicity or disruptions related to current or potential participants in our programs.</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trials may be suspended, delayed or fail to adequately demonstrate the safety and effectiveness of OJEMDA and our product candidates, which would prevent or delay development, marketing authorization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authorization from the FDA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challenges and unforeseen events during, or as a result of, clinical trials that could delay or prevent receipt of marketing authorization or our ability to successfully commercialize OJEMDA or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regulators refusing to permit our clinical studies to proceed or placing studies on hold before or after the studies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demonstrate that the dose for a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product candidates in clinical trials to demonstrate important functional, quality, or patient-reported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landscape causing clinical trial enrollment challenges or preventing or delaying marketing authorization in one or several subsets studied in our programs, including in relapsed or front-line pLGG;</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that may require us to conduct additional clinical trials or abandon certain research and/or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delays in our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including Good Clinical Practice, or GCP, regulations,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or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clinical trials to demonstrate the safety or effectiveness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would require us to include data from additional patients or longer term efficacy and safety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some of our product candidates are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predict the outcome of our clinical trials, nor can we guarantee that the data we generate from our clinical trials will be acceptable to regulatory authorities so as to support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drug development and/or commercialization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or unable to obtain marketing authorization;</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contraindications, limitations of use or other restrictions that affect the market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authorization with labeling that includes safety warnings, a risk evaluation and mitigation strategy, or REMS, and/or other restrictions on distribution or use that could affect market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drug or impose post-marketing safety labeling changes or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civil or criminal investigations and litigation;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enrolling patients in our ongoing or planned clinical trials, we may be delayed in or prevented from obtaining necessary marketing authorization for any or all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of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and prevalence of our target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awareness of, and perceptions as to, the potential advantages and risks of our product candidates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expertise and selection of contract research organizations, or CROs, to manage operations related to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studies or trials with similar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invasive procedures that may be required to enroll patients and to obtain evidence of the product candidate’s performance during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shortages of chemotherapy standard of care, which may be used in the control arm of certain of our clinical trials, including FIREFLY-2 and our Phase 1/2a trial for DAY301;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defined in the protocol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subject to a partial or full clinical hold on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reluctance of physicians or patient advocacy organizations to encourage patient participation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in clinical trials for OJEMDA.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pStyle w:val="TextBody"/>
        <w:bidi w:val="0"/>
        <w:spacing w:before="360" w:after="283"/>
        <w:jc w:val="left"/>
        <w:rPr>
          <w:rFonts w:ascii="Times New Roman" w:hAnsi="Times New Roman"/>
          <w:sz w:val="20"/>
        </w:rPr>
      </w:pPr>
      <w:r>
        <w:rPr>
          <w:rFonts w:ascii="Times New Roman" w:hAnsi="Times New Roman"/>
          <w:b/>
          <w:i/>
          <w:color w:val="000000"/>
          <w:sz w:val="20"/>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Response Assessment in Pediatric Neuro-Oncology Low-Grade Glioma, or RAPNO-LGG,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pStyle w:val="TextBody"/>
        <w:bidi w:val="0"/>
        <w:spacing w:before="120" w:after="283"/>
        <w:jc w:val="left"/>
        <w:rPr>
          <w:rFonts w:ascii="Times New Roman" w:hAnsi="Times New Roman"/>
          <w:sz w:val="20"/>
        </w:rPr>
      </w:pPr>
      <w:r>
        <w:rPr>
          <w:rFonts w:ascii="Times New Roman" w:hAnsi="Times New Roman"/>
          <w:color w:val="000000"/>
          <w:sz w:val="20"/>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hAnsi="Times New Roman"/>
          <w:color w:val="000000"/>
          <w:sz w:val="12"/>
        </w:rPr>
        <w:t>®</w:t>
      </w:r>
      <w:r>
        <w:rPr>
          <w:rFonts w:ascii="Times New Roman" w:hAnsi="Times New Roman"/>
          <w:color w:val="000000"/>
          <w:sz w:val="20"/>
        </w:rPr>
        <w:t xml:space="preserve"> by Genentech; dabrafenib, marketed as Tafinlar</w:t>
      </w:r>
      <w:r>
        <w:rPr>
          <w:rFonts w:ascii="Times New Roman" w:hAnsi="Times New Roman"/>
          <w:color w:val="000000"/>
          <w:sz w:val="12"/>
        </w:rPr>
        <w:t>®</w:t>
      </w:r>
      <w:r>
        <w:rPr>
          <w:rFonts w:ascii="Times New Roman" w:hAnsi="Times New Roman"/>
          <w:color w:val="000000"/>
          <w:sz w:val="20"/>
        </w:rPr>
        <w:t xml:space="preserve"> by Novartis; and encorafenib, marketed as Braftovi</w:t>
      </w:r>
      <w:r>
        <w:rPr>
          <w:rFonts w:ascii="Times New Roman" w:hAnsi="Times New Roman"/>
          <w:color w:val="000000"/>
          <w:sz w:val="12"/>
        </w:rPr>
        <w:t>®</w:t>
      </w:r>
      <w:r>
        <w:rPr>
          <w:rFonts w:ascii="Times New Roman" w:hAnsi="Times New Roman"/>
          <w:color w:val="000000"/>
          <w:sz w:val="20"/>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pStyle w:val="TextBody"/>
        <w:bidi w:val="0"/>
        <w:spacing w:before="120" w:after="283"/>
        <w:jc w:val="left"/>
        <w:rPr>
          <w:rFonts w:ascii="Times New Roman" w:hAnsi="Times New Roman"/>
          <w:sz w:val="20"/>
        </w:rPr>
      </w:pPr>
      <w:r>
        <w:rPr>
          <w:rFonts w:ascii="Times New Roman" w:hAnsi="Times New Roman"/>
          <w:color w:val="000000"/>
          <w:sz w:val="20"/>
        </w:rPr>
        <w:t>Four MEK inhibitors have been approved by the FDA. Three have been approved for the treatment of tumors containing BRAF V600E or V600K mutations, including cobimetinib, marketed as Cotellic</w:t>
      </w:r>
      <w:r>
        <w:rPr>
          <w:rFonts w:ascii="Times New Roman" w:hAnsi="Times New Roman"/>
          <w:color w:val="000000"/>
          <w:sz w:val="12"/>
        </w:rPr>
        <w:t>®</w:t>
      </w:r>
      <w:r>
        <w:rPr>
          <w:rFonts w:ascii="Times New Roman" w:hAnsi="Times New Roman"/>
          <w:color w:val="000000"/>
          <w:sz w:val="20"/>
        </w:rPr>
        <w:t xml:space="preserve"> by Genentech; trametinib, marketed as Mekinist</w:t>
      </w:r>
      <w:r>
        <w:rPr>
          <w:rFonts w:ascii="Times New Roman" w:hAnsi="Times New Roman"/>
          <w:color w:val="000000"/>
          <w:sz w:val="12"/>
        </w:rPr>
        <w:t>®</w:t>
      </w:r>
      <w:r>
        <w:rPr>
          <w:rFonts w:ascii="Times New Roman" w:hAnsi="Times New Roman"/>
          <w:color w:val="000000"/>
          <w:sz w:val="20"/>
        </w:rPr>
        <w:t xml:space="preserve"> by Novartis; and binimetinib, marketed as Mektovi</w:t>
      </w:r>
      <w:r>
        <w:rPr>
          <w:rFonts w:ascii="Times New Roman" w:hAnsi="Times New Roman"/>
          <w:color w:val="000000"/>
          <w:sz w:val="12"/>
        </w:rPr>
        <w:t>®</w:t>
      </w:r>
      <w:r>
        <w:rPr>
          <w:rFonts w:ascii="Times New Roman" w:hAnsi="Times New Roman"/>
          <w:color w:val="000000"/>
          <w:sz w:val="20"/>
        </w:rPr>
        <w:t xml:space="preserve"> by Pfizer. A fourth MEK inhibitor—selumetinib, marketed as Koselugo</w:t>
      </w:r>
      <w:r>
        <w:rPr>
          <w:rFonts w:ascii="Times New Roman" w:hAnsi="Times New Roman"/>
          <w:color w:val="000000"/>
          <w:sz w:val="12"/>
        </w:rPr>
        <w:t>®</w:t>
      </w:r>
      <w:r>
        <w:rPr>
          <w:rFonts w:ascii="Times New Roman" w:hAnsi="Times New Roman"/>
          <w:color w:val="000000"/>
          <w:sz w:val="20"/>
        </w:rPr>
        <w:t xml:space="preserve"> by AstraZeneca—has been approved for the treatment of pediatric patients two years of age and older with neurofibromatosis type 1, or NF1, who have symptomatic, inoperable plexiform neurofibromas. While MEK inhibitors as monotherapy have been shown to be active in BRAF altered pLGG (both BRAF V600E mutant pLGG and BRAF fusion-driven pLGG), no MEK inhibitors have been approved by the FDA as a monotherapy for the treatment of patients with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Fore Therapeutics (formerly NovellusDx) is developing the RAF dimer breaker PLX8394 in a Phase 1/2 trial in combination with cobicistat. Black Diamond Therapeutics have next-generation BRAF inhibitors in Phase 1 clinical trials. Jazz Pharmaceuticals and Redx have announced that the pan-RAF inhibitor JZP815 has entered clinical development in a Phase 1 trial. Erasca recently announced that it has entered into an exclusive worldwide license agreement with Novartis for naporafenib, a Phase 3 pivotal-ready pan-RAF inhibitor with a potential first-in-class and best-in-class profile in NRAS mutant melanoma and other RAS/MAPK pathway-driven tumors. Nested Therapeutics has advanced NST-628, a pan-RAF/MEK “molecular glue” into a Phase 1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pursuant to the MabCare License Agreement, we have the exclusive right to develop, manufacture and commercialize DAY301, a novel ADC targeting PTK7, worldwide, excluding Greater China. We expect the first patient to be dosed in the Phase I study for DAY301 in the fourth quarter of 2024 or first quarter of 2025. In February 2024, Profound Bio has dosed its first patient in a Phase 1/2 Clinical Trial of PRO1107, a PTK7-targeted antibody-drug conjugate.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other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Safety risks or other side effects associated with OJEMDA, pimasertib, DAY301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we have observed side effects and adverse events associated with our product, OJEMDA, and our product candidates. The most common side effects (adverse events) observed to date with OJEMDA included maculopapular rash, anemia, headache, elevation in blood creatinine phosphokinase, or CPK, nausea, skin and hair discoloration and fatigue.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pimasertib, DAY301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prevented further development. In addition, regulatory authorities may draw different conclusions, require additional testing to confirm these determinations, require more restrictive labeling or deny marketing authorization of the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 marketing authorization, and we or others later identify undesirable side effects caused by treatment with such drug,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the drug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impose additional restrictions on the marketing or promotion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could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authorization or acceptance of our product candidates, if approved, and could significantly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or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opportunities for any products and product candidates we develop, if approved, may be limited to certain smaller patient subsets and may be smaller than we estimate them to be.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setting, and prior to any such approvals we may have to conduct additional clinical trials that may be costly, time-consuming and subject to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development activities are primarily focused on the development of targeted therapeutics for patients with genomically-defined cancers, which is a rapidly evolving area of science, and the approach we are taking to discover and develop drugs is novel and may never lead to additional approved or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OJEMDA and our product candidates, including pimasertib and DAY301, may not achieve adequate market acceptance among physicians, healthcare professionals, patients or their families,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OJEMDA, and product candidates, including pimasertib and DAY301, if approved, may not achieve adequate market acceptance among physicians, healthcare professionals, patients or their families, healthcare payors and others in the medical community necessary for commercial success. The degree of market acceptance of any of our approved product candidates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durability and safety profile as demonstrated in clinical trials compared to alternative treatments, in addition to functional, quality or patient-reported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and of any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use of product candidates in the labeling approved by regulatory authorities, such as boxed warnings or contraindications in labeling, or REMS, which may not be required of alternative treatments and competitor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OJEMDA and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and the cost/benefit ratios of each;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by third-party payors, including government authorities, and timing of relevant formulary decision-making resulting in this coverage and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 relation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(which may include willingness of our pediatric patients’ parents) to try new therapies and undergo required diagnostic screening to determine treatment eligibility and of physicians to prescribe these therapies and diagnostic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and market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publicity relating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OJEMDA specifically, successful commercialization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products and product candidates we develop may become subject to unfavorable third-party coverage and reimbursement practices, as well as price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candidates, including pimasertib and DAY301,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pharmaceutical products are subject to extensive regulation, and we may not obtain marketing authorizations for pimasertib, DAY301 or any future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and pimasertib and DAY301, currently our only product and product candidates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refer any application we submit to an advisory committee. An advisory committee is a panel of independent experts, including clinicians and other scientific experts, which reviews, evaluates and provides advice and recommendations to the FDA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approval of an NDA is not guaranteed, and the review and approval process is an expensive and uncertain process over which the FDA has substantial discretion. The FDA approval process may also take several years.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certain required post-marketing studies are negative, the FDA could withdraw approval, add warnings or narrow approved indications, which could affect the commercial success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deem our product candidate to be safe and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that the product candidate does not have an acceptable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in the case of an NDA seeking accelerated approval that the NDA does not provide evidence that the product candidate represents a meaningful advantage over available therapies and, therefore, may deny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ORR as the primary endpoint, complemented by key secondary endpoints, is insufficient to reliably define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adverse events experienced by participants in our clinical trials represent an unacceptable level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accept clinical data from trials, which are conducted at clinical facilities or in countries where the standard of care is potentially different from that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 regarding the formulation, labeling and/or the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approve the manufacturing processes associated with our product candidate or may determine that a manufacturing facility does not have an acceptable compliance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approval policies or adopt new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file a submission due to, among other reasons, the content or formatting of the submission.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obtained FDA approval for our product candidates, pimasertib and DAY301.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several expedited programs, including Fast Track, Priority Review, Breakthrough Therapy and Accelerated Approval, which are authorized by the Federal Food, Drug and Cosmetic Act, or FD&amp;C Act, and implemented pursuant to FDA regulations and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guidance. None of these programs change the standard for FDA approval of a pharmaceutical product. We still must demonstrate substantial evidence of effectiveness and an acceptable safety profile to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avail ourselves of one or more of the FDA’s expedited programs. For example, we may seek Fast Track designation for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priority review voucher. We cannot assure you that the FDA would decide to grant priority review of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FDA regulations require that sponsors of products granted accelerated approval submit during the pre-approval review period copies of all promotional materials intended to be used within 120 days following marketing approval. After 120 days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marketing approval, unless otherwise informed by the FDA, the sponsor must submit all promotional materials at least 30 days prior to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has the authority to withdraw products approved under the accelerated approval pathway using expedited withdrawal procedures. Circumstances that may lead to such withdrawal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conduct any required post-approval study of a product candidate with due diligence, including with respect to conditions specified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study required to verify and describe the predicted clinical benefit of a product candidate fails to verify and describe such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evidence demonstrates that the product candidate is not shown to be safe or effective under the conditions of use;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sponsor's dissemination of false or misleading promotional materials relating to the relevant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 maintain orphan drug designation or exclusivity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obtained orphan drug designation in the United States and in the EU for use of tovorafenib in treating malignant glioma and glioma, respectively. We may seek orphan drug designation for tovorafenib in additional geographies or indications, or for pimasertib or DAY301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if a medicinal product is granted marketing authorization as an orphan medicinal product, it benefits from a period of orphan market exclusivity during which the European Medicines Agency, or the EMA, or a national regulator may not accept a marketing authorization application for a similar medicinal product in the same orphan indication. The applicable period of orphan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a recent Eleventh Circuit decision in </w:t>
      </w:r>
      <w:r>
        <w:rPr>
          <w:rFonts w:ascii="Times New Roman" w:hAnsi="Times New Roman"/>
          <w:i/>
          <w:color w:val="000000"/>
          <w:sz w:val="20"/>
        </w:rPr>
        <w:t>Catalyst Pharmaceuticals, Inc. vs. FDA</w:t>
      </w:r>
      <w:r>
        <w:rPr>
          <w:rFonts w:ascii="Times New Roman" w:hAnsi="Times New Roman"/>
          <w:color w:val="000000"/>
          <w:sz w:val="20"/>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 exclusivity in the United States. Legislation has also been introduced that may reverse the Catalyst decision, but such legislation has not yet been passed.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older with relapsed or refractory pLGG harboring a BRAF fusion or rearrangement, or BRAF V600 mutation, and in connection with the accelerated approval, Day One received a Priority Review Rare Pediatric Disease Voucher, or PRV.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the current statutory sunset provisions, the FDA generally may not award rare pediatric disease priority review vouchers after September 30, 2024. However, if the sponsor has received rare pediatric disease designation for a drug no later than September 30, 2024, the FDA may award a rare pediatric disease priority review voucher if the drug is approved by September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product and product candidate for which marketing authorization is granted, including OJEMDA, an approved product and the marketing authorization holder are subject to ongoing regulation by the FDA and other regulators. Regulators may impose post-marketing requirements and elicit post-marketing commitments, which may be onerous and subject us to ongoing review and extensive regulation. For example, the FDA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product surveillance and quality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for which we obtain marketing authorization, such as OJEMDA,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patients taking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media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OJEMDA, and 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our products in any jurisdiction outside the United States, we must obtain separate marketing authorizations and comply with numerous and varying regulatory requirements. The approval procedure varies among countries and can involve additional testing. The time required to obtain approval may differ substantially from that required to obtain FDA approval. Further, FDA approval of OJEMDA does not guarantee approval in jurisdictions outside of the United States. The marketing authorization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authorizations and may not receive necessary approvals to commercialize our products in any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Existing, recently enacted and future legislation may increase the difficulty and cost for us to obtain marketing authorization of and commercialize our product candidates and decrease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the provisions of the ACA of importance to our potential product candidates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fees and taxes on manufacturers of certain branded prescription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nondeductible fee on any entity that manufactures or imports specified branded prescription drugs and biologic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the statutory minimum rebates a manufacturer must pay under the Medicaid Drug Rebate Program and extended the rebate program to individuals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healthcare fraud and abuse laws, including the False Claims Act and the federal Anti-Kickback Statute, new government investigative powers and enhanced penalties for noncompliance;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eligibility criteria for Medicaid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the entities eligible for discounts under the Public Health Service pharmaceutical pricing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report financial arrangements with physicians, as defined by such law, and teaching hospitals;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annually report drug samples that manufacturers and distributors provide to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repeal or replace certain aspects of the ACA, including measures taken during the Trump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Court of Appeals for the Fifth Circuit’s decision that held that the individual mandate is unconstitutional. On February 10, 2021, the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last presidential administration used several means to propose or implement drug pricing reform, including through federal budget proposals, executive orders and policy initiatives. The current presidential administration is also focused on drug pricing.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will take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including potentially significant additional changes to current drug pricing and reimbursement structures, will be adopted in the future, particularly if there is a change in presidential administration.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delay or prevent marketing authorization,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of the United States tend to impose strict price controls, which may adversely affect our future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developing our current product candidates, and may continue to develop future product candidates, in combination with other therapies, which would expose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our current product candidates in combination with one or more currently approved cancer therapies or therapies in development. Even if our current or future product candidates, including pimasertib and DAY301, receive marketing authorization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experience as a commercial company and the sales, marketing, and distribution of OJEMDA or any future approved products may be unsuccessful or less successful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completed hiring in areas to support commercialization, including in sales management, sales representatives, marketing, access and reimbursement, sales support, and distribution.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OJEMDA may not develop as planned or anticipated, which may require us to, among others, adjust or amend our business plan and incur significant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all aspects of our clinical trials ourselves. As a result, we are dependent on third parties to conduct our ongoing and planned clinical trials of tovorafenib, pimasertib and DAY301,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OJEMDA, pimasertib, DAY301 or any future product candidates and will not be able to, or may be delayed in our efforts to, successfully commercialize our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pharmaceutical products, including OJEMDA and our product candidates including pimasertib and DAY301, is complex. Our third-party manufacturers may encounter difficulties in production, which could delay or entirely halt their ability to supply our product candidates for clinical trials or, if approved, for commercial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Legislation has been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enter into additional agreements with third-party manufacturers or suppliers or do so on favorable terms. Our anticipated reliance on a limited number of third party-manufacturers or suppliers exposes us to the following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product development, analytical testing and data generation to support regulatory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carrier disruptions or increased costs that are beyond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deliver our drugs under specified storage conditions and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prepare for later-stage clinical trials and commercialization of OJEMDA, we will need to take steps to increase the scale of production of OJEMDA and our product candidates.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OJEMDA or our product candidates may adversely affect our future profit margins and our ability to commercialize any products that obtain marketing authorization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suppliers for raw materials and any disruptions arising from our sole suppliers could result in delays in our clinical trials or otherwise adversely affect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actual or perceived instability in the global banking system, uncertainty with respect to the federal debt ceiling and budget and potential government shutdowns related thereto, natural disasters, fire, regional geopolitical conflicts,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development and commercialization of OJEMDA and our product candidates. If those collaborations are not successful, we may not be able to capitalize on the market potential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development and commercialization of OJEMDA and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enter into any such arrangements with any third parties, we will likely have limited control over the amount and timing of resources that our future collaborators dedicate to the development or commercialization of OJEMDA and our product candidates. Our ability to generate revenues from these arrangements will depend on our future collaborators’ abilities and efforts to successfully perform the functions assigned to them in these arrangements. Collaborations with future collaborators involving OJEMDA and our product candidates would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OJEMDA and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OJEMDA or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OJEMDA or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OJEMDA or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OJEMDA or our product candidates in the most efficient manner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commercialization program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one or more collaborations, all of the risks relating to product development, marketing authorization and commercialization described herein would also apply to the activities of any such future collaborators.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loss of any large customer, or any cancellation or delay of a significant purchase by a large customer, could reduce our net sales and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substantial portion of our revenue from a limited number of customers. For example, for the six months ended June 30, 2024, two individual customers accounted for 98% of our total net product revenue, with these individual customers representing 61% and 37% of total net product revenue. As of June 30, 2024, two customers accounted for 98% of the accounts receivable balance, with these individual customers representing 59% and 39% of the accounts receivable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any assurances that we will retain our current customers or groups of customers, that they will maintain their current or forecasted demand for our products, or that we will be able to attract and retain additional customers in the future. If for any reason we were to lose our ability to sell to a specific group or class of customers, we could experience a significant reduction in revenue or loss of market share, which would adversely impact our operating results.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our executive officers and key employees and to attract, retain and motivate qualified personnel and manage our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and Samuel Blackman, M.D., Ph.D., our Head of Research and Development,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169 full-time employees as of June 30, 2024.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pimasertib, DAY301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pimasertib or DAY301 or any future product candidates or otherwise advance our business. We cannot assure you that we will be able to properly manage our existing vendors or consultants or find other competent outside vendors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growth and expand our organization, we may not be able to successfully implement the tasks necessary to further develop and commercialize OJEMDA, pimasertib, DAY301, our other pipeline product candidates or any future product candidates and, accordingly,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clinical trial investigators, CROs, CMOs, consultants, vendors and any future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and third parties that we rely on, including, clinical trial investigators, CROs, CMOs, consultants, vendors and any future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increase of “work from home” in recent years has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increase of remote work to their advantage. We may not be able to anticipate all types of security threats, nor may we be able to implement preventive measures effective against all such security threats. The techniques used by cyber criminals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pimasertib, DAY301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OJEMDA, pimasertib, DAY301,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Washington state recently passed the My Health My Data Act, which is focused on the collection of consumer health data. The My Health My Data Act has a broader scope than HIPAA and includes a private right of action. The My Health Data Act became effective on March 31, 2024 and there may be substantial regulatory action and litigation associated with the My Health Data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and enforced as of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which, if enacted, could increase our potential liability and compliance costs,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Effective July 10, 2023, the new EU-U.S. Data Privacy Framework, or the DPF, has been recognized as adequate under EU law to allow transfers of personal data from the EU to certified companies in the United States. However, the DPF is subject to further legal challenges which could cause the legal requirements for personal data transfers from the EU to the United States to become uncertain once again. While the DPF does not apply to the UK, on October 12, 2023, the UK government adopted an adequacy decision concluding that the United States ensures an adequate level of protection transferred from the UK to the United States under the UK Extension to the EU-U.S. Data Privacy Framework, or the UK DPF. We anticipate a similar adequacy decision from the Swiss government, or Swiss DPF. Both the UK DPF and the Swiss DPF could also be contested or otherwise affected by any challenges to the EU-U.S. DPF.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 July 26, 2023, the SEC adopted new cybersecurity disclosure rules for public companies that require disclosure regarding cybersecurity risk management (including the board’s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by Form 8-K, within four business days of determining an incident is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subject to the terms of external and internal privacy and security policies, representations, certifications and publications related to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Investors’ expectations of our performance relating to environmental, social and governance factors may impose additional costs and expose us to new risks.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an increasing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Additionally, in March 2024, the SEC enacted comprehensive climate change disclosure rules, although the SEC has since issued an order to stay the rules pending the completion of judicial review of multiple petitions challenging the rules.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engaged, and will continue to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transactions, for instance with affiliates of Takeda Pharmaceutical Company Limited, Viracta Therapeutics, Inc., Merck KGaA, Darmstadt, Germany and MabCare, and from time to time, we may consider further strategic transactions, such as acquisitions of companies, businesses or assets and out-licensing or in-licensing of products, product candidates (such as DAY301)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systems and personnel of any acquired businesses with our operations, systems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retain key employees of any acquired businesses.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drug development. Additionally, we intend to rely on regulatory protection afforded through rare drug designations, data exclusivity and market exclusivity as well as patent term extensions, where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hAnsi="Times New Roman"/>
          <w:i/>
          <w:color w:val="000000"/>
          <w:sz w:val="20"/>
        </w:rPr>
        <w:t>inter partes</w:t>
      </w:r>
      <w:r>
        <w:rPr>
          <w:rFonts w:ascii="Times New Roman" w:hAnsi="Times New Roman"/>
          <w:color w:val="000000"/>
          <w:sz w:val="20"/>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develop products that are similar to OJEMDA and our product candidates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make the inventions covered by the issued patents or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license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it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hAnsi="Times New Roman"/>
          <w:i/>
          <w:color w:val="000000"/>
          <w:sz w:val="20"/>
        </w:rPr>
        <w:t>inter partes</w:t>
      </w:r>
      <w:r>
        <w:rPr>
          <w:rFonts w:ascii="Times New Roman" w:hAnsi="Times New Roman"/>
          <w:color w:val="000000"/>
          <w:sz w:val="20"/>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 in costly litigation that may cause negative publicity;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 us from commercializing OJEMDA or any of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us to significant liability to third parties;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no third party has asserted a claim of patent infringement against us as of June 30, 2024,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now depend on, at least in part, Viracta Therapeutics, Inc., Takeda Pharmaceutical Company Limited, Dana Farber Cancer Institute, Millennium Pharmaceuticals, Inc., Merck KGaA, Darmstadt, Germany and MabCare and will continue to depend on Viracta Therapeutics, Inc., Takeda Pharmaceutical Company Limited, Dana Farber Cancer Institute, Millennium Pharmaceuticals, Inc. and Merck KGaA, Darmstadt, Germany and MabCare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our rights to develop and market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patent or trade secret protection for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delays in the development or commercialization of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able to obtain any other licenses on acceptable terms, if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any of the foregoing, it could have a materially adverse effect on our business and could force us to cease operations which could cause you to lose all of your investment.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our license agreements, it could have a material adverse effect on our commercialization efforts for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 Further, pursuant to the MabCare License Agreement, we have the exclusive right to develop, manufacture and commercialize DAY301 worldwide, excluding Greater China.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intellectual property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OJEMDA and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inventors are able to contest the assignment of their rights to our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and MabCare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cannot currently determine the amount of the royalty obligations we would be required to pay on sales of future products, if any, the amounts may be significant. The amount of our future royalty obligations will depend on the technology and intellectual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we use in products that we successfully develop and commercialize, if any. Therefore, even if we successfully develop and commercialize products, we may be unable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w:t>
      </w:r>
      <w:r>
        <w:rPr>
          <w:rFonts w:ascii="Times New Roman" w:hAnsi="Times New Roman"/>
          <w:i/>
          <w:color w:val="000000"/>
          <w:sz w:val="20"/>
        </w:rPr>
        <w:t xml:space="preserve">inter partes </w:t>
      </w:r>
      <w:r>
        <w:rPr>
          <w:rFonts w:ascii="Times New Roman" w:hAnsi="Times New Roman"/>
          <w:color w:val="000000"/>
          <w:sz w:val="20"/>
        </w:rPr>
        <w:t xml:space="preserve">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patent reform legislation could increase the uncertainties and costs surrounding the prosecution of our patent applications and/or those of our licensors and the enforcement or defense of our issued patents and/or those of our licensors.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An adverse determination in any such submission or proceeding could reduce the scope or enforceability of, or invalidate, our patent rights, which could adversely affect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The Federal Circuit recently issued the In Re: Cellect, LLC decision that involves the interaction of patent term adjustment, or PTA, terminal disclaimers, and obviousness-type double patenting. This decision creates uncertainty to the patent terms of certain U.S. patents that share the same priority claim where one expires later than another due to accrued PTA.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licensors may have relied on third-party consultants or collaborators such that our licensors are not the sole and exclusive owners of the patents we in-licensed. If other third parties have ownership rights or other rights to our in-licensed patents, they may be able to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such patents to our competitors, and our competitors could market competing products.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for our product and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or our employees have wrongfully used or disclosed alleged confidential information or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or may enter in the future into non-disclosure and confidentiality agreements to protect the proprietary positions of third parties, such as outside scientific collaborators, CROs, third-party manufacturers, consultants, advisors, potential partners and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patent protection and patent prosecution for OJEMDA and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our intellectual property protection includes patents and patent applications that we have in-licensed from, among others, Viracta Therapeutics, Inc., Takeda Pharmaceutical Company Limited, Merck KGaA, Darmstadt, Germany and MabCare.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and liquid trading market for our common stock may never be sustained. As a result, you may not be able to resell your shares of common stock at or above the purchase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clinical trials or funding support by us or potential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potential future arrangements or the termination or modification of any such potential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misappropriation or violation lawsuit or opposition, interference or cancellation proceeding in which we may become involved;</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we develop receives marketing authorization, the timing and terms of such approval and market acceptance and demand for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authorization and intend to commercialize on our own or jointly with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current or future product candidates or products, if any,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expense or gain associated with the change in value of the success payments and 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 such as due to rising interest rates, inflation, actual or perceived instability in the global banking system, uncertainty with respect to the federal debt ceiling and budget and potential government shutdowns related thereto, global regional conflicts and public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activities, such as additional program in-licensing, which could result in up-front payments or increased development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common stock is likely to be highly volatile, which could result in substantial losses for purchasers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or clinical trials by us or those of our competitors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enrollment status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development status of our product candidates, including variations in the level of expense related to the development of our programs or funding support by us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 candidates by us, our future collaboration partners, or our competitors,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or completed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and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fluctuations of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interest rate increases on the overall stock market and the market for biopharmaceutical company stocks;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shares of our common stock by us, insiders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inflation, actual or perceived instability in the global banking system and uncertainty with respect to the federal debt ceiling and budget and potential government shutdowns related thereto, many of which are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global pandemics, such as the COVID-19 pandemic, or war, incidents of terrorism or responses to these events, including global regional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A sale of a substantial number of shares of our common stock may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an aggregate of 87,692,916 shares of our outstanding common stock as of June 30, 2024 will have rights, subject to some conditions, to require us to file registration statements covering their shares or to include their shares in registration statements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we may file for ourselves or our stockholders. We also have registered shares of common stock that we may issue under our equity incentive plans. These shares are freely tradeable in the public market upon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June 30, 2024, our executive officers, directors, holders of 5% or more of our capital stock and their respective affiliates beneficially owned 46.6%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the board of directors to establish the number of directors and fill vacancies on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restated certificate of incorporation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company, our common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stock price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have been concerns with respect to the stability of the global banking system. For example, on March 10, 2023, Silicon Valley Bank, or SVB, one of our banking partners, was closed by the California Department of Financial Protection and Innovation, which appointed the Federal Deposit Insurance Corporation, or the FDIC, as receiver. While we only had a minimal amount of our cash directly at SVB and, since that date, the FDIC has stated that all depositors of SVB will be made whole, there is no guarantee that the federal government would guarantee all depositors as they did with SVB depositors in the event of further bank closures and continued instability in the global banking system may adversely impact our business and financial condition. Likewise, the capital and credit markets may be adversely affected by global regional conflicts, and the possibility of wider or additional global conflicts,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business and operations may be impacted by the political instability and military hostilities in multiple geographies including Ukraine, the Middle East and the tensions between China and Taiwan. We are closely monitoring the unfolding events of the armed conflict in Israel which began in October 2023. While this conflict is still evolving, to date, the conflict has not had an adverse impact on our business results of operations. However, if the conflict continues to worsen or intensify, any business interruptions or spillover effects could adversely affect our business and operations.</w:t>
      </w:r>
    </w:p>
    <w:p>
      <w:pPr>
        <w:pStyle w:val="TextBody"/>
        <w:bidi w:val="0"/>
        <w:spacing w:before="360" w:after="283"/>
        <w:jc w:val="left"/>
        <w:rPr>
          <w:rFonts w:ascii="Times New Roman" w:hAnsi="Times New Roman"/>
          <w:sz w:val="20"/>
        </w:rPr>
      </w:pPr>
      <w:bookmarkStart w:id="16" w:name="tx180355_15"/>
      <w:bookmarkEnd w:id="16"/>
      <w:r>
        <w:rPr>
          <w:rFonts w:ascii="Times New Roman" w:hAnsi="Times New Roman"/>
          <w:b/>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tx180355_16"/>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tx180355_17"/>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tx180355_18"/>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tx180355_19"/>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or furnished as part of this Quarterly Report on Form 10-Q are set forth on the Exhibit Index below. </w:t>
      </w:r>
    </w:p>
    <w:tbl>
      <w:tblPr>
        <w:tblW w:w="10205" w:type="dxa"/>
        <w:jc w:val="left"/>
        <w:tblInd w:w="0" w:type="dxa"/>
        <w:tblLayout w:type="fixed"/>
        <w:tblCellMar>
          <w:top w:w="28" w:type="dxa"/>
          <w:left w:w="28" w:type="dxa"/>
          <w:bottom w:w="28" w:type="dxa"/>
          <w:right w:w="28" w:type="dxa"/>
        </w:tblCellMar>
      </w:tblPr>
      <w:tblGrid>
        <w:gridCol w:w="802"/>
        <w:gridCol w:w="6119"/>
        <w:gridCol w:w="523"/>
        <w:gridCol w:w="474"/>
        <w:gridCol w:w="526"/>
        <w:gridCol w:w="643"/>
        <w:gridCol w:w="1118"/>
      </w:tblGrid>
      <w:tr>
        <w:trPr/>
        <w:tc>
          <w:tcPr>
            <w:tcW w:w="802" w:type="dxa"/>
            <w:tcBorders/>
            <w:vAlign w:val="center"/>
          </w:tcPr>
          <w:p>
            <w:pPr>
              <w:pStyle w:val="TableContents"/>
              <w:bidi w:val="0"/>
              <w:spacing w:before="0" w:after="283"/>
              <w:jc w:val="left"/>
              <w:rPr>
                <w:sz w:val="4"/>
                <w:szCs w:val="4"/>
              </w:rPr>
            </w:pPr>
            <w:r>
              <w:rPr>
                <w:sz w:val="4"/>
                <w:szCs w:val="4"/>
              </w:rPr>
            </w:r>
          </w:p>
        </w:tc>
        <w:tc>
          <w:tcPr>
            <w:tcW w:w="61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61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4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w:t>
              <w:br/>
              <w:t>Date</w:t>
            </w:r>
            <w:r>
              <w:rPr>
                <w:rFonts w:ascii="Times New Roman" w:hAnsi="Times New Roman"/>
                <w:color w:val="000000"/>
                <w:sz w:val="16"/>
              </w:rPr>
              <w:t xml:space="preserve">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118" w:type="dxa"/>
            <w:tcBorders/>
            <w:tcMar>
              <w:top w:w="0" w:type="dxa"/>
              <w:left w:w="0" w:type="dxa"/>
              <w:bottom w:w="0" w:type="dxa"/>
              <w:right w:w="0" w:type="dxa"/>
            </w:tcMar>
            <w:vAlign w:val="center"/>
          </w:tcPr>
          <w:p>
            <w:pPr>
              <w:pStyle w:val="TableContents"/>
              <w:bidi w:val="0"/>
              <w:spacing w:before="0" w:after="283"/>
              <w:ind w:left="0" w:right="0" w:firstLine="128"/>
              <w:jc w:val="center"/>
              <w:rPr>
                <w:rFonts w:ascii="Times New Roman" w:hAnsi="Times New Roman"/>
                <w:sz w:val="16"/>
              </w:rPr>
            </w:pPr>
            <w:r>
              <w:rPr>
                <w:rFonts w:ascii="Times New Roman" w:hAnsi="Times New Roman"/>
                <w:b/>
                <w:color w:val="000000"/>
                <w:sz w:val="16"/>
              </w:rPr>
              <w:t>Filed/Furnished</w:t>
              <w:br/>
              <w:t>Herewith</w:t>
            </w:r>
            <w:r>
              <w:rPr>
                <w:rFonts w:ascii="Times New Roman" w:hAnsi="Times New Roman"/>
                <w:color w:val="000000"/>
                <w:sz w:val="16"/>
              </w:rPr>
              <w:t xml:space="preserve">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pPr>
            <w:r>
              <w:rPr/>
              <w:t> </w:t>
            </w:r>
          </w:p>
        </w:tc>
        <w:tc>
          <w:tcPr>
            <w:tcW w:w="6119" w:type="dxa"/>
            <w:tcBorders/>
            <w:vAlign w:val="center"/>
          </w:tcPr>
          <w:p>
            <w:pPr>
              <w:pStyle w:val="TableContents"/>
              <w:bidi w:val="0"/>
              <w:spacing w:before="0" w:after="283"/>
              <w:ind w:left="0" w:right="0" w:firstLine="128"/>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ind w:left="0" w:right="0" w:firstLine="128"/>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ind w:left="0" w:right="0" w:firstLine="128"/>
              <w:jc w:val="left"/>
              <w:rPr/>
            </w:pPr>
            <w:r>
              <w:rPr/>
              <w:t> </w:t>
            </w:r>
          </w:p>
        </w:tc>
        <w:tc>
          <w:tcPr>
            <w:tcW w:w="526" w:type="dxa"/>
            <w:tcBorders/>
            <w:tcMar>
              <w:top w:w="0" w:type="dxa"/>
              <w:left w:w="0" w:type="dxa"/>
              <w:bottom w:w="0" w:type="dxa"/>
              <w:right w:w="0" w:type="dxa"/>
            </w:tcMar>
            <w:vAlign w:val="center"/>
          </w:tcPr>
          <w:p>
            <w:pPr>
              <w:pStyle w:val="TableContents"/>
              <w:bidi w:val="0"/>
              <w:spacing w:before="0" w:after="20"/>
              <w:ind w:left="0" w:right="0" w:firstLine="128"/>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ind w:left="0" w:right="0" w:firstLine="128"/>
              <w:jc w:val="left"/>
              <w:rPr/>
            </w:pPr>
            <w:r>
              <w:rPr/>
              <w:t> </w:t>
            </w:r>
          </w:p>
        </w:tc>
        <w:tc>
          <w:tcPr>
            <w:tcW w:w="1118" w:type="dxa"/>
            <w:tcBorders/>
            <w:tcMar>
              <w:top w:w="0" w:type="dxa"/>
              <w:left w:w="0" w:type="dxa"/>
              <w:bottom w:w="0" w:type="dxa"/>
              <w:right w:w="0" w:type="dxa"/>
            </w:tcMar>
            <w:vAlign w:val="center"/>
          </w:tcPr>
          <w:p>
            <w:pPr>
              <w:pStyle w:val="TableContents"/>
              <w:bidi w:val="0"/>
              <w:spacing w:before="0" w:after="20"/>
              <w:ind w:left="128" w:right="0" w:firstLine="128"/>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w:t>
            </w:r>
          </w:p>
        </w:tc>
        <w:tc>
          <w:tcPr>
            <w:tcW w:w="6119" w:type="dxa"/>
            <w:tcBorders/>
            <w:vAlign w:val="center"/>
          </w:tcPr>
          <w:p>
            <w:pPr>
              <w:pStyle w:val="TableContents"/>
              <w:bidi w:val="0"/>
              <w:spacing w:before="0" w:after="283"/>
              <w:ind w:left="128" w:right="0" w:firstLine="128"/>
              <w:jc w:val="left"/>
              <w:rPr/>
            </w:pPr>
            <w:hyperlink w:anchor="dawn-ex10_1.htm">
              <w:r>
                <w:rPr>
                  <w:rStyle w:val="InternetLink"/>
                  <w:rFonts w:ascii="Times New Roman" w:hAnsi="Times New Roman"/>
                  <w:color w:val="0000FF"/>
                  <w:sz w:val="20"/>
                  <w:u w:val="single"/>
                </w:rPr>
                <w:t>Asset Purchase Agreement, dated May 29, 2024.</w:t>
              </w:r>
            </w:hyperlink>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pPr>
            <w:r>
              <w:rPr/>
              <w:t> </w:t>
            </w:r>
          </w:p>
        </w:tc>
        <w:tc>
          <w:tcPr>
            <w:tcW w:w="6119" w:type="dxa"/>
            <w:tcBorders/>
            <w:vAlign w:val="center"/>
          </w:tcPr>
          <w:p>
            <w:pPr>
              <w:pStyle w:val="TableContents"/>
              <w:bidi w:val="0"/>
              <w:spacing w:before="0" w:after="283"/>
              <w:ind w:left="128" w:right="0" w:firstLine="128"/>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10.2^</w:t>
            </w:r>
          </w:p>
        </w:tc>
        <w:tc>
          <w:tcPr>
            <w:tcW w:w="6119" w:type="dxa"/>
            <w:tcBorders/>
            <w:vAlign w:val="center"/>
          </w:tcPr>
          <w:p>
            <w:pPr>
              <w:pStyle w:val="TableContents"/>
              <w:bidi w:val="0"/>
              <w:spacing w:before="0" w:after="283"/>
              <w:ind w:left="128" w:right="0" w:firstLine="128"/>
              <w:jc w:val="left"/>
              <w:rPr/>
            </w:pPr>
            <w:hyperlink w:anchor="dawn-ex10_2.htm">
              <w:r>
                <w:rPr>
                  <w:rStyle w:val="InternetLink"/>
                  <w:rFonts w:ascii="Times New Roman" w:hAnsi="Times New Roman"/>
                  <w:color w:val="0000FF"/>
                  <w:sz w:val="20"/>
                  <w:u w:val="single"/>
                </w:rPr>
                <w:t>Exclusive License Agreement by and between MabCare Therapeutics and Day One Biopharmaceuticals, Inc. dated June 17, 2024.</w:t>
              </w:r>
            </w:hyperlink>
            <w:r>
              <w:rPr>
                <w:rFonts w:ascii="Times New Roman" w:hAnsi="Times New Roman"/>
                <w:color w:val="000000"/>
                <w:sz w:val="20"/>
              </w:rPr>
              <w:t xml:space="preserve">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pPr>
            <w:r>
              <w:rPr/>
              <w:t> </w:t>
            </w:r>
          </w:p>
        </w:tc>
        <w:tc>
          <w:tcPr>
            <w:tcW w:w="6119" w:type="dxa"/>
            <w:tcBorders/>
            <w:vAlign w:val="center"/>
          </w:tcPr>
          <w:p>
            <w:pPr>
              <w:pStyle w:val="TableContents"/>
              <w:bidi w:val="0"/>
              <w:spacing w:before="0" w:after="283"/>
              <w:ind w:left="128" w:right="0" w:firstLine="128"/>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31.1</w:t>
            </w:r>
          </w:p>
        </w:tc>
        <w:tc>
          <w:tcPr>
            <w:tcW w:w="6119" w:type="dxa"/>
            <w:tcBorders/>
            <w:vAlign w:val="center"/>
          </w:tcPr>
          <w:p>
            <w:pPr>
              <w:pStyle w:val="TableContents"/>
              <w:bidi w:val="0"/>
              <w:spacing w:before="0" w:after="283"/>
              <w:ind w:left="128" w:right="0" w:firstLine="128"/>
              <w:jc w:val="left"/>
              <w:rPr/>
            </w:pPr>
            <w:hyperlink w:anchor="daw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dawn-ex31_1.htm">
              <w:r>
                <w:rPr>
                  <w:rStyle w:val="InternetLink"/>
                  <w:rFonts w:ascii="Times New Roman" w:hAnsi="Times New Roman"/>
                  <w:color w:val="0000FF"/>
                  <w:sz w:val="20"/>
                </w:rPr>
                <w:t xml:space="preserve"> </w:t>
              </w:r>
            </w:hyperlink>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vAlign w:val="center"/>
          </w:tcPr>
          <w:p>
            <w:pPr>
              <w:pStyle w:val="TableContents"/>
              <w:bidi w:val="0"/>
              <w:spacing w:before="0" w:after="283"/>
              <w:ind w:left="0" w:right="0" w:firstLine="128"/>
              <w:jc w:val="left"/>
              <w:rPr>
                <w:sz w:val="4"/>
                <w:szCs w:val="4"/>
              </w:rPr>
            </w:pPr>
            <w:r>
              <w:rPr>
                <w:sz w:val="4"/>
                <w:szCs w:val="4"/>
              </w:rPr>
            </w:r>
          </w:p>
        </w:tc>
        <w:tc>
          <w:tcPr>
            <w:tcW w:w="6119" w:type="dxa"/>
            <w:tcBorders/>
            <w:vAlign w:val="center"/>
          </w:tcPr>
          <w:p>
            <w:pPr>
              <w:pStyle w:val="TableContents"/>
              <w:bidi w:val="0"/>
              <w:spacing w:before="0" w:after="283"/>
              <w:ind w:left="0" w:right="0" w:firstLine="128"/>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31.2</w:t>
            </w:r>
          </w:p>
        </w:tc>
        <w:tc>
          <w:tcPr>
            <w:tcW w:w="6119" w:type="dxa"/>
            <w:tcBorders/>
            <w:vAlign w:val="center"/>
          </w:tcPr>
          <w:p>
            <w:pPr>
              <w:pStyle w:val="TableContents"/>
              <w:bidi w:val="0"/>
              <w:spacing w:before="0" w:after="283"/>
              <w:ind w:left="128" w:right="0" w:firstLine="128"/>
              <w:jc w:val="left"/>
              <w:rPr/>
            </w:pPr>
            <w:hyperlink w:anchor="daw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vAlign w:val="center"/>
          </w:tcPr>
          <w:p>
            <w:pPr>
              <w:pStyle w:val="TableContents"/>
              <w:bidi w:val="0"/>
              <w:spacing w:before="0" w:after="283"/>
              <w:ind w:left="0" w:right="0" w:firstLine="128"/>
              <w:jc w:val="left"/>
              <w:rPr>
                <w:sz w:val="4"/>
                <w:szCs w:val="4"/>
              </w:rPr>
            </w:pPr>
            <w:r>
              <w:rPr>
                <w:sz w:val="4"/>
                <w:szCs w:val="4"/>
              </w:rPr>
            </w:r>
          </w:p>
        </w:tc>
        <w:tc>
          <w:tcPr>
            <w:tcW w:w="6119" w:type="dxa"/>
            <w:tcBorders/>
            <w:vAlign w:val="center"/>
          </w:tcPr>
          <w:p>
            <w:pPr>
              <w:pStyle w:val="TableContents"/>
              <w:bidi w:val="0"/>
              <w:spacing w:before="0" w:after="283"/>
              <w:ind w:left="0" w:right="0" w:firstLine="128"/>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32.1*</w:t>
            </w:r>
          </w:p>
        </w:tc>
        <w:tc>
          <w:tcPr>
            <w:tcW w:w="6119" w:type="dxa"/>
            <w:tcBorders/>
            <w:vAlign w:val="center"/>
          </w:tcPr>
          <w:p>
            <w:pPr>
              <w:pStyle w:val="TableContents"/>
              <w:bidi w:val="0"/>
              <w:spacing w:before="0" w:after="283"/>
              <w:ind w:left="128" w:right="0" w:firstLine="128"/>
              <w:jc w:val="left"/>
              <w:rPr/>
            </w:pPr>
            <w:hyperlink w:anchor="daw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dawn-ex32_1.htm">
              <w:r>
                <w:rPr>
                  <w:rStyle w:val="InternetLink"/>
                  <w:rFonts w:ascii="Times New Roman" w:hAnsi="Times New Roman"/>
                  <w:color w:val="0000FF"/>
                  <w:sz w:val="20"/>
                </w:rPr>
                <w:t xml:space="preserve"> </w:t>
              </w:r>
            </w:hyperlink>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vAlign w:val="center"/>
          </w:tcPr>
          <w:p>
            <w:pPr>
              <w:pStyle w:val="TableContents"/>
              <w:bidi w:val="0"/>
              <w:spacing w:before="0" w:after="283"/>
              <w:ind w:left="0" w:right="0" w:firstLine="128"/>
              <w:jc w:val="left"/>
              <w:rPr>
                <w:sz w:val="4"/>
                <w:szCs w:val="4"/>
              </w:rPr>
            </w:pPr>
            <w:r>
              <w:rPr>
                <w:sz w:val="4"/>
                <w:szCs w:val="4"/>
              </w:rPr>
            </w:r>
          </w:p>
        </w:tc>
        <w:tc>
          <w:tcPr>
            <w:tcW w:w="6119" w:type="dxa"/>
            <w:tcBorders/>
            <w:vAlign w:val="center"/>
          </w:tcPr>
          <w:p>
            <w:pPr>
              <w:pStyle w:val="TableContents"/>
              <w:bidi w:val="0"/>
              <w:spacing w:before="0" w:after="283"/>
              <w:ind w:left="0" w:right="0" w:firstLine="128"/>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32.2*</w:t>
            </w:r>
          </w:p>
        </w:tc>
        <w:tc>
          <w:tcPr>
            <w:tcW w:w="6119" w:type="dxa"/>
            <w:tcBorders/>
            <w:vAlign w:val="center"/>
          </w:tcPr>
          <w:p>
            <w:pPr>
              <w:pStyle w:val="TableContents"/>
              <w:bidi w:val="0"/>
              <w:spacing w:before="0" w:after="283"/>
              <w:ind w:left="128" w:right="0" w:firstLine="128"/>
              <w:jc w:val="left"/>
              <w:rPr/>
            </w:pPr>
            <w:hyperlink w:anchor="daw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vAlign w:val="center"/>
          </w:tcPr>
          <w:p>
            <w:pPr>
              <w:pStyle w:val="TableContents"/>
              <w:bidi w:val="0"/>
              <w:spacing w:before="0" w:after="283"/>
              <w:ind w:left="0" w:right="0" w:firstLine="128"/>
              <w:jc w:val="left"/>
              <w:rPr>
                <w:sz w:val="4"/>
                <w:szCs w:val="4"/>
              </w:rPr>
            </w:pPr>
            <w:r>
              <w:rPr>
                <w:sz w:val="4"/>
                <w:szCs w:val="4"/>
              </w:rPr>
            </w:r>
          </w:p>
        </w:tc>
        <w:tc>
          <w:tcPr>
            <w:tcW w:w="6119" w:type="dxa"/>
            <w:tcBorders/>
            <w:vAlign w:val="center"/>
          </w:tcPr>
          <w:p>
            <w:pPr>
              <w:pStyle w:val="TableContents"/>
              <w:bidi w:val="0"/>
              <w:spacing w:before="0" w:after="283"/>
              <w:ind w:left="0" w:right="0" w:firstLine="128"/>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101.INS</w:t>
            </w:r>
          </w:p>
        </w:tc>
        <w:tc>
          <w:tcPr>
            <w:tcW w:w="6119" w:type="dxa"/>
            <w:tcBorders/>
            <w:vAlign w:val="center"/>
          </w:tcPr>
          <w:p>
            <w:pPr>
              <w:pStyle w:val="TableContents"/>
              <w:bidi w:val="0"/>
              <w:spacing w:before="0" w:after="283"/>
              <w:ind w:left="128" w:right="0" w:firstLine="128"/>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vAlign w:val="center"/>
          </w:tcPr>
          <w:p>
            <w:pPr>
              <w:pStyle w:val="TableContents"/>
              <w:bidi w:val="0"/>
              <w:spacing w:before="0" w:after="283"/>
              <w:ind w:left="0" w:right="0" w:firstLine="128"/>
              <w:jc w:val="left"/>
              <w:rPr>
                <w:sz w:val="4"/>
                <w:szCs w:val="4"/>
              </w:rPr>
            </w:pPr>
            <w:r>
              <w:rPr>
                <w:sz w:val="4"/>
                <w:szCs w:val="4"/>
              </w:rPr>
            </w:r>
          </w:p>
        </w:tc>
        <w:tc>
          <w:tcPr>
            <w:tcW w:w="6119" w:type="dxa"/>
            <w:tcBorders/>
            <w:vAlign w:val="center"/>
          </w:tcPr>
          <w:p>
            <w:pPr>
              <w:pStyle w:val="TableContents"/>
              <w:bidi w:val="0"/>
              <w:spacing w:before="0" w:after="283"/>
              <w:ind w:left="0" w:right="0" w:firstLine="128"/>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101.SCH</w:t>
            </w:r>
          </w:p>
        </w:tc>
        <w:tc>
          <w:tcPr>
            <w:tcW w:w="6119" w:type="dxa"/>
            <w:tcBorders/>
            <w:vAlign w:val="center"/>
          </w:tcPr>
          <w:p>
            <w:pPr>
              <w:pStyle w:val="TableContents"/>
              <w:bidi w:val="0"/>
              <w:spacing w:before="0" w:after="283"/>
              <w:ind w:left="128" w:right="0" w:firstLine="128"/>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2" w:type="dxa"/>
            <w:tcBorders/>
            <w:vAlign w:val="center"/>
          </w:tcPr>
          <w:p>
            <w:pPr>
              <w:pStyle w:val="TableContents"/>
              <w:bidi w:val="0"/>
              <w:spacing w:before="0" w:after="283"/>
              <w:ind w:left="0" w:right="0" w:firstLine="128"/>
              <w:jc w:val="left"/>
              <w:rPr>
                <w:sz w:val="4"/>
                <w:szCs w:val="4"/>
              </w:rPr>
            </w:pPr>
            <w:r>
              <w:rPr>
                <w:sz w:val="4"/>
                <w:szCs w:val="4"/>
              </w:rPr>
            </w:r>
          </w:p>
        </w:tc>
        <w:tc>
          <w:tcPr>
            <w:tcW w:w="6119" w:type="dxa"/>
            <w:tcBorders/>
            <w:vAlign w:val="center"/>
          </w:tcPr>
          <w:p>
            <w:pPr>
              <w:pStyle w:val="TableContents"/>
              <w:bidi w:val="0"/>
              <w:spacing w:before="0" w:after="283"/>
              <w:ind w:left="0" w:right="0" w:firstLine="128"/>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104</w:t>
            </w:r>
          </w:p>
        </w:tc>
        <w:tc>
          <w:tcPr>
            <w:tcW w:w="6119" w:type="dxa"/>
            <w:tcBorders/>
            <w:vAlign w:val="center"/>
          </w:tcPr>
          <w:p>
            <w:pPr>
              <w:pStyle w:val="TableContents"/>
              <w:bidi w:val="0"/>
              <w:spacing w:before="0" w:after="283"/>
              <w:ind w:left="128" w:right="0" w:firstLine="12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Registrant has omitted portions of the exhibit as permitted under Item 601(b)(10) of Regulation 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Registrant has omitted schedules and exhibits pursuant to Item 601(a)(5) of Regulation S-K. The Registrant agrees to furnish supplementally a copy of the omitted schedules and exhibits to the SEC upon request.</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tx180355_20"/>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7038" w:type="dxa"/>
        <w:jc w:val="left"/>
        <w:tblInd w:w="0" w:type="dxa"/>
        <w:tblLayout w:type="fixed"/>
        <w:tblCellMar>
          <w:top w:w="28" w:type="dxa"/>
          <w:left w:w="28" w:type="dxa"/>
          <w:bottom w:w="28" w:type="dxa"/>
          <w:right w:w="28" w:type="dxa"/>
        </w:tblCellMar>
      </w:tblPr>
      <w:tblGrid>
        <w:gridCol w:w="2086"/>
        <w:gridCol w:w="646"/>
        <w:gridCol w:w="4306"/>
      </w:tblGrid>
      <w:tr>
        <w:trPr/>
        <w:tc>
          <w:tcPr>
            <w:tcW w:w="20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952" w:type="dxa"/>
            <w:gridSpan w:val="2"/>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DAY ONE BIOPHARMACEUTICALS, INC.</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8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2, 2024</w:t>
            </w:r>
          </w:p>
        </w:tc>
        <w:tc>
          <w:tcPr>
            <w:tcW w:w="64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6" w:space="0" w:color="000000"/>
            </w:tcBorders>
            <w:tcMar>
              <w:top w:w="0" w:type="dxa"/>
              <w:left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/s/ Jeremy Bender, Ph.D.,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3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Jeremy Bender, Ph.D.,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306" w:type="dxa"/>
            <w:tcBorders/>
            <w:vAlign w:val="center"/>
          </w:tcPr>
          <w:p>
            <w:pPr>
              <w:pStyle w:val="TableContents"/>
              <w:pBdr/>
              <w:bidi w:val="0"/>
              <w:ind w:left="0" w:right="0" w:hanging="24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8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2, 2024</w:t>
            </w:r>
          </w:p>
        </w:tc>
        <w:tc>
          <w:tcPr>
            <w:tcW w:w="64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6" w:space="0" w:color="000000"/>
            </w:tcBorders>
            <w:tcMar>
              <w:top w:w="0" w:type="dxa"/>
              <w:left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/s/ Charles N. York II,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30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Charles N. York II,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306" w:type="dxa"/>
            <w:tcBorders/>
            <w:vAlign w:val="center"/>
          </w:tcPr>
          <w:p>
            <w:pPr>
              <w:pStyle w:val="TableContents"/>
              <w:pBdr/>
              <w:bidi w:val="0"/>
              <w:ind w:left="0" w:right="0" w:hanging="240"/>
              <w:jc w:val="left"/>
              <w:rPr>
                <w:rFonts w:ascii="Times New Roman" w:hAnsi="Times New Roman"/>
                <w:color w:val="000000"/>
                <w:sz w:val="20"/>
              </w:rPr>
            </w:pPr>
            <w:r>
              <w:rPr>
                <w:rFonts w:ascii="Times New Roman" w:hAnsi="Times New Roman"/>
                <w:color w:val="000000"/>
                <w:sz w:val="20"/>
              </w:rPr>
              <w:t>Chief Operating Officer and Chief Financial Officer</w:t>
            </w:r>
          </w:p>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dawn-ex10_1.htm"/>
      <w:bookmarkStart w:id="23" w:name="ksdawnex10_1"/>
      <w:bookmarkEnd w:id="22"/>
      <w:bookmarkEnd w:id="23"/>
      <w:r>
        <w:rPr>
          <w:rFonts w:ascii="Times New Roman" w:hAnsi="Times New Roman"/>
          <w:b/>
          <w:color w:val="000000"/>
          <w:sz w:val="24"/>
        </w:rPr>
        <w:t>Exhibit 10.1</w:t>
      </w:r>
      <w:r>
        <w:br w:type="page"/>
      </w:r>
    </w:p>
    <w:p>
      <w:pPr>
        <w:pStyle w:val="TextBody"/>
        <w:bidi w:val="0"/>
        <w:jc w:val="right"/>
        <w:rPr/>
      </w:pPr>
      <w:r>
        <w:rPr/>
        <w:t> </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CERTAIN CONFIDENTIAL INFORMATION CONTAINED IN THIS DOCUMENT, MARKED BY [*], HAS BEEN OMITTED BECAUSE IT IS NOT MATERIAL AND WOULD LIKELY CAUSE COMPETITIVE HARM TO DAY ONE BIOPHARMACEUTICALS IF PUBLICLY DISCLOSED.</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ASSET PURCHASE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BY AND BETWEEN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DAY ONE BIOPHARMACEUTICALS,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May 29, 2024</w:t>
      </w:r>
    </w:p>
    <w:p>
      <w:pPr>
        <w:pStyle w:val="TextBody"/>
        <w:bidi w:val="0"/>
        <w:spacing w:before="0" w:after="240"/>
        <w:jc w:val="both"/>
        <w:rPr/>
      </w:pPr>
      <w:r>
        <w:rPr/>
        <w:t>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pBdr>
          <w:bottom w:val="single" w:sz="4" w:space="1" w:color="000000"/>
        </w:pBdr>
        <w:bidi w:val="0"/>
        <w:jc w:val="center"/>
        <w:rPr/>
      </w:pPr>
      <w:r>
        <w:rPr/>
        <w:t> </w:t>
      </w:r>
    </w:p>
    <w:p>
      <w:pPr>
        <w:pStyle w:val="TextBody"/>
        <w:bidi w:val="0"/>
        <w:spacing w:before="0" w:after="120"/>
        <w:jc w:val="right"/>
        <w:rPr>
          <w:rFonts w:ascii="Times New Roman" w:hAnsi="Times New Roman"/>
          <w:smallCaps/>
          <w:color w:val="000000"/>
          <w:sz w:val="24"/>
          <w:u w:val="single"/>
        </w:rPr>
      </w:pPr>
      <w:r>
        <w:rPr>
          <w:rFonts w:ascii="Times New Roman" w:hAnsi="Times New Roman"/>
          <w:smallCaps/>
          <w:color w:val="000000"/>
          <w:sz w:val="24"/>
          <w:u w:val="single"/>
        </w:rPr>
        <w:t>Page</w:t>
      </w:r>
    </w:p>
    <w:tbl>
      <w:tblPr>
        <w:tblW w:w="9153" w:type="dxa"/>
        <w:jc w:val="left"/>
        <w:tblInd w:w="0" w:type="dxa"/>
        <w:tblLayout w:type="fixed"/>
        <w:tblCellMar>
          <w:top w:w="28" w:type="dxa"/>
          <w:left w:w="28" w:type="dxa"/>
          <w:bottom w:w="28" w:type="dxa"/>
          <w:right w:w="28" w:type="dxa"/>
        </w:tblCellMar>
      </w:tblPr>
      <w:tblGrid>
        <w:gridCol w:w="1336"/>
        <w:gridCol w:w="5986"/>
        <w:gridCol w:w="1831"/>
      </w:tblGrid>
      <w:tr>
        <w:trPr/>
        <w:tc>
          <w:tcPr>
            <w:tcW w:w="133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1</w:t>
            </w:r>
          </w:p>
        </w:tc>
        <w:tc>
          <w:tcPr>
            <w:tcW w:w="5986"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DEFINITIONS</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1.1</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Certain Definitions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2</w:t>
            </w:r>
          </w:p>
        </w:tc>
        <w:tc>
          <w:tcPr>
            <w:tcW w:w="5986"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PURCHASE AND SALE</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2.1</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Purchase and Sale of Purchased Assets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2.2</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Purchase Price</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2.3</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Title Passage; Delivery of Purchased Assets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2.4</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Deliveries by Seller</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2.5</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Deliveries by Buyer</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7</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2.6</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2.7</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2.8</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2.9</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2.10</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3</w:t>
            </w:r>
          </w:p>
        </w:tc>
        <w:tc>
          <w:tcPr>
            <w:tcW w:w="5986"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REPRESENTATIONS AND WARRANTIES OF SELLER</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3.1</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Organization, Standing, and Power</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3.2</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Due Authority</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3.3</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Contravention</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3.4</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Consents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3.5</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Title to Purchased Assets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3.6</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Compliance with Legal Requirements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3.7</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Legal Proceedings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3.8</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Governmental Authorizations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3.9</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Revocation; Use of Purchased Assets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3.10</w:t>
            </w:r>
          </w:p>
        </w:tc>
        <w:tc>
          <w:tcPr>
            <w:tcW w:w="5986" w:type="dxa"/>
            <w:tcBorders/>
            <w:shd w:fill="FFFFFF" w:val="clear"/>
            <w:vAlign w:val="center"/>
          </w:tcPr>
          <w:p>
            <w:pPr>
              <w:pStyle w:val="TableContents"/>
              <w:bidi w:val="0"/>
              <w:spacing w:before="0" w:after="100"/>
              <w:jc w:val="left"/>
              <w:rPr>
                <w:rFonts w:ascii="Calibri;sans-serif" w:hAnsi="Calibri;sans-serif"/>
                <w:color w:val="000000"/>
                <w:sz w:val="22"/>
              </w:rPr>
            </w:pPr>
            <w:r>
              <w:rPr>
                <w:rFonts w:ascii="Calibri;sans-serif" w:hAnsi="Calibri;sans-serif"/>
                <w:color w:val="000000"/>
                <w:sz w:val="22"/>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3.11</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3.12</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4</w:t>
            </w:r>
          </w:p>
        </w:tc>
        <w:tc>
          <w:tcPr>
            <w:tcW w:w="5986"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REPRESENTATIONS AND WARRANTIES OF BUYER</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10</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4.1</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Organization, Standing, and Power</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10</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4.2</w:t>
            </w:r>
          </w:p>
        </w:tc>
        <w:tc>
          <w:tcPr>
            <w:tcW w:w="598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Authority</w:t>
            </w:r>
          </w:p>
        </w:tc>
        <w:tc>
          <w:tcPr>
            <w:tcW w:w="1831" w:type="dxa"/>
            <w:tcBorders/>
            <w:shd w:fill="FFFFFF" w:val="cle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9318" w:type="dxa"/>
        <w:jc w:val="left"/>
        <w:tblInd w:w="0" w:type="dxa"/>
        <w:tblLayout w:type="fixed"/>
        <w:tblCellMar>
          <w:top w:w="28" w:type="dxa"/>
          <w:left w:w="28" w:type="dxa"/>
          <w:bottom w:w="28" w:type="dxa"/>
          <w:right w:w="28" w:type="dxa"/>
        </w:tblCellMar>
      </w:tblPr>
      <w:tblGrid>
        <w:gridCol w:w="1336"/>
        <w:gridCol w:w="6151"/>
        <w:gridCol w:w="1831"/>
      </w:tblGrid>
      <w:tr>
        <w:trPr/>
        <w:tc>
          <w:tcPr>
            <w:tcW w:w="1336" w:type="dxa"/>
            <w:tcBorders/>
            <w:vAlign w:val="center"/>
          </w:tcPr>
          <w:p>
            <w:pPr>
              <w:pStyle w:val="TableContents"/>
              <w:bidi w:val="0"/>
              <w:spacing w:before="0" w:after="283"/>
              <w:jc w:val="left"/>
              <w:rPr>
                <w:sz w:val="4"/>
                <w:szCs w:val="4"/>
              </w:rPr>
            </w:pPr>
            <w:r>
              <w:rPr>
                <w:sz w:val="4"/>
                <w:szCs w:val="4"/>
              </w:rPr>
            </w:r>
          </w:p>
        </w:tc>
        <w:tc>
          <w:tcPr>
            <w:tcW w:w="615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4.3</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Contravention</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4.4</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Consents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4.5</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4.6</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5</w:t>
            </w:r>
          </w:p>
        </w:tc>
        <w:tc>
          <w:tcPr>
            <w:tcW w:w="6151"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COVENANTS</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11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5.1</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Expenses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5.2</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5.3</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Public Announcements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12</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5.4</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Use of Name</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12</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5.5</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Compliance with Legal Requirements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12</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5.6</w:t>
            </w:r>
          </w:p>
        </w:tc>
        <w:tc>
          <w:tcPr>
            <w:tcW w:w="6151" w:type="dxa"/>
            <w:tcBorders/>
            <w:shd w:fill="FFFFFF" w:val="clear"/>
            <w:vAlign w:val="center"/>
          </w:tcPr>
          <w:p>
            <w:pPr>
              <w:pStyle w:val="TableContents"/>
              <w:bidi w:val="0"/>
              <w:spacing w:before="0" w:after="100"/>
              <w:jc w:val="left"/>
              <w:rPr>
                <w:rFonts w:ascii="Calibri;sans-serif" w:hAnsi="Calibri;sans-serif"/>
                <w:color w:val="000000"/>
                <w:sz w:val="22"/>
              </w:rPr>
            </w:pPr>
            <w:r>
              <w:rPr>
                <w:rFonts w:ascii="Calibri;sans-serif" w:hAnsi="Calibri;sans-serif"/>
                <w:color w:val="000000"/>
                <w:sz w:val="22"/>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5.7</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Confidentiality</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5.8</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Disclosure Concerning Use of the Priority Review Voucher</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6</w:t>
            </w:r>
          </w:p>
        </w:tc>
        <w:tc>
          <w:tcPr>
            <w:tcW w:w="6151"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INDEMNIFICATION AND LIMITATIONS OF LIABILITY</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14</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6.1</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Indemnification</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6.2</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Notice of Loss; Third Party Claims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6.3</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Survival</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6.4</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Additional Indemnification Matters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6.5</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Adjustments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6.6</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Limitations of Liability</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6.7</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1336" w:type="dxa"/>
            <w:tcBorders/>
            <w:shd w:fill="FFFFFF" w:val="clear"/>
            <w:vAlign w:val="center"/>
          </w:tcPr>
          <w:p>
            <w:pPr>
              <w:pStyle w:val="TableContents"/>
              <w:pBdr/>
              <w:bidi w:val="0"/>
              <w:spacing w:before="240" w:after="100"/>
              <w:ind w:left="0" w:right="0" w:hanging="1440"/>
              <w:jc w:val="left"/>
              <w:rPr>
                <w:rFonts w:ascii="Times New Roman" w:hAnsi="Times New Roman"/>
                <w:smallCaps/>
                <w:color w:val="000000"/>
                <w:sz w:val="24"/>
              </w:rPr>
            </w:pPr>
            <w:r>
              <w:rPr>
                <w:rFonts w:ascii="Times New Roman" w:hAnsi="Times New Roman"/>
                <w:smallCaps/>
                <w:color w:val="000000"/>
                <w:sz w:val="24"/>
              </w:rPr>
              <w:t>ARTICLE 7</w:t>
            </w:r>
          </w:p>
        </w:tc>
        <w:tc>
          <w:tcPr>
            <w:tcW w:w="6151" w:type="dxa"/>
            <w:tcBorders/>
            <w:shd w:fill="FFFFFF" w:val="clear"/>
            <w:vAlign w:val="center"/>
          </w:tcPr>
          <w:p>
            <w:pPr>
              <w:pStyle w:val="TableContents"/>
              <w:bidi w:val="0"/>
              <w:spacing w:before="240" w:after="100"/>
              <w:jc w:val="left"/>
              <w:rPr>
                <w:rFonts w:ascii="Times New Roman" w:hAnsi="Times New Roman"/>
                <w:smallCaps/>
                <w:color w:val="000000"/>
                <w:sz w:val="24"/>
              </w:rPr>
            </w:pPr>
            <w:r>
              <w:rPr>
                <w:rFonts w:ascii="Times New Roman" w:hAnsi="Times New Roman"/>
                <w:smallCaps/>
                <w:color w:val="000000"/>
                <w:sz w:val="24"/>
              </w:rPr>
              <w:t>GENERAL PROVISIONS</w:t>
            </w:r>
          </w:p>
        </w:tc>
        <w:tc>
          <w:tcPr>
            <w:tcW w:w="1831" w:type="dxa"/>
            <w:tcBorders/>
            <w:shd w:fill="FFFFFF" w:val="clear"/>
            <w:vAlign w:val="center"/>
          </w:tcPr>
          <w:p>
            <w:pPr>
              <w:pStyle w:val="TableContents"/>
              <w:bidi w:val="0"/>
              <w:spacing w:before="240" w:after="100"/>
              <w:ind w:left="0" w:right="0" w:firstLine="1440"/>
              <w:jc w:val="right"/>
              <w:rPr>
                <w:rFonts w:ascii="Times New Roman" w:hAnsi="Times New Roman"/>
                <w:smallCaps/>
                <w:color w:val="000000"/>
                <w:sz w:val="24"/>
              </w:rPr>
            </w:pPr>
            <w:r>
              <w:rPr>
                <w:rFonts w:ascii="Times New Roman" w:hAnsi="Times New Roman"/>
                <w:smallCaps/>
                <w:color w:val="000000"/>
                <w:sz w:val="24"/>
              </w:rPr>
              <w:t>17</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7.1</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Notice Requirements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7.2</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Construction</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7.3</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References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7.4</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Entire Agreement; Amendments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7.5</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Assignment</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7.6</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Severability</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7.7</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Governing Law</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7.8</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Submission to Jurisdiction</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19</w:t>
            </w:r>
          </w:p>
        </w:tc>
      </w:tr>
      <w:tr>
        <w:trPr/>
        <w:tc>
          <w:tcPr>
            <w:tcW w:w="1336"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7.9</w:t>
            </w:r>
          </w:p>
        </w:tc>
        <w:tc>
          <w:tcPr>
            <w:tcW w:w="6151"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WAIVER OF JURY TRIAL</w:t>
            </w:r>
          </w:p>
        </w:tc>
        <w:tc>
          <w:tcPr>
            <w:tcW w:w="1831" w:type="dxa"/>
            <w:tcBorders/>
            <w:shd w:fill="FFFFFF" w:val="cle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20</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318" w:type="dxa"/>
        <w:jc w:val="left"/>
        <w:tblInd w:w="0" w:type="dxa"/>
        <w:tblLayout w:type="fixed"/>
        <w:tblCellMar>
          <w:top w:w="28" w:type="dxa"/>
          <w:left w:w="28" w:type="dxa"/>
          <w:bottom w:w="28" w:type="dxa"/>
          <w:right w:w="28" w:type="dxa"/>
        </w:tblCellMar>
      </w:tblPr>
      <w:tblGrid>
        <w:gridCol w:w="541"/>
        <w:gridCol w:w="3946"/>
        <w:gridCol w:w="1831"/>
      </w:tblGrid>
      <w:tr>
        <w:trPr/>
        <w:tc>
          <w:tcPr>
            <w:tcW w:w="541"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541"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7.10</w:t>
            </w:r>
          </w:p>
        </w:tc>
        <w:tc>
          <w:tcPr>
            <w:tcW w:w="394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Waiver and Non-Exclusion of Remedies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541"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7.11</w:t>
            </w:r>
          </w:p>
        </w:tc>
        <w:tc>
          <w:tcPr>
            <w:tcW w:w="394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Benefit to Third Parties</w:t>
            </w:r>
          </w:p>
        </w:tc>
        <w:tc>
          <w:tcPr>
            <w:tcW w:w="1831" w:type="dxa"/>
            <w:tcBorders/>
            <w:shd w:fill="FFFFFF" w:val="clear"/>
            <w:vAlign w:val="center"/>
          </w:tcPr>
          <w:p>
            <w:pPr>
              <w:pStyle w:val="TableContents"/>
              <w:bidi w:val="0"/>
              <w:spacing w:before="0" w:after="100"/>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541" w:type="dxa"/>
            <w:tcBorders/>
            <w:shd w:fill="FFFFFF" w:val="clear"/>
            <w:vAlign w:val="center"/>
          </w:tcPr>
          <w:p>
            <w:pPr>
              <w:pStyle w:val="TableContents"/>
              <w:pBdr/>
              <w:bidi w:val="0"/>
              <w:spacing w:before="0" w:after="100"/>
              <w:ind w:left="720" w:right="0" w:hanging="720"/>
              <w:jc w:val="left"/>
              <w:rPr>
                <w:rFonts w:ascii="Times New Roman" w:hAnsi="Times New Roman"/>
                <w:color w:val="000000"/>
                <w:sz w:val="24"/>
              </w:rPr>
            </w:pPr>
            <w:r>
              <w:rPr>
                <w:rFonts w:ascii="Times New Roman" w:hAnsi="Times New Roman"/>
                <w:color w:val="000000"/>
                <w:sz w:val="24"/>
              </w:rPr>
              <w:t>7.12</w:t>
            </w:r>
          </w:p>
        </w:tc>
        <w:tc>
          <w:tcPr>
            <w:tcW w:w="3946" w:type="dxa"/>
            <w:tcBorders/>
            <w:shd w:fill="FFFFFF" w:val="cle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Counterparts; Execution</w:t>
            </w:r>
          </w:p>
        </w:tc>
        <w:tc>
          <w:tcPr>
            <w:tcW w:w="1831" w:type="dxa"/>
            <w:tcBorders/>
            <w:shd w:fill="FFFFFF" w:val="cle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20</w:t>
            </w:r>
          </w:p>
        </w:tc>
      </w:tr>
    </w:tbl>
    <w:p>
      <w:pPr>
        <w:pStyle w:val="TextBody"/>
        <w:bidi w:val="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List of Exhibits</w:t>
      </w:r>
    </w:p>
    <w:p>
      <w:pPr>
        <w:pStyle w:val="TextBody"/>
        <w:bidi w:val="0"/>
        <w:jc w:val="both"/>
        <w:rPr>
          <w:rFonts w:ascii="Times New Roman" w:hAnsi="Times New Roman"/>
          <w:sz w:val="20"/>
        </w:rPr>
      </w:pP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Approval Letter</w:t>
      </w:r>
    </w:p>
    <w:p>
      <w:pPr>
        <w:pStyle w:val="TextBody"/>
        <w:bidi w:val="0"/>
        <w:jc w:val="both"/>
        <w:rPr>
          <w:rFonts w:ascii="Times New Roman" w:hAnsi="Times New Roman"/>
          <w:sz w:val="20"/>
        </w:rPr>
      </w:pP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Viracta Payment and Release Letter</w:t>
      </w:r>
    </w:p>
    <w:p>
      <w:pPr>
        <w:pStyle w:val="TextBody"/>
        <w:bidi w:val="0"/>
        <w:jc w:val="both"/>
        <w:rPr>
          <w:rFonts w:ascii="Times New Roman" w:hAnsi="Times New Roman"/>
          <w:sz w:val="20"/>
        </w:rPr>
      </w:pPr>
      <w:r>
        <w:rPr>
          <w:rFonts w:ascii="Times New Roman" w:hAnsi="Times New Roman"/>
          <w:color w:val="000000"/>
          <w:sz w:val="24"/>
          <w:u w:val="single"/>
        </w:rPr>
        <w:t>Exhibit 2.3(b)</w:t>
      </w:r>
      <w:r>
        <w:rPr>
          <w:rFonts w:ascii="Times New Roman" w:hAnsi="Times New Roman"/>
          <w:color w:val="000000"/>
          <w:sz w:val="20"/>
        </w:rPr>
        <w:t xml:space="preserve"> </w:t>
      </w:r>
      <w:r>
        <w:rPr>
          <w:rFonts w:ascii="Times New Roman" w:hAnsi="Times New Roman"/>
          <w:color w:val="000000"/>
          <w:sz w:val="24"/>
        </w:rPr>
        <w:t>Form of Seller Cover Letter</w:t>
      </w:r>
    </w:p>
    <w:p>
      <w:pPr>
        <w:pStyle w:val="TextBody"/>
        <w:bidi w:val="0"/>
        <w:jc w:val="both"/>
        <w:rPr>
          <w:rFonts w:ascii="Times New Roman" w:hAnsi="Times New Roman"/>
          <w:sz w:val="20"/>
        </w:rPr>
      </w:pPr>
      <w:r>
        <w:rPr>
          <w:rFonts w:ascii="Times New Roman" w:hAnsi="Times New Roman"/>
          <w:color w:val="000000"/>
          <w:sz w:val="24"/>
          <w:u w:val="single"/>
        </w:rPr>
        <w:t>Exhibit 2.4(a)</w:t>
      </w:r>
      <w:r>
        <w:rPr>
          <w:rFonts w:ascii="Times New Roman" w:hAnsi="Times New Roman"/>
          <w:color w:val="000000"/>
          <w:sz w:val="20"/>
        </w:rPr>
        <w:t xml:space="preserve"> </w:t>
      </w:r>
      <w:r>
        <w:rPr>
          <w:rFonts w:ascii="Times New Roman" w:hAnsi="Times New Roman"/>
          <w:color w:val="000000"/>
          <w:sz w:val="24"/>
        </w:rPr>
        <w:t>Form of Bill of Sale</w:t>
      </w:r>
    </w:p>
    <w:p>
      <w:pPr>
        <w:pStyle w:val="TextBody"/>
        <w:bidi w:val="0"/>
        <w:jc w:val="both"/>
        <w:rPr>
          <w:rFonts w:ascii="Times New Roman" w:hAnsi="Times New Roman"/>
          <w:sz w:val="20"/>
        </w:rPr>
      </w:pPr>
      <w:r>
        <w:rPr>
          <w:rFonts w:ascii="Times New Roman" w:hAnsi="Times New Roman"/>
          <w:color w:val="000000"/>
          <w:sz w:val="24"/>
          <w:u w:val="single"/>
        </w:rPr>
        <w:t>Exhibit 2.4(b)</w:t>
      </w:r>
      <w:r>
        <w:rPr>
          <w:rFonts w:ascii="Times New Roman" w:hAnsi="Times New Roman"/>
          <w:color w:val="000000"/>
          <w:sz w:val="20"/>
        </w:rPr>
        <w:t xml:space="preserve"> </w:t>
      </w:r>
      <w:r>
        <w:rPr>
          <w:rFonts w:ascii="Times New Roman" w:hAnsi="Times New Roman"/>
          <w:color w:val="000000"/>
          <w:sz w:val="24"/>
        </w:rPr>
        <w:t>Form of Seller PRV Transfer Letter</w:t>
      </w:r>
    </w:p>
    <w:p>
      <w:pPr>
        <w:pStyle w:val="TextBody"/>
        <w:bidi w:val="0"/>
        <w:jc w:val="both"/>
        <w:rPr>
          <w:rFonts w:ascii="Times New Roman" w:hAnsi="Times New Roman"/>
          <w:sz w:val="20"/>
        </w:rPr>
      </w:pPr>
      <w:r>
        <w:rPr>
          <w:rFonts w:ascii="Times New Roman" w:hAnsi="Times New Roman"/>
          <w:color w:val="000000"/>
          <w:sz w:val="24"/>
          <w:u w:val="single"/>
        </w:rPr>
        <w:t>Exhibit 2.5(d)</w:t>
      </w:r>
      <w:r>
        <w:rPr>
          <w:rFonts w:ascii="Times New Roman" w:hAnsi="Times New Roman"/>
          <w:color w:val="000000"/>
          <w:sz w:val="20"/>
        </w:rPr>
        <w:t xml:space="preserve"> </w:t>
      </w:r>
      <w:r>
        <w:rPr>
          <w:rFonts w:ascii="Times New Roman" w:hAnsi="Times New Roman"/>
          <w:color w:val="000000"/>
          <w:sz w:val="24"/>
        </w:rPr>
        <w:t>Form of Buyer PRV Transfer Letter</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ASSET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ASSET PURCHASE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made and entered into as of May 29, 2024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xml:space="preserve">) by and between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DAY ONE BIOPHARMACEUTICALS, INC.</w:t>
      </w:r>
      <w:r>
        <w:rPr>
          <w:rFonts w:ascii="Times New Roman" w:hAnsi="Times New Roman"/>
          <w:color w:val="000000"/>
          <w:sz w:val="24"/>
        </w:rPr>
        <w:t>, a Delaware corporation (“</w:t>
      </w:r>
      <w:r>
        <w:rPr>
          <w:rFonts w:ascii="Times New Roman" w:hAnsi="Times New Roman"/>
          <w:b/>
          <w:i/>
          <w:color w:val="000000"/>
          <w:sz w:val="24"/>
        </w:rPr>
        <w:t>Seller</w:t>
      </w:r>
      <w:r>
        <w:rPr>
          <w:rFonts w:ascii="Times New Roman" w:hAnsi="Times New Roman"/>
          <w:color w:val="000000"/>
          <w:sz w:val="20"/>
        </w:rPr>
        <w:t>”</w:t>
      </w:r>
      <w:r>
        <w:rPr>
          <w:rFonts w:ascii="Times New Roman" w:hAnsi="Times New Roman"/>
          <w:color w:val="000000"/>
          <w:sz w:val="24"/>
        </w:rPr>
        <w:t xml:space="preserve">). Buyer and Seller may hereinafter be referred to individually as a </w:t>
      </w:r>
      <w:r>
        <w:rPr>
          <w:rFonts w:ascii="Times New Roman" w:hAnsi="Times New Roman"/>
          <w:color w:val="000000"/>
          <w:sz w:val="20"/>
        </w:rPr>
        <w:t>“</w:t>
      </w:r>
      <w:r>
        <w:rPr>
          <w:rFonts w:ascii="Times New Roman" w:hAnsi="Times New Roman"/>
          <w:b/>
          <w:i/>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i/>
          <w:color w:val="000000"/>
          <w:sz w:val="24"/>
        </w:rPr>
        <w:t>Parties</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Seller is the holder of all right, title and interest in and to the Priority Review Voucher (as defined below);</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Seller has agreed to pay a specified portion of the consideration it receives from the sale of the Priority Review Voucher to Viracta Therapeutics, Inc., a Delaware corporation (“</w:t>
      </w:r>
      <w:r>
        <w:rPr>
          <w:rFonts w:ascii="Times New Roman" w:hAnsi="Times New Roman"/>
          <w:b/>
          <w:i/>
          <w:color w:val="000000"/>
          <w:sz w:val="24"/>
        </w:rPr>
        <w:t>Viracta</w:t>
      </w:r>
      <w:r>
        <w:rPr>
          <w:rFonts w:ascii="Times New Roman" w:hAnsi="Times New Roman"/>
          <w:color w:val="000000"/>
          <w:sz w:val="20"/>
        </w:rPr>
        <w:t>”</w:t>
      </w:r>
      <w:r>
        <w:rPr>
          <w:rFonts w:ascii="Times New Roman" w:hAnsi="Times New Roman"/>
          <w:color w:val="000000"/>
          <w:sz w:val="24"/>
        </w:rPr>
        <w:t>), pursuant to the Viracta License Agreement, dated December 16, 2019, by and between Buyer and Viracta, as amended by that certain amendment dated March 4, 2024 (the “</w:t>
      </w:r>
      <w:r>
        <w:rPr>
          <w:rFonts w:ascii="Times New Roman" w:hAnsi="Times New Roman"/>
          <w:b/>
          <w:i/>
          <w:color w:val="000000"/>
          <w:sz w:val="24"/>
        </w:rPr>
        <w:t>Viracta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Seller and Buyer each (a) desire that Buyer purchase from Seller, and Seller sell, transfer and assign to Buyer, the Purchased Assets (as defined below), all on the terms set forth herein (such transaction, the “</w:t>
      </w:r>
      <w:r>
        <w:rPr>
          <w:rFonts w:ascii="Times New Roman" w:hAnsi="Times New Roman"/>
          <w:b/>
          <w:i/>
          <w:color w:val="000000"/>
          <w:sz w:val="24"/>
        </w:rPr>
        <w:t>Asset Purchase</w:t>
      </w:r>
      <w:r>
        <w:rPr>
          <w:rFonts w:ascii="Times New Roman" w:hAnsi="Times New Roman"/>
          <w:color w:val="000000"/>
          <w:sz w:val="20"/>
        </w:rPr>
        <w:t>”</w:t>
      </w:r>
      <w:r>
        <w:rPr>
          <w:rFonts w:ascii="Times New Roman" w:hAnsi="Times New Roman"/>
          <w:color w:val="000000"/>
          <w:sz w:val="24"/>
        </w:rPr>
        <w:t>) and (b) in furtherance thereof, have adopted and approved this Agreement and, upon the terms and subject to the conditions set forth in this Agreement, have adopted and approved the Asset Purchase as contemplated by this Agreement in accordance with all applicable Legal Requirements (as defined below);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Seller and Buyer desire to make certain representations, warranties, covenants, and other agreements as set forth herein in connection with the Asset Purchase contemplated by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foregoing and their mutual undertakings hereinafter set forth, and for good and valuable consideration, the receipt and sufficiency of which is hereby acknowledged, the Parties, intending to be legally bound, agree as follows:</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1</w:t>
        <w:br/>
        <w:t>DEFINITIONS TC "ARTICLE 1 DEFINITIONS"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Certain Definitions</w:t>
      </w:r>
      <w:r>
        <w:rPr>
          <w:rFonts w:ascii="Times New Roman" w:hAnsi="Times New Roman"/>
          <w:color w:val="000000"/>
          <w:sz w:val="24"/>
        </w:rPr>
        <w:t>. As used in this Agreement, the following capitalized terms shall have the meanings indicated below:</w:t>
      </w:r>
    </w:p>
    <w:p>
      <w:pPr>
        <w:pStyle w:val="TextBody"/>
        <w:bidi w:val="0"/>
        <w:spacing w:before="0" w:after="240"/>
        <w:jc w:val="both"/>
        <w:rPr>
          <w:rFonts w:ascii="Times New Roman" w:hAnsi="Times New Roman"/>
          <w:sz w:val="20"/>
        </w:rPr>
      </w:pPr>
      <w:r>
        <w:rPr>
          <w:rFonts w:ascii="Times New Roman" w:hAnsi="Times New Roman"/>
          <w:color w:val="000000"/>
          <w:sz w:val="24"/>
        </w:rPr>
        <w:t>(a) “</w:t>
      </w:r>
      <w:r>
        <w:rPr>
          <w:rFonts w:ascii="Times New Roman" w:hAnsi="Times New Roman"/>
          <w:b/>
          <w:i/>
          <w:color w:val="000000"/>
          <w:sz w:val="24"/>
        </w:rPr>
        <w:t>Action</w:t>
      </w:r>
      <w:r>
        <w:rPr>
          <w:rFonts w:ascii="Times New Roman" w:hAnsi="Times New Roman"/>
          <w:color w:val="000000"/>
          <w:sz w:val="20"/>
        </w:rPr>
        <w:t xml:space="preserve">” </w:t>
      </w:r>
      <w:r>
        <w:rPr>
          <w:rFonts w:ascii="Times New Roman" w:hAnsi="Times New Roman"/>
          <w:color w:val="000000"/>
          <w:sz w:val="24"/>
        </w:rPr>
        <w:t>means any claim, audit, examination, action, cause of action or suit (whether in contract or tort or otherwise), litigation (whether at law or in equity, whether civil or criminal), assessment, arbitration, mediation, investigation, hearing, charge, complaint, demand, notice, or proceeding.</w:t>
      </w:r>
    </w:p>
    <w:p>
      <w:pPr>
        <w:pStyle w:val="TextBody"/>
        <w:bidi w:val="0"/>
        <w:spacing w:before="0" w:after="240"/>
        <w:jc w:val="both"/>
        <w:rPr>
          <w:rFonts w:ascii="Times New Roman" w:hAnsi="Times New Roman"/>
          <w:sz w:val="20"/>
        </w:rPr>
      </w:pPr>
      <w:r>
        <w:rPr>
          <w:rFonts w:ascii="Times New Roman" w:hAnsi="Times New Roman"/>
          <w:color w:val="000000"/>
          <w:sz w:val="24"/>
        </w:rPr>
        <w:t>(b) “</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means, with respect to any Party, any Person that, directly or indirectly through one or more intermediaries, controls, is controlled by, or is under common control with, such Party, for so long as such control exists, whether such Person is or becomes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on or after the Effective Date. A Person shall be deemed to “control” another Person if it: (i) owns, directly or indirectly, beneficially or legally, at least fifty percent (50%) of the outstanding capital stock, voting securities, or other ownership interest (or such lesser percentage which is the maximum allowed to be owned by such Person in a particular jurisdiction) of such other Person (or, with respect to a limited partnership or other similar entity, its general partner or controlling entity) or (ii) has the power, whether pursuant to Contract, ownership of securities or otherwise, to direct the management and policies of such other Person.</w:t>
      </w:r>
    </w:p>
    <w:p>
      <w:pPr>
        <w:pStyle w:val="TextBody"/>
        <w:bidi w:val="0"/>
        <w:spacing w:before="0" w:after="240"/>
        <w:jc w:val="both"/>
        <w:rPr>
          <w:rFonts w:ascii="Times New Roman" w:hAnsi="Times New Roman"/>
          <w:sz w:val="20"/>
        </w:rPr>
      </w:pPr>
      <w:r>
        <w:rPr>
          <w:rFonts w:ascii="Times New Roman" w:hAnsi="Times New Roman"/>
          <w:color w:val="000000"/>
          <w:sz w:val="24"/>
        </w:rPr>
        <w:t>(c) “</w:t>
      </w:r>
      <w:r>
        <w:rPr>
          <w:rFonts w:ascii="Times New Roman" w:hAnsi="Times New Roman"/>
          <w:b/>
          <w:i/>
          <w:color w:val="000000"/>
          <w:sz w:val="24"/>
        </w:rPr>
        <w:t>Agreement</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sz w:val="20"/>
        </w:rPr>
      </w:pPr>
      <w:r>
        <w:rPr>
          <w:rFonts w:ascii="Times New Roman" w:hAnsi="Times New Roman"/>
          <w:color w:val="000000"/>
          <w:sz w:val="24"/>
        </w:rPr>
        <w:t>(d) “</w:t>
      </w:r>
      <w:r>
        <w:rPr>
          <w:rFonts w:ascii="Times New Roman" w:hAnsi="Times New Roman"/>
          <w:b/>
          <w:i/>
          <w:color w:val="000000"/>
          <w:sz w:val="24"/>
        </w:rPr>
        <w:t>Approval Letter</w:t>
      </w:r>
      <w:r>
        <w:rPr>
          <w:rFonts w:ascii="Times New Roman" w:hAnsi="Times New Roman"/>
          <w:color w:val="000000"/>
          <w:sz w:val="20"/>
        </w:rPr>
        <w:t xml:space="preserve">” </w:t>
      </w:r>
      <w:r>
        <w:rPr>
          <w:rFonts w:ascii="Times New Roman" w:hAnsi="Times New Roman"/>
          <w:color w:val="000000"/>
          <w:sz w:val="24"/>
        </w:rPr>
        <w:t xml:space="preserve">means the NDA 217700 approval letter, dated April 23, 2024, from the FDA to Seller, reflecting the FDA Approval and the grant of the Priority Review Voucher attached hereto as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(e) “</w:t>
      </w:r>
      <w:r>
        <w:rPr>
          <w:rFonts w:ascii="Times New Roman" w:hAnsi="Times New Roman"/>
          <w:b/>
          <w:i/>
          <w:color w:val="000000"/>
          <w:sz w:val="24"/>
        </w:rPr>
        <w:t>Asset Purchase</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both"/>
        <w:rPr>
          <w:rFonts w:ascii="Times New Roman" w:hAnsi="Times New Roman"/>
          <w:sz w:val="20"/>
        </w:rPr>
      </w:pPr>
      <w:r>
        <w:rPr>
          <w:rFonts w:ascii="Times New Roman" w:hAnsi="Times New Roman"/>
          <w:color w:val="000000"/>
          <w:sz w:val="24"/>
        </w:rPr>
        <w:t>(f) “</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 day (i) other than Saturday or Sunday and (ii) on which commercial banks are open for business in New York, New York, United States.</w:t>
      </w:r>
    </w:p>
    <w:p>
      <w:pPr>
        <w:pStyle w:val="TextBody"/>
        <w:bidi w:val="0"/>
        <w:spacing w:before="0" w:after="240"/>
        <w:jc w:val="both"/>
        <w:rPr>
          <w:rFonts w:ascii="Times New Roman" w:hAnsi="Times New Roman"/>
          <w:sz w:val="20"/>
        </w:rPr>
      </w:pPr>
      <w:r>
        <w:rPr>
          <w:rFonts w:ascii="Times New Roman" w:hAnsi="Times New Roman"/>
          <w:color w:val="000000"/>
          <w:sz w:val="24"/>
        </w:rPr>
        <w:t>(g) “</w:t>
      </w:r>
      <w:r>
        <w:rPr>
          <w:rFonts w:ascii="Times New Roman" w:hAnsi="Times New Roman"/>
          <w:b/>
          <w:i/>
          <w:color w:val="000000"/>
          <w:sz w:val="24"/>
        </w:rPr>
        <w:t>Buyer</w:t>
      </w:r>
      <w:r>
        <w:rPr>
          <w:rFonts w:ascii="Times New Roman" w:hAnsi="Times New Roman"/>
          <w:color w:val="000000"/>
          <w:sz w:val="20"/>
        </w:rPr>
        <w:t xml:space="preserve">” </w:t>
      </w:r>
      <w:r>
        <w:rPr>
          <w:rFonts w:ascii="Times New Roman" w:hAnsi="Times New Roman"/>
          <w:color w:val="000000"/>
          <w:sz w:val="24"/>
        </w:rPr>
        <w:t>has the meaning set forth in the Preamble.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(h) “</w:t>
      </w:r>
      <w:r>
        <w:rPr>
          <w:rFonts w:ascii="Times New Roman" w:hAnsi="Times New Roman"/>
          <w:b/>
          <w:i/>
          <w:color w:val="000000"/>
          <w:sz w:val="24"/>
        </w:rPr>
        <w:t>Confidential Information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(i) any and all confidential and proprietary information, including data, results, conclusions, know-how, experience, financial information, plans and forecasts, that may be delivered, made available, disclosed or communicated by a Party or its Affiliates or their respective Representatives to the other Party or its Affiliates or their respective Representatives, related to the subject matter hereof or otherwise in connection with this Agreement and (ii) the terms, conditions and existence of this Agreement. “</w:t>
      </w:r>
      <w:r>
        <w:rPr>
          <w:rFonts w:ascii="Times New Roman" w:hAnsi="Times New Roman"/>
          <w:i/>
          <w:color w:val="000000"/>
          <w:sz w:val="24"/>
        </w:rPr>
        <w:t>Confidential Information</w:t>
      </w:r>
      <w:r>
        <w:rPr>
          <w:rFonts w:ascii="Times New Roman" w:hAnsi="Times New Roman"/>
          <w:color w:val="000000"/>
          <w:sz w:val="20"/>
        </w:rPr>
        <w:t xml:space="preserve">” </w:t>
      </w:r>
      <w:r>
        <w:rPr>
          <w:rFonts w:ascii="Times New Roman" w:hAnsi="Times New Roman"/>
          <w:color w:val="000000"/>
          <w:sz w:val="24"/>
        </w:rPr>
        <w:t>will not include information that (A) at the time of disclosure, is generally available to the public, (B) after disclosure hereunder, becomes generally available to the public, except as a result of a breach of this Agreement by the recipient of such information, (C) becomes available to the recipient of such information from a Third Party that is not legally or contractually prohibited by the disclosing Party from disclosing such Confidential Information; or (D) was developed by or for the recipient of such information without the use of or reference to any of the Confidential Information of the disclosing Party or its Affiliates, as evidenced by the recipient’s contemporaneous written records. Notwithstanding anything herein to the contrary, all Confidential Information included within the Purchased Assets shall constitute Confidential Information of the Buyer from and after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(i) “</w:t>
      </w:r>
      <w:r>
        <w:rPr>
          <w:rFonts w:ascii="Times New Roman" w:hAnsi="Times New Roman"/>
          <w:b/>
          <w:i/>
          <w:color w:val="000000"/>
          <w:sz w:val="24"/>
        </w:rPr>
        <w:t>Confidentiality Agreement</w:t>
      </w:r>
      <w:r>
        <w:rPr>
          <w:rFonts w:ascii="Times New Roman" w:hAnsi="Times New Roman"/>
          <w:color w:val="000000"/>
          <w:sz w:val="20"/>
        </w:rPr>
        <w:t xml:space="preserve">” </w:t>
      </w:r>
      <w:r>
        <w:rPr>
          <w:rFonts w:ascii="Times New Roman" w:hAnsi="Times New Roman"/>
          <w:color w:val="000000"/>
          <w:sz w:val="24"/>
        </w:rPr>
        <w:t>means that certain confidentiality agreement by and between [*] and Seller, dated [*].</w:t>
      </w:r>
    </w:p>
    <w:p>
      <w:pPr>
        <w:pStyle w:val="TextBody"/>
        <w:bidi w:val="0"/>
        <w:spacing w:before="0" w:after="240"/>
        <w:jc w:val="both"/>
        <w:rPr>
          <w:rFonts w:ascii="Times New Roman" w:hAnsi="Times New Roman"/>
          <w:sz w:val="20"/>
        </w:rPr>
      </w:pPr>
      <w:r>
        <w:rPr>
          <w:rFonts w:ascii="Times New Roman" w:hAnsi="Times New Roman"/>
          <w:color w:val="000000"/>
          <w:sz w:val="24"/>
        </w:rPr>
        <w:t>(j) “</w:t>
      </w:r>
      <w:r>
        <w:rPr>
          <w:rFonts w:ascii="Times New Roman" w:hAnsi="Times New Roman"/>
          <w:b/>
          <w:i/>
          <w:color w:val="000000"/>
          <w:sz w:val="24"/>
        </w:rPr>
        <w:t>Consent</w:t>
      </w:r>
      <w:r>
        <w:rPr>
          <w:rFonts w:ascii="Times New Roman" w:hAnsi="Times New Roman"/>
          <w:color w:val="000000"/>
          <w:sz w:val="20"/>
        </w:rPr>
        <w:t xml:space="preserve">” </w:t>
      </w:r>
      <w:r>
        <w:rPr>
          <w:rFonts w:ascii="Times New Roman" w:hAnsi="Times New Roman"/>
          <w:color w:val="000000"/>
          <w:sz w:val="24"/>
        </w:rPr>
        <w:t>means any and all filings, authorizations, consents, approvals, notices, permits, orders, registrations, or declarations.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(k) “</w:t>
      </w:r>
      <w:r>
        <w:rPr>
          <w:rFonts w:ascii="Times New Roman" w:hAnsi="Times New Roman"/>
          <w:b/>
          <w:i/>
          <w:color w:val="000000"/>
          <w:sz w:val="24"/>
        </w:rPr>
        <w:t>Contract</w:t>
      </w:r>
      <w:r>
        <w:rPr>
          <w:rFonts w:ascii="Times New Roman" w:hAnsi="Times New Roman"/>
          <w:color w:val="000000"/>
          <w:sz w:val="20"/>
        </w:rPr>
        <w:t xml:space="preserve">” </w:t>
      </w:r>
      <w:r>
        <w:rPr>
          <w:rFonts w:ascii="Times New Roman" w:hAnsi="Times New Roman"/>
          <w:color w:val="000000"/>
          <w:sz w:val="24"/>
        </w:rPr>
        <w:t>means any written or oral legally binding contract, agreement, instrument, commitment, or undertaking (including leases, licenses, mortgages, notes, guarantees, sublicenses, subcontracts, and purchase orders).</w:t>
      </w:r>
    </w:p>
    <w:p>
      <w:pPr>
        <w:pStyle w:val="TextBody"/>
        <w:bidi w:val="0"/>
        <w:spacing w:before="0" w:after="240"/>
        <w:jc w:val="both"/>
        <w:rPr>
          <w:rFonts w:ascii="Times New Roman" w:hAnsi="Times New Roman"/>
          <w:sz w:val="20"/>
        </w:rPr>
      </w:pPr>
      <w:r>
        <w:rPr>
          <w:rFonts w:ascii="Times New Roman" w:hAnsi="Times New Roman"/>
          <w:color w:val="000000"/>
          <w:sz w:val="24"/>
        </w:rPr>
        <w:t>(l) “</w:t>
      </w:r>
      <w:r>
        <w:rPr>
          <w:rFonts w:ascii="Times New Roman" w:hAnsi="Times New Roman"/>
          <w:b/>
          <w:i/>
          <w:color w:val="000000"/>
          <w:sz w:val="24"/>
        </w:rPr>
        <w:t>Effective Date</w:t>
      </w:r>
      <w:r>
        <w:rPr>
          <w:rFonts w:ascii="Times New Roman" w:hAnsi="Times New Roman"/>
          <w:color w:val="000000"/>
          <w:sz w:val="20"/>
        </w:rPr>
        <w:t xml:space="preserve">” </w:t>
      </w:r>
      <w:r>
        <w:rPr>
          <w:rFonts w:ascii="Times New Roman" w:hAnsi="Times New Roman"/>
          <w:color w:val="000000"/>
          <w:sz w:val="24"/>
        </w:rPr>
        <w:t>has the meaning set forth in the Preamble.</w:t>
      </w:r>
    </w:p>
    <w:p>
      <w:pPr>
        <w:pStyle w:val="TextBody"/>
        <w:bidi w:val="0"/>
        <w:spacing w:before="0" w:after="240"/>
        <w:jc w:val="both"/>
        <w:rPr>
          <w:rFonts w:ascii="Times New Roman" w:hAnsi="Times New Roman"/>
          <w:sz w:val="20"/>
        </w:rPr>
      </w:pPr>
      <w:r>
        <w:rPr>
          <w:rFonts w:ascii="Times New Roman" w:hAnsi="Times New Roman"/>
          <w:color w:val="000000"/>
          <w:sz w:val="24"/>
        </w:rPr>
        <w:t>(m) “</w:t>
      </w:r>
      <w:r>
        <w:rPr>
          <w:rFonts w:ascii="Times New Roman" w:hAnsi="Times New Roman"/>
          <w:b/>
          <w:i/>
          <w:color w:val="000000"/>
          <w:sz w:val="24"/>
        </w:rPr>
        <w:t>Encumbrance</w:t>
      </w:r>
      <w:r>
        <w:rPr>
          <w:rFonts w:ascii="Times New Roman" w:hAnsi="Times New Roman"/>
          <w:color w:val="000000"/>
          <w:sz w:val="20"/>
        </w:rPr>
        <w:t xml:space="preserve">” </w:t>
      </w:r>
      <w:r>
        <w:rPr>
          <w:rFonts w:ascii="Times New Roman" w:hAnsi="Times New Roman"/>
          <w:color w:val="000000"/>
          <w:sz w:val="24"/>
        </w:rPr>
        <w:t>means any lien, pledge, charge, mortgage, owner’s mortgage, easement, encroachment, imperfection of title, title exception, title defect, right of possession, right of negotiation or refusal, leasehold interest, security interest, encumbrance, adverse claim, interference, or other restriction on transfer, ownership, or use.</w:t>
      </w:r>
    </w:p>
    <w:p>
      <w:pPr>
        <w:pStyle w:val="TextBody"/>
        <w:bidi w:val="0"/>
        <w:spacing w:before="0" w:after="240"/>
        <w:jc w:val="both"/>
        <w:rPr>
          <w:rFonts w:ascii="Times New Roman" w:hAnsi="Times New Roman"/>
          <w:sz w:val="20"/>
        </w:rPr>
      </w:pPr>
      <w:r>
        <w:rPr>
          <w:rFonts w:ascii="Times New Roman" w:hAnsi="Times New Roman"/>
          <w:color w:val="000000"/>
          <w:sz w:val="24"/>
        </w:rPr>
        <w:t>(n) “</w:t>
      </w:r>
      <w:r>
        <w:rPr>
          <w:rFonts w:ascii="Times New Roman" w:hAnsi="Times New Roman"/>
          <w:b/>
          <w:i/>
          <w:color w:val="000000"/>
          <w:sz w:val="24"/>
        </w:rPr>
        <w:t>FDA</w:t>
      </w:r>
      <w:r>
        <w:rPr>
          <w:rFonts w:ascii="Times New Roman" w:hAnsi="Times New Roman"/>
          <w:color w:val="000000"/>
          <w:sz w:val="20"/>
        </w:rPr>
        <w:t xml:space="preserve">” </w:t>
      </w:r>
      <w:r>
        <w:rPr>
          <w:rFonts w:ascii="Times New Roman" w:hAnsi="Times New Roman"/>
          <w:color w:val="000000"/>
          <w:sz w:val="24"/>
        </w:rPr>
        <w:t>means the U.S. Food and Drug Administration.</w:t>
      </w:r>
    </w:p>
    <w:p>
      <w:pPr>
        <w:pStyle w:val="TextBody"/>
        <w:bidi w:val="0"/>
        <w:spacing w:before="0" w:after="240"/>
        <w:jc w:val="both"/>
        <w:rPr>
          <w:rFonts w:ascii="Times New Roman" w:hAnsi="Times New Roman"/>
          <w:sz w:val="20"/>
        </w:rPr>
      </w:pPr>
      <w:r>
        <w:rPr>
          <w:rFonts w:ascii="Times New Roman" w:hAnsi="Times New Roman"/>
          <w:color w:val="000000"/>
          <w:sz w:val="24"/>
        </w:rPr>
        <w:t>(o) “</w:t>
      </w:r>
      <w:r>
        <w:rPr>
          <w:rFonts w:ascii="Times New Roman" w:hAnsi="Times New Roman"/>
          <w:b/>
          <w:i/>
          <w:color w:val="000000"/>
          <w:sz w:val="24"/>
        </w:rPr>
        <w:t>FDA Approval</w:t>
      </w:r>
      <w:r>
        <w:rPr>
          <w:rFonts w:ascii="Times New Roman" w:hAnsi="Times New Roman"/>
          <w:color w:val="000000"/>
          <w:sz w:val="20"/>
        </w:rPr>
        <w:t xml:space="preserve">” </w:t>
      </w:r>
      <w:r>
        <w:rPr>
          <w:rFonts w:ascii="Times New Roman" w:hAnsi="Times New Roman"/>
          <w:color w:val="000000"/>
          <w:sz w:val="24"/>
        </w:rPr>
        <w:t>means the marketing authorization for Ojemda (tovorafenib) Tablet issued by the FDA to Seller effective on April 23, 2024, relating to NDA 217700, which was submitted under Section 505(b) of the FFDCA.</w:t>
      </w:r>
    </w:p>
    <w:p>
      <w:pPr>
        <w:pStyle w:val="TextBody"/>
        <w:bidi w:val="0"/>
        <w:spacing w:before="0" w:after="240"/>
        <w:jc w:val="both"/>
        <w:rPr>
          <w:rFonts w:ascii="Times New Roman" w:hAnsi="Times New Roman"/>
          <w:sz w:val="20"/>
        </w:rPr>
      </w:pPr>
      <w:r>
        <w:rPr>
          <w:rFonts w:ascii="Times New Roman" w:hAnsi="Times New Roman"/>
          <w:color w:val="000000"/>
          <w:sz w:val="24"/>
        </w:rPr>
        <w:t>(p) “</w:t>
      </w:r>
      <w:r>
        <w:rPr>
          <w:rFonts w:ascii="Times New Roman" w:hAnsi="Times New Roman"/>
          <w:b/>
          <w:i/>
          <w:color w:val="000000"/>
          <w:sz w:val="24"/>
        </w:rPr>
        <w:t>FFDCA</w:t>
      </w:r>
      <w:r>
        <w:rPr>
          <w:rFonts w:ascii="Times New Roman" w:hAnsi="Times New Roman"/>
          <w:color w:val="000000"/>
          <w:sz w:val="20"/>
        </w:rPr>
        <w:t xml:space="preserve">” </w:t>
      </w:r>
      <w:r>
        <w:rPr>
          <w:rFonts w:ascii="Times New Roman" w:hAnsi="Times New Roman"/>
          <w:color w:val="000000"/>
          <w:sz w:val="24"/>
        </w:rPr>
        <w:t xml:space="preserve">means the United States Federal Food, Drug, and Cosmetic Act, 21 U.S.C. § 301 </w:t>
      </w:r>
      <w:r>
        <w:rPr>
          <w:rFonts w:ascii="Times New Roman" w:hAnsi="Times New Roman"/>
          <w:i/>
          <w:color w:val="000000"/>
          <w:sz w:val="24"/>
        </w:rPr>
        <w:t>et seq.</w:t>
      </w:r>
      <w:r>
        <w:rPr>
          <w:rFonts w:ascii="Times New Roman" w:hAnsi="Times New Roman"/>
          <w:color w:val="000000"/>
          <w:sz w:val="24"/>
        </w:rPr>
        <w:t>, as amended from time to time, together with any rules, regulations, and requirements promulgated thereunder (including all additions, supplements, extensions, and modifications thereto).</w:t>
      </w:r>
    </w:p>
    <w:p>
      <w:pPr>
        <w:pStyle w:val="TextBody"/>
        <w:bidi w:val="0"/>
        <w:spacing w:before="0" w:after="240"/>
        <w:jc w:val="both"/>
        <w:rPr>
          <w:rFonts w:ascii="Times New Roman" w:hAnsi="Times New Roman"/>
          <w:sz w:val="20"/>
        </w:rPr>
      </w:pPr>
      <w:r>
        <w:rPr>
          <w:rFonts w:ascii="Times New Roman" w:hAnsi="Times New Roman"/>
          <w:color w:val="000000"/>
          <w:sz w:val="24"/>
        </w:rPr>
        <w:t>(q) “</w:t>
      </w:r>
      <w:r>
        <w:rPr>
          <w:rFonts w:ascii="Times New Roman" w:hAnsi="Times New Roman"/>
          <w:b/>
          <w:i/>
          <w:color w:val="000000"/>
          <w:sz w:val="24"/>
        </w:rPr>
        <w:t>Fundamental Breach Event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6.7</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(r) “</w:t>
      </w:r>
      <w:r>
        <w:rPr>
          <w:rFonts w:ascii="Times New Roman" w:hAnsi="Times New Roman"/>
          <w:b/>
          <w:i/>
          <w:color w:val="000000"/>
          <w:sz w:val="24"/>
        </w:rPr>
        <w:t>Fundamental Representations</w:t>
      </w:r>
      <w:r>
        <w:rPr>
          <w:rFonts w:ascii="Times New Roman" w:hAnsi="Times New Roman"/>
          <w:color w:val="000000"/>
          <w:sz w:val="20"/>
        </w:rPr>
        <w:t xml:space="preserve">” </w:t>
      </w:r>
      <w:r>
        <w:rPr>
          <w:rFonts w:ascii="Times New Roman" w:hAnsi="Times New Roman"/>
          <w:color w:val="000000"/>
          <w:sz w:val="24"/>
        </w:rPr>
        <w:t xml:space="preserve">means the representations and warranties contained in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 xml:space="preserve">(Organization; Standing and Power),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 xml:space="preserve">(Due Authority),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(No Contravention), </w:t>
      </w:r>
      <w:r>
        <w:rPr>
          <w:rFonts w:ascii="Times New Roman" w:hAnsi="Times New Roman"/>
          <w:color w:val="000000"/>
          <w:sz w:val="24"/>
          <w:u w:val="single"/>
        </w:rPr>
        <w:t>Section 3.5</w:t>
      </w:r>
      <w:r>
        <w:rPr>
          <w:rFonts w:ascii="Times New Roman" w:hAnsi="Times New Roman"/>
          <w:color w:val="000000"/>
          <w:sz w:val="20"/>
        </w:rPr>
        <w:t xml:space="preserve"> </w:t>
      </w:r>
      <w:r>
        <w:rPr>
          <w:rFonts w:ascii="Times New Roman" w:hAnsi="Times New Roman"/>
          <w:color w:val="000000"/>
          <w:sz w:val="24"/>
        </w:rPr>
        <w:t xml:space="preserve">(Title to Purchased Assets), </w:t>
      </w:r>
      <w:r>
        <w:rPr>
          <w:rFonts w:ascii="Times New Roman" w:hAnsi="Times New Roman"/>
          <w:color w:val="000000"/>
          <w:sz w:val="24"/>
          <w:u w:val="single"/>
        </w:rPr>
        <w:t>Section 3.6</w:t>
      </w:r>
      <w:r>
        <w:rPr>
          <w:rFonts w:ascii="Times New Roman" w:hAnsi="Times New Roman"/>
          <w:color w:val="000000"/>
          <w:sz w:val="20"/>
        </w:rPr>
        <w:t xml:space="preserve"> </w:t>
      </w:r>
      <w:r>
        <w:rPr>
          <w:rFonts w:ascii="Times New Roman" w:hAnsi="Times New Roman"/>
          <w:color w:val="000000"/>
          <w:sz w:val="24"/>
        </w:rPr>
        <w:t xml:space="preserve">(Compliance with Legal Requirements), </w:t>
      </w:r>
      <w:r>
        <w:rPr>
          <w:rFonts w:ascii="Times New Roman" w:hAnsi="Times New Roman"/>
          <w:color w:val="000000"/>
          <w:sz w:val="24"/>
          <w:u w:val="single"/>
        </w:rPr>
        <w:t>Section 3.9</w:t>
      </w:r>
      <w:r>
        <w:rPr>
          <w:rFonts w:ascii="Times New Roman" w:hAnsi="Times New Roman"/>
          <w:color w:val="000000"/>
          <w:sz w:val="20"/>
        </w:rPr>
        <w:t xml:space="preserve"> </w:t>
      </w:r>
      <w:r>
        <w:rPr>
          <w:rFonts w:ascii="Times New Roman" w:hAnsi="Times New Roman"/>
          <w:color w:val="000000"/>
          <w:sz w:val="24"/>
        </w:rPr>
        <w:t xml:space="preserve">(Revocation; Use of Purchased Assets), </w:t>
      </w:r>
      <w:r>
        <w:rPr>
          <w:rFonts w:ascii="Times New Roman" w:hAnsi="Times New Roman"/>
          <w:color w:val="000000"/>
          <w:sz w:val="24"/>
          <w:u w:val="single"/>
        </w:rPr>
        <w:t xml:space="preserve">Section 3.10 </w:t>
      </w:r>
      <w:r>
        <w:rPr>
          <w:rFonts w:ascii="Times New Roman" w:hAnsi="Times New Roman"/>
          <w:color w:val="000000"/>
          <w:sz w:val="24"/>
        </w:rPr>
        <w:t xml:space="preserve">(Marketed Product), </w:t>
      </w:r>
      <w:r>
        <w:rPr>
          <w:rFonts w:ascii="Times New Roman" w:hAnsi="Times New Roman"/>
          <w:color w:val="000000"/>
          <w:sz w:val="24"/>
          <w:u w:val="single"/>
        </w:rPr>
        <w:t>Section 3.11</w:t>
      </w:r>
      <w:r>
        <w:rPr>
          <w:rFonts w:ascii="Times New Roman" w:hAnsi="Times New Roman"/>
          <w:color w:val="000000"/>
          <w:sz w:val="20"/>
        </w:rPr>
        <w:t xml:space="preserve"> </w:t>
      </w:r>
      <w:r>
        <w:rPr>
          <w:rFonts w:ascii="Times New Roman" w:hAnsi="Times New Roman"/>
          <w:color w:val="000000"/>
          <w:sz w:val="24"/>
        </w:rPr>
        <w:t xml:space="preserve">(Brokers), </w:t>
      </w:r>
      <w:r>
        <w:rPr>
          <w:rFonts w:ascii="Times New Roman" w:hAnsi="Times New Roman"/>
          <w:color w:val="000000"/>
          <w:sz w:val="24"/>
          <w:u w:val="single"/>
        </w:rPr>
        <w:t>Section 3.12</w:t>
      </w:r>
      <w:r>
        <w:rPr>
          <w:rFonts w:ascii="Times New Roman" w:hAnsi="Times New Roman"/>
          <w:color w:val="000000"/>
          <w:sz w:val="20"/>
        </w:rPr>
        <w:t xml:space="preserve"> </w:t>
      </w:r>
      <w:r>
        <w:rPr>
          <w:rFonts w:ascii="Times New Roman" w:hAnsi="Times New Roman"/>
          <w:color w:val="000000"/>
          <w:sz w:val="24"/>
        </w:rPr>
        <w:t xml:space="preserve">(Taxes), </w:t>
      </w:r>
      <w:r>
        <w:rPr>
          <w:rFonts w:ascii="Times New Roman" w:hAnsi="Times New Roman"/>
          <w:color w:val="000000"/>
          <w:sz w:val="24"/>
          <w:u w:val="single"/>
        </w:rPr>
        <w:t>Section 4.1</w:t>
      </w:r>
      <w:r>
        <w:rPr>
          <w:rFonts w:ascii="Times New Roman" w:hAnsi="Times New Roman"/>
          <w:color w:val="000000"/>
          <w:sz w:val="24"/>
        </w:rPr>
        <w:t xml:space="preserve">(Organization; Standing and Power),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 xml:space="preserve">(Authority), </w:t>
      </w:r>
      <w:r>
        <w:rPr>
          <w:rFonts w:ascii="Times New Roman" w:hAnsi="Times New Roman"/>
          <w:color w:val="000000"/>
          <w:sz w:val="24"/>
          <w:u w:val="single"/>
        </w:rPr>
        <w:t>Section 4.3</w:t>
      </w:r>
      <w:r>
        <w:rPr>
          <w:rFonts w:ascii="Times New Roman" w:hAnsi="Times New Roman"/>
          <w:color w:val="000000"/>
          <w:sz w:val="20"/>
        </w:rPr>
        <w:t xml:space="preserve"> </w:t>
      </w:r>
      <w:r>
        <w:rPr>
          <w:rFonts w:ascii="Times New Roman" w:hAnsi="Times New Roman"/>
          <w:color w:val="000000"/>
          <w:sz w:val="24"/>
        </w:rPr>
        <w:t xml:space="preserve">(No Contravention), and </w:t>
      </w:r>
      <w:r>
        <w:rPr>
          <w:rFonts w:ascii="Times New Roman" w:hAnsi="Times New Roman"/>
          <w:color w:val="000000"/>
          <w:sz w:val="24"/>
          <w:u w:val="single"/>
        </w:rPr>
        <w:t>Section 4.5</w:t>
      </w:r>
      <w:r>
        <w:rPr>
          <w:rFonts w:ascii="Times New Roman" w:hAnsi="Times New Roman"/>
          <w:color w:val="000000"/>
          <w:sz w:val="20"/>
        </w:rPr>
        <w:t xml:space="preserve"> </w:t>
      </w:r>
      <w:r>
        <w:rPr>
          <w:rFonts w:ascii="Times New Roman" w:hAnsi="Times New Roman"/>
          <w:color w:val="000000"/>
          <w:sz w:val="24"/>
        </w:rPr>
        <w:t>(Brokers).</w:t>
      </w:r>
    </w:p>
    <w:p>
      <w:pPr>
        <w:pStyle w:val="TextBody"/>
        <w:bidi w:val="0"/>
        <w:spacing w:before="0" w:after="240"/>
        <w:jc w:val="both"/>
        <w:rPr>
          <w:rFonts w:ascii="Times New Roman" w:hAnsi="Times New Roman"/>
          <w:sz w:val="20"/>
        </w:rPr>
      </w:pPr>
      <w:r>
        <w:rPr>
          <w:rFonts w:ascii="Times New Roman" w:hAnsi="Times New Roman"/>
          <w:color w:val="000000"/>
          <w:sz w:val="24"/>
        </w:rPr>
        <w:t>(s) “</w:t>
      </w:r>
      <w:r>
        <w:rPr>
          <w:rFonts w:ascii="Times New Roman" w:hAnsi="Times New Roman"/>
          <w:b/>
          <w:i/>
          <w:color w:val="000000"/>
          <w:sz w:val="24"/>
        </w:rPr>
        <w:t>Governmental Entity</w:t>
      </w:r>
      <w:r>
        <w:rPr>
          <w:rFonts w:ascii="Times New Roman" w:hAnsi="Times New Roman"/>
          <w:color w:val="000000"/>
          <w:sz w:val="20"/>
        </w:rPr>
        <w:t xml:space="preserve">” </w:t>
      </w:r>
      <w:r>
        <w:rPr>
          <w:rFonts w:ascii="Times New Roman" w:hAnsi="Times New Roman"/>
          <w:color w:val="000000"/>
          <w:sz w:val="24"/>
        </w:rPr>
        <w:t>means any supranational, national, state, municipal, local or foreign government, any court, tribunal, arbitrator, administrative agency, commission, or other governmental official, authority, or instrumentality, in each case, whether domestic or foreign, any stock exchange or similar self-regulatory organization, or any quasi-governmental, private body or arbitral body exercising any executive, legislative, judicial, quasi-judicial, regulatory, taxing, importing, administrative, or other governmental or quasi-governmental authority.</w:t>
      </w:r>
    </w:p>
    <w:p>
      <w:pPr>
        <w:pStyle w:val="TextBody"/>
        <w:bidi w:val="0"/>
        <w:spacing w:before="0" w:after="240"/>
        <w:jc w:val="both"/>
        <w:rPr>
          <w:rFonts w:ascii="Times New Roman" w:hAnsi="Times New Roman"/>
          <w:sz w:val="20"/>
        </w:rPr>
      </w:pPr>
      <w:r>
        <w:rPr>
          <w:rFonts w:ascii="Times New Roman" w:hAnsi="Times New Roman"/>
          <w:color w:val="000000"/>
          <w:sz w:val="24"/>
        </w:rPr>
        <w:t>(t) “</w:t>
      </w:r>
      <w:r>
        <w:rPr>
          <w:rFonts w:ascii="Times New Roman" w:hAnsi="Times New Roman"/>
          <w:b/>
          <w:i/>
          <w:color w:val="000000"/>
          <w:sz w:val="24"/>
        </w:rPr>
        <w:t>Indemnified Party</w:t>
      </w:r>
      <w:r>
        <w:rPr>
          <w:rFonts w:ascii="Times New Roman" w:hAnsi="Times New Roman"/>
          <w:color w:val="000000"/>
          <w:sz w:val="20"/>
        </w:rPr>
        <w:t xml:space="preserve">” </w:t>
      </w:r>
      <w:r>
        <w:rPr>
          <w:rFonts w:ascii="Times New Roman" w:hAnsi="Times New Roman"/>
          <w:color w:val="000000"/>
          <w:sz w:val="24"/>
        </w:rPr>
        <w:t>means any of the Buyer Indemnified Parties or Seller Indemnified Parties, as applicable.</w:t>
      </w:r>
    </w:p>
    <w:p>
      <w:pPr>
        <w:pStyle w:val="TextBody"/>
        <w:bidi w:val="0"/>
        <w:spacing w:before="0" w:after="240"/>
        <w:jc w:val="both"/>
        <w:rPr>
          <w:rFonts w:ascii="Times New Roman" w:hAnsi="Times New Roman"/>
          <w:sz w:val="20"/>
        </w:rPr>
      </w:pPr>
      <w:r>
        <w:rPr>
          <w:rFonts w:ascii="Times New Roman" w:hAnsi="Times New Roman"/>
          <w:color w:val="000000"/>
          <w:sz w:val="24"/>
        </w:rPr>
        <w:t>(u) “</w:t>
      </w:r>
      <w:r>
        <w:rPr>
          <w:rFonts w:ascii="Times New Roman" w:hAnsi="Times New Roman"/>
          <w:b/>
          <w:i/>
          <w:color w:val="000000"/>
          <w:sz w:val="24"/>
        </w:rPr>
        <w:t>Indemnifying Party</w:t>
      </w:r>
      <w:r>
        <w:rPr>
          <w:rFonts w:ascii="Times New Roman" w:hAnsi="Times New Roman"/>
          <w:color w:val="000000"/>
          <w:sz w:val="20"/>
        </w:rPr>
        <w:t xml:space="preserve">” </w:t>
      </w:r>
      <w:r>
        <w:rPr>
          <w:rFonts w:ascii="Times New Roman" w:hAnsi="Times New Roman"/>
          <w:color w:val="000000"/>
          <w:sz w:val="24"/>
        </w:rPr>
        <w:t xml:space="preserve">means any Person against whom a claim for indemnification is being asserted under any provision of </w:t>
      </w:r>
      <w:r>
        <w:rPr>
          <w:rFonts w:ascii="Times New Roman" w:hAnsi="Times New Roman"/>
          <w:color w:val="000000"/>
          <w:sz w:val="24"/>
          <w:u w:val="single"/>
        </w:rPr>
        <w:t>ARTICLE 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(v) “</w:t>
      </w:r>
      <w:r>
        <w:rPr>
          <w:rFonts w:ascii="Times New Roman" w:hAnsi="Times New Roman"/>
          <w:b/>
          <w:i/>
          <w:color w:val="000000"/>
          <w:sz w:val="24"/>
        </w:rPr>
        <w:t>Indirect Taxes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 “</w:t>
      </w:r>
      <w:r>
        <w:rPr>
          <w:rFonts w:ascii="Times New Roman" w:hAnsi="Times New Roman"/>
          <w:b/>
          <w:i/>
          <w:color w:val="000000"/>
          <w:sz w:val="24"/>
        </w:rPr>
        <w:t>Judgment</w:t>
      </w:r>
      <w:r>
        <w:rPr>
          <w:rFonts w:ascii="Times New Roman" w:hAnsi="Times New Roman"/>
          <w:color w:val="000000"/>
          <w:sz w:val="20"/>
        </w:rPr>
        <w:t xml:space="preserve">” </w:t>
      </w:r>
      <w:r>
        <w:rPr>
          <w:rFonts w:ascii="Times New Roman" w:hAnsi="Times New Roman"/>
          <w:color w:val="000000"/>
          <w:sz w:val="24"/>
        </w:rPr>
        <w:t>means any orders, writs, injunctions, awards, judgments, settlements, stipulations, determinations, and decrees entered by or with any Governmental Entity.</w:t>
      </w:r>
    </w:p>
    <w:p>
      <w:pPr>
        <w:pStyle w:val="TextBody"/>
        <w:bidi w:val="0"/>
        <w:spacing w:before="0" w:after="240"/>
        <w:jc w:val="both"/>
        <w:rPr>
          <w:rFonts w:ascii="Times New Roman" w:hAnsi="Times New Roman"/>
          <w:sz w:val="20"/>
        </w:rPr>
      </w:pPr>
      <w:r>
        <w:rPr>
          <w:rFonts w:ascii="Times New Roman" w:hAnsi="Times New Roman"/>
          <w:color w:val="000000"/>
          <w:sz w:val="24"/>
        </w:rPr>
        <w:t>(x) “</w:t>
      </w:r>
      <w:r>
        <w:rPr>
          <w:rFonts w:ascii="Times New Roman" w:hAnsi="Times New Roman"/>
          <w:b/>
          <w:i/>
          <w:color w:val="000000"/>
          <w:sz w:val="24"/>
        </w:rPr>
        <w:t>Knowledge</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(y) “</w:t>
      </w:r>
      <w:r>
        <w:rPr>
          <w:rFonts w:ascii="Times New Roman" w:hAnsi="Times New Roman"/>
          <w:b/>
          <w:i/>
          <w:color w:val="000000"/>
          <w:sz w:val="24"/>
        </w:rPr>
        <w:t>Law</w:t>
      </w:r>
      <w:r>
        <w:rPr>
          <w:rFonts w:ascii="Times New Roman" w:hAnsi="Times New Roman"/>
          <w:color w:val="000000"/>
          <w:sz w:val="20"/>
        </w:rPr>
        <w:t xml:space="preserve">” </w:t>
      </w:r>
      <w:r>
        <w:rPr>
          <w:rFonts w:ascii="Times New Roman" w:hAnsi="Times New Roman"/>
          <w:color w:val="000000"/>
          <w:sz w:val="24"/>
        </w:rPr>
        <w:t>means any federal, state, foreign, local, municipal, or other law, statute, constitution, principle of common law, resolution, ordinance, code, edict, decree, rule, regulation, ruling or requirement issued, enacted, adopted, promulgated, implemented, or otherwise put into effect by or under the authority of any Governmental Entity.</w:t>
      </w:r>
    </w:p>
    <w:p>
      <w:pPr>
        <w:pStyle w:val="TextBody"/>
        <w:bidi w:val="0"/>
        <w:spacing w:before="0" w:after="240"/>
        <w:jc w:val="both"/>
        <w:rPr>
          <w:rFonts w:ascii="Times New Roman" w:hAnsi="Times New Roman"/>
          <w:sz w:val="20"/>
        </w:rPr>
      </w:pPr>
      <w:r>
        <w:rPr>
          <w:rFonts w:ascii="Times New Roman" w:hAnsi="Times New Roman"/>
          <w:color w:val="000000"/>
          <w:sz w:val="24"/>
        </w:rPr>
        <w:t>(z) “</w:t>
      </w:r>
      <w:r>
        <w:rPr>
          <w:rFonts w:ascii="Times New Roman" w:hAnsi="Times New Roman"/>
          <w:b/>
          <w:i/>
          <w:color w:val="000000"/>
          <w:sz w:val="24"/>
        </w:rPr>
        <w:t>Legal Requirement</w:t>
      </w:r>
      <w:r>
        <w:rPr>
          <w:rFonts w:ascii="Times New Roman" w:hAnsi="Times New Roman"/>
          <w:color w:val="000000"/>
          <w:sz w:val="20"/>
        </w:rPr>
        <w:t xml:space="preserve">” </w:t>
      </w:r>
      <w:r>
        <w:rPr>
          <w:rFonts w:ascii="Times New Roman" w:hAnsi="Times New Roman"/>
          <w:color w:val="000000"/>
          <w:sz w:val="24"/>
        </w:rPr>
        <w:t>means any federal, state, foreign, local, municipal or other law, statute, constitution, principle of common law, resolution, ordinance, code, rule, regulation, ruling or requirement issued, enacted, adopted, promulgated, implemented or otherwise put into effect by or under the authority of any Governmental Entity and any Orders applicable to a Party or to any of its assets, properties or businesses. Legal Requirements shall include, with respect to Seller or its Affiliates, any responsibilities, requirements, parameters and conditions relating to the Priority Review Voucher set forth in (i) the Approval Letter, (ii) any other correspondence received by Seller or its Affiliates from the FDA regarding the Priority Review Voucher, (iii) Section 529 of the FFCA (21 U.S.C. § 360ff), or (iv) in the FDA’s Draft Guidance, “Rare Pediatric Disease Priority Review Vouchers —Guidance for Industry” (July 2019).</w:t>
      </w:r>
    </w:p>
    <w:p>
      <w:pPr>
        <w:pStyle w:val="TextBody"/>
        <w:bidi w:val="0"/>
        <w:spacing w:before="0" w:after="240"/>
        <w:jc w:val="both"/>
        <w:rPr>
          <w:rFonts w:ascii="Times New Roman" w:hAnsi="Times New Roman"/>
          <w:sz w:val="20"/>
        </w:rPr>
      </w:pPr>
      <w:r>
        <w:rPr>
          <w:rFonts w:ascii="Times New Roman" w:hAnsi="Times New Roman"/>
          <w:color w:val="000000"/>
          <w:sz w:val="24"/>
        </w:rPr>
        <w:t>(aa) “</w:t>
      </w:r>
      <w:r>
        <w:rPr>
          <w:rFonts w:ascii="Times New Roman" w:hAnsi="Times New Roman"/>
          <w:b/>
          <w:i/>
          <w:color w:val="000000"/>
          <w:sz w:val="24"/>
        </w:rPr>
        <w:t>Liabilities</w:t>
      </w:r>
      <w:r>
        <w:rPr>
          <w:rFonts w:ascii="Times New Roman" w:hAnsi="Times New Roman"/>
          <w:color w:val="000000"/>
          <w:sz w:val="20"/>
        </w:rPr>
        <w:t xml:space="preserve">” </w:t>
      </w:r>
      <w:r>
        <w:rPr>
          <w:rFonts w:ascii="Times New Roman" w:hAnsi="Times New Roman"/>
          <w:color w:val="000000"/>
          <w:sz w:val="24"/>
        </w:rPr>
        <w:t>means all debts, liabilities, and obligations, whether presently in existence or arising hereafter, accrued or fixed, absolute or contingent, matured or unmatured, determined or determinable, asserted or unasserted, known or unknown, including those arising under any Law, Action, or Judgment and those arising under any Contract.</w:t>
      </w:r>
    </w:p>
    <w:p>
      <w:pPr>
        <w:pStyle w:val="TextBody"/>
        <w:bidi w:val="0"/>
        <w:spacing w:before="0" w:after="240"/>
        <w:jc w:val="both"/>
        <w:rPr>
          <w:rFonts w:ascii="Times New Roman" w:hAnsi="Times New Roman"/>
          <w:sz w:val="20"/>
        </w:rPr>
      </w:pPr>
      <w:r>
        <w:rPr>
          <w:rFonts w:ascii="Times New Roman" w:hAnsi="Times New Roman"/>
          <w:color w:val="000000"/>
          <w:sz w:val="24"/>
        </w:rPr>
        <w:t>(bb) “</w:t>
      </w:r>
      <w:r>
        <w:rPr>
          <w:rFonts w:ascii="Times New Roman" w:hAnsi="Times New Roman"/>
          <w:b/>
          <w:i/>
          <w:color w:val="000000"/>
          <w:sz w:val="24"/>
        </w:rPr>
        <w:t>Losses</w:t>
      </w:r>
      <w:r>
        <w:rPr>
          <w:rFonts w:ascii="Times New Roman" w:hAnsi="Times New Roman"/>
          <w:color w:val="000000"/>
          <w:sz w:val="20"/>
        </w:rPr>
        <w:t xml:space="preserve">” </w:t>
      </w:r>
      <w:r>
        <w:rPr>
          <w:rFonts w:ascii="Times New Roman" w:hAnsi="Times New Roman"/>
          <w:color w:val="000000"/>
          <w:sz w:val="24"/>
        </w:rPr>
        <w:t>means all losses, Liabilities, damages, claims, causes of action, Judgments, awards, suits, Taxes, fines, penalties, costs, or expenses (including reasonable attorneys’ and experts’ fees and expenses).</w:t>
      </w:r>
    </w:p>
    <w:p>
      <w:pPr>
        <w:pStyle w:val="TextBody"/>
        <w:bidi w:val="0"/>
        <w:spacing w:before="0" w:after="240"/>
        <w:jc w:val="both"/>
        <w:rPr>
          <w:rFonts w:ascii="Times New Roman" w:hAnsi="Times New Roman"/>
          <w:sz w:val="20"/>
        </w:rPr>
      </w:pPr>
      <w:r>
        <w:rPr>
          <w:rFonts w:ascii="Times New Roman" w:hAnsi="Times New Roman"/>
          <w:color w:val="000000"/>
          <w:sz w:val="24"/>
        </w:rPr>
        <w:t>(cc) “</w:t>
      </w:r>
      <w:r>
        <w:rPr>
          <w:rFonts w:ascii="Times New Roman" w:hAnsi="Times New Roman"/>
          <w:b/>
          <w:i/>
          <w:color w:val="000000"/>
          <w:sz w:val="24"/>
        </w:rPr>
        <w:t>Market,</w:t>
      </w:r>
      <w:r>
        <w:rPr>
          <w:rFonts w:ascii="Times New Roman" w:hAnsi="Times New Roman"/>
          <w:color w:val="000000"/>
          <w:sz w:val="20"/>
        </w:rPr>
        <w:t>” “</w:t>
      </w:r>
      <w:r>
        <w:rPr>
          <w:rFonts w:ascii="Times New Roman" w:hAnsi="Times New Roman"/>
          <w:b/>
          <w:i/>
          <w:color w:val="000000"/>
          <w:sz w:val="24"/>
        </w:rPr>
        <w:t>Marketed</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Marketing</w:t>
      </w:r>
      <w:r>
        <w:rPr>
          <w:rFonts w:ascii="Times New Roman" w:hAnsi="Times New Roman"/>
          <w:color w:val="000000"/>
          <w:sz w:val="20"/>
        </w:rPr>
        <w:t xml:space="preserve">” </w:t>
      </w:r>
      <w:r>
        <w:rPr>
          <w:rFonts w:ascii="Times New Roman" w:hAnsi="Times New Roman"/>
          <w:color w:val="000000"/>
          <w:sz w:val="24"/>
        </w:rPr>
        <w:t>means to market a drug as described in Section 529(e)(1) of the FFDCA.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 [*]</w:t>
      </w:r>
    </w:p>
    <w:p>
      <w:pPr>
        <w:pStyle w:val="TextBody"/>
        <w:bidi w:val="0"/>
        <w:spacing w:before="0" w:after="240"/>
        <w:jc w:val="both"/>
        <w:rPr>
          <w:rFonts w:ascii="Times New Roman" w:hAnsi="Times New Roman"/>
          <w:sz w:val="20"/>
        </w:rPr>
      </w:pPr>
      <w:r>
        <w:rPr>
          <w:rFonts w:ascii="Times New Roman" w:hAnsi="Times New Roman"/>
          <w:color w:val="000000"/>
          <w:sz w:val="24"/>
        </w:rPr>
        <w:t>(ff) “</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any natural person, company, corporation, limited liability company, general partnership, limited partnership, trust, proprietorship, joint venture, business organization, or Governmental Entity.</w:t>
      </w:r>
    </w:p>
    <w:p>
      <w:pPr>
        <w:pStyle w:val="TextBody"/>
        <w:bidi w:val="0"/>
        <w:spacing w:before="0" w:after="240"/>
        <w:jc w:val="both"/>
        <w:rPr>
          <w:rFonts w:ascii="Times New Roman" w:hAnsi="Times New Roman"/>
          <w:sz w:val="20"/>
        </w:rPr>
      </w:pPr>
      <w:r>
        <w:rPr>
          <w:rFonts w:ascii="Times New Roman" w:hAnsi="Times New Roman"/>
          <w:color w:val="000000"/>
          <w:sz w:val="24"/>
        </w:rPr>
        <w:t>(gg) “</w:t>
      </w:r>
      <w:r>
        <w:rPr>
          <w:rFonts w:ascii="Times New Roman" w:hAnsi="Times New Roman"/>
          <w:b/>
          <w:i/>
          <w:color w:val="000000"/>
          <w:sz w:val="24"/>
        </w:rPr>
        <w:t>PHSA</w:t>
      </w:r>
      <w:r>
        <w:rPr>
          <w:rFonts w:ascii="Times New Roman" w:hAnsi="Times New Roman"/>
          <w:color w:val="000000"/>
          <w:sz w:val="20"/>
        </w:rPr>
        <w:t xml:space="preserve">” </w:t>
      </w:r>
      <w:r>
        <w:rPr>
          <w:rFonts w:ascii="Times New Roman" w:hAnsi="Times New Roman"/>
          <w:color w:val="000000"/>
          <w:sz w:val="24"/>
        </w:rPr>
        <w:t>means the United States Public Health Service Act, 42 U.S.C. § 201 et seq., as amended from time to time, together with any rules, regulations, and requirements promulgated thereunder (including all additions, supplements, extensions, and modifications thereto).</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(hh) “</w:t>
      </w:r>
      <w:r>
        <w:rPr>
          <w:rFonts w:ascii="Times New Roman" w:hAnsi="Times New Roman"/>
          <w:b/>
          <w:i/>
          <w:color w:val="000000"/>
          <w:sz w:val="24"/>
        </w:rPr>
        <w:t>Priority Review</w:t>
      </w:r>
      <w:r>
        <w:rPr>
          <w:rFonts w:ascii="Times New Roman" w:hAnsi="Times New Roman"/>
          <w:color w:val="000000"/>
          <w:sz w:val="20"/>
        </w:rPr>
        <w:t xml:space="preserve">” </w:t>
      </w:r>
      <w:r>
        <w:rPr>
          <w:rFonts w:ascii="Times New Roman" w:hAnsi="Times New Roman"/>
          <w:color w:val="000000"/>
          <w:sz w:val="24"/>
        </w:rPr>
        <w:t>has the meaning given in Section 529(a)(1) of the FFDCA.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w:t>
      </w:r>
      <w:r>
        <w:rPr>
          <w:rFonts w:ascii="Times New Roman" w:hAnsi="Times New Roman"/>
          <w:b/>
          <w:i/>
          <w:color w:val="000000"/>
          <w:sz w:val="24"/>
        </w:rPr>
        <w:t>Priority Review Voucher</w:t>
      </w:r>
      <w:r>
        <w:rPr>
          <w:rFonts w:ascii="Times New Roman" w:hAnsi="Times New Roman"/>
          <w:color w:val="000000"/>
          <w:sz w:val="20"/>
        </w:rPr>
        <w:t xml:space="preserve">” </w:t>
      </w:r>
      <w:r>
        <w:rPr>
          <w:rFonts w:ascii="Times New Roman" w:hAnsi="Times New Roman"/>
          <w:color w:val="000000"/>
          <w:sz w:val="24"/>
        </w:rPr>
        <w:t>means the priority review voucher issued by the Secretary of the Department of Health and Human Services pursuant to Section 529(b)(1) of the FFDCA to Seller and assigned tracking number PRV NDA 217700 that entitles the holder of such voucher to Priority Review of a single human drug application submitted under Section 505(b)(1) of the FFDCA or section 351(a) of the PHSA.</w:t>
      </w:r>
    </w:p>
    <w:p>
      <w:pPr>
        <w:pStyle w:val="TextBody"/>
        <w:bidi w:val="0"/>
        <w:spacing w:before="0" w:after="240"/>
        <w:jc w:val="both"/>
        <w:rPr>
          <w:rFonts w:ascii="Times New Roman" w:hAnsi="Times New Roman"/>
          <w:sz w:val="20"/>
        </w:rPr>
      </w:pPr>
      <w:r>
        <w:rPr>
          <w:rFonts w:ascii="Times New Roman" w:hAnsi="Times New Roman"/>
          <w:color w:val="000000"/>
          <w:sz w:val="24"/>
        </w:rPr>
        <w:t>(jj) “</w:t>
      </w:r>
      <w:r>
        <w:rPr>
          <w:rFonts w:ascii="Times New Roman" w:hAnsi="Times New Roman"/>
          <w:b/>
          <w:i/>
          <w:color w:val="000000"/>
          <w:sz w:val="24"/>
        </w:rPr>
        <w:t>Purchased Assets</w:t>
      </w:r>
      <w:r>
        <w:rPr>
          <w:rFonts w:ascii="Times New Roman" w:hAnsi="Times New Roman"/>
          <w:color w:val="000000"/>
          <w:sz w:val="20"/>
        </w:rPr>
        <w:t xml:space="preserve">” </w:t>
      </w:r>
      <w:r>
        <w:rPr>
          <w:rFonts w:ascii="Times New Roman" w:hAnsi="Times New Roman"/>
          <w:color w:val="000000"/>
          <w:sz w:val="24"/>
        </w:rPr>
        <w:t>means (i) the Priority Review Voucher and (ii) any and all rights, benefits and entitlements with respect thereto afforded to the holder of such Priority Review Voucher.</w:t>
      </w:r>
    </w:p>
    <w:p>
      <w:pPr>
        <w:pStyle w:val="TextBody"/>
        <w:bidi w:val="0"/>
        <w:spacing w:before="0" w:after="240"/>
        <w:jc w:val="both"/>
        <w:rPr>
          <w:rFonts w:ascii="Times New Roman" w:hAnsi="Times New Roman"/>
          <w:sz w:val="20"/>
        </w:rPr>
      </w:pPr>
      <w:r>
        <w:rPr>
          <w:rFonts w:ascii="Times New Roman" w:hAnsi="Times New Roman"/>
          <w:color w:val="000000"/>
          <w:sz w:val="24"/>
        </w:rPr>
        <w:t>(kk) “</w:t>
      </w:r>
      <w:r>
        <w:rPr>
          <w:rFonts w:ascii="Times New Roman" w:hAnsi="Times New Roman"/>
          <w:b/>
          <w:i/>
          <w:color w:val="000000"/>
          <w:sz w:val="24"/>
        </w:rPr>
        <w:t>Rare Pediatric Disease</w:t>
      </w:r>
      <w:r>
        <w:rPr>
          <w:rFonts w:ascii="Times New Roman" w:hAnsi="Times New Roman"/>
          <w:color w:val="000000"/>
          <w:sz w:val="20"/>
        </w:rPr>
        <w:t xml:space="preserve">” </w:t>
      </w:r>
      <w:r>
        <w:rPr>
          <w:rFonts w:ascii="Times New Roman" w:hAnsi="Times New Roman"/>
          <w:color w:val="000000"/>
          <w:sz w:val="24"/>
        </w:rPr>
        <w:t>means rare pediatric disease as defined in Section 529(a)(3) of the FFDCA.</w:t>
      </w:r>
    </w:p>
    <w:p>
      <w:pPr>
        <w:pStyle w:val="TextBody"/>
        <w:bidi w:val="0"/>
        <w:spacing w:before="0" w:after="240"/>
        <w:jc w:val="both"/>
        <w:rPr>
          <w:rFonts w:ascii="Times New Roman" w:hAnsi="Times New Roman"/>
          <w:sz w:val="20"/>
        </w:rPr>
      </w:pPr>
      <w:r>
        <w:rPr>
          <w:rFonts w:ascii="Times New Roman" w:hAnsi="Times New Roman"/>
          <w:color w:val="000000"/>
          <w:sz w:val="24"/>
        </w:rPr>
        <w:t>(ll) “</w:t>
      </w:r>
      <w:r>
        <w:rPr>
          <w:rFonts w:ascii="Times New Roman" w:hAnsi="Times New Roman"/>
          <w:b/>
          <w:i/>
          <w:color w:val="000000"/>
          <w:sz w:val="24"/>
        </w:rPr>
        <w:t>Representative</w:t>
      </w:r>
      <w:r>
        <w:rPr>
          <w:rFonts w:ascii="Times New Roman" w:hAnsi="Times New Roman"/>
          <w:color w:val="000000"/>
          <w:sz w:val="20"/>
        </w:rPr>
        <w:t xml:space="preserve">” </w:t>
      </w:r>
      <w:r>
        <w:rPr>
          <w:rFonts w:ascii="Times New Roman" w:hAnsi="Times New Roman"/>
          <w:color w:val="000000"/>
          <w:sz w:val="24"/>
        </w:rPr>
        <w:t>means, with respect to a particular Person, any director, officer, manager, employee, agent, consultant, advisor, accountant, financial advisor, legal counsel, or other representative of that Person.</w:t>
      </w:r>
    </w:p>
    <w:p>
      <w:pPr>
        <w:pStyle w:val="TextBody"/>
        <w:bidi w:val="0"/>
        <w:spacing w:before="0" w:after="240"/>
        <w:jc w:val="both"/>
        <w:rPr>
          <w:rFonts w:ascii="Times New Roman" w:hAnsi="Times New Roman"/>
          <w:sz w:val="20"/>
        </w:rPr>
      </w:pPr>
      <w:r>
        <w:rPr>
          <w:rFonts w:ascii="Times New Roman" w:hAnsi="Times New Roman"/>
          <w:color w:val="000000"/>
          <w:sz w:val="24"/>
        </w:rPr>
        <w:t>(mm) “</w:t>
      </w:r>
      <w:r>
        <w:rPr>
          <w:rFonts w:ascii="Times New Roman" w:hAnsi="Times New Roman"/>
          <w:b/>
          <w:i/>
          <w:color w:val="000000"/>
          <w:sz w:val="24"/>
        </w:rPr>
        <w:t>SEC</w:t>
      </w:r>
      <w:r>
        <w:rPr>
          <w:rFonts w:ascii="Times New Roman" w:hAnsi="Times New Roman"/>
          <w:color w:val="000000"/>
          <w:sz w:val="20"/>
        </w:rPr>
        <w:t xml:space="preserve">” </w:t>
      </w:r>
      <w:r>
        <w:rPr>
          <w:rFonts w:ascii="Times New Roman" w:hAnsi="Times New Roman"/>
          <w:color w:val="000000"/>
          <w:sz w:val="24"/>
        </w:rPr>
        <w:t xml:space="preserve">has the meeting set forth in </w:t>
      </w:r>
      <w:r>
        <w:rPr>
          <w:rFonts w:ascii="Times New Roman" w:hAnsi="Times New Roman"/>
          <w:color w:val="000000"/>
          <w:sz w:val="24"/>
          <w:u w:val="single"/>
        </w:rPr>
        <w:t>Section 5.3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(nn) “</w:t>
      </w:r>
      <w:r>
        <w:rPr>
          <w:rFonts w:ascii="Times New Roman" w:hAnsi="Times New Roman"/>
          <w:b/>
          <w:i/>
          <w:color w:val="000000"/>
          <w:sz w:val="24"/>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Taxes</w:t>
      </w:r>
      <w:r>
        <w:rPr>
          <w:rFonts w:ascii="Times New Roman" w:hAnsi="Times New Roman"/>
          <w:color w:val="000000"/>
          <w:sz w:val="20"/>
        </w:rPr>
        <w:t xml:space="preserve">” </w:t>
      </w:r>
      <w:r>
        <w:rPr>
          <w:rFonts w:ascii="Times New Roman" w:hAnsi="Times New Roman"/>
          <w:color w:val="000000"/>
          <w:sz w:val="24"/>
        </w:rPr>
        <w:t>means any net income, alternative or add-on minimum tax, gross income, gross receipts, sales, use, value added tax, ad valorem, transfer, franchise, profits, license, withholding, payroll, employment, excise, severance, stamp, occupation, municipal tax, municipal surcharge premium, property, environmental or windfall profit tax, social security contribution, or other tax of any kind whatsoever, together with any interest or any penalty, addition to tax or additional amount in the nature of a tax, whether disputed or not, including (i) the tax liability of any other Person imposed pursuant to Treasury Regulations Section 1.1502-6 or any similar provision of other tax Law and (ii) the obligation to indemnify or assume or otherwise succeed to the tax liability of any other Person, by Contract or pursuant to any Law.</w:t>
      </w:r>
    </w:p>
    <w:p>
      <w:pPr>
        <w:pStyle w:val="TextBody"/>
        <w:bidi w:val="0"/>
        <w:spacing w:before="0" w:after="240"/>
        <w:jc w:val="both"/>
        <w:rPr>
          <w:rFonts w:ascii="Times New Roman" w:hAnsi="Times New Roman"/>
          <w:sz w:val="20"/>
        </w:rPr>
      </w:pPr>
      <w:r>
        <w:rPr>
          <w:rFonts w:ascii="Times New Roman" w:hAnsi="Times New Roman"/>
          <w:color w:val="000000"/>
          <w:sz w:val="24"/>
        </w:rPr>
        <w:t>(oo) “</w:t>
      </w:r>
      <w:r>
        <w:rPr>
          <w:rFonts w:ascii="Times New Roman" w:hAnsi="Times New Roman"/>
          <w:b/>
          <w:i/>
          <w:color w:val="000000"/>
          <w:sz w:val="24"/>
        </w:rPr>
        <w:t>Third Party</w:t>
      </w:r>
      <w:r>
        <w:rPr>
          <w:rFonts w:ascii="Times New Roman" w:hAnsi="Times New Roman"/>
          <w:color w:val="000000"/>
          <w:sz w:val="20"/>
        </w:rPr>
        <w:t xml:space="preserve">” </w:t>
      </w:r>
      <w:r>
        <w:rPr>
          <w:rFonts w:ascii="Times New Roman" w:hAnsi="Times New Roman"/>
          <w:color w:val="000000"/>
          <w:sz w:val="24"/>
        </w:rPr>
        <w:t>means any Person other than a Party and such Party’s Affiliates.</w:t>
      </w:r>
    </w:p>
    <w:p>
      <w:pPr>
        <w:pStyle w:val="TextBody"/>
        <w:bidi w:val="0"/>
        <w:spacing w:before="0" w:after="240"/>
        <w:jc w:val="both"/>
        <w:rPr>
          <w:rFonts w:ascii="Times New Roman" w:hAnsi="Times New Roman"/>
          <w:sz w:val="20"/>
        </w:rPr>
      </w:pPr>
      <w:r>
        <w:rPr>
          <w:rFonts w:ascii="Times New Roman" w:hAnsi="Times New Roman"/>
          <w:color w:val="000000"/>
          <w:sz w:val="24"/>
        </w:rPr>
        <w:t>(pp) “</w:t>
      </w:r>
      <w:r>
        <w:rPr>
          <w:rFonts w:ascii="Times New Roman" w:hAnsi="Times New Roman"/>
          <w:b/>
          <w:i/>
          <w:color w:val="000000"/>
          <w:sz w:val="24"/>
        </w:rPr>
        <w:t>Transfer Taxes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2.7</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(qq) “</w:t>
      </w:r>
      <w:r>
        <w:rPr>
          <w:rFonts w:ascii="Times New Roman" w:hAnsi="Times New Roman"/>
          <w:b/>
          <w:i/>
          <w:color w:val="000000"/>
          <w:sz w:val="24"/>
        </w:rPr>
        <w:t>Unstated Indirect Taxes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(rr) “</w:t>
      </w:r>
      <w:r>
        <w:rPr>
          <w:rFonts w:ascii="Times New Roman" w:hAnsi="Times New Roman"/>
          <w:b/>
          <w:i/>
          <w:color w:val="000000"/>
          <w:sz w:val="24"/>
        </w:rPr>
        <w:t>U.S.</w:t>
      </w:r>
      <w:r>
        <w:rPr>
          <w:rFonts w:ascii="Times New Roman" w:hAnsi="Times New Roman"/>
          <w:color w:val="000000"/>
          <w:sz w:val="20"/>
        </w:rPr>
        <w:t xml:space="preserve">” </w:t>
      </w:r>
      <w:r>
        <w:rPr>
          <w:rFonts w:ascii="Times New Roman" w:hAnsi="Times New Roman"/>
          <w:color w:val="000000"/>
          <w:sz w:val="24"/>
        </w:rPr>
        <w:t>means United States of America.</w:t>
      </w:r>
    </w:p>
    <w:p>
      <w:pPr>
        <w:pStyle w:val="TextBody"/>
        <w:bidi w:val="0"/>
        <w:spacing w:before="0" w:after="240"/>
        <w:jc w:val="both"/>
        <w:rPr>
          <w:rFonts w:ascii="Times New Roman" w:hAnsi="Times New Roman"/>
          <w:sz w:val="20"/>
        </w:rPr>
      </w:pPr>
      <w:r>
        <w:rPr>
          <w:rFonts w:ascii="Times New Roman" w:hAnsi="Times New Roman"/>
          <w:color w:val="000000"/>
          <w:sz w:val="24"/>
        </w:rPr>
        <w:t>(ss) “</w:t>
      </w:r>
      <w:r>
        <w:rPr>
          <w:rFonts w:ascii="Times New Roman" w:hAnsi="Times New Roman"/>
          <w:b/>
          <w:i/>
          <w:color w:val="000000"/>
          <w:sz w:val="24"/>
        </w:rPr>
        <w:t>Viracta</w:t>
      </w:r>
      <w:r>
        <w:rPr>
          <w:rFonts w:ascii="Times New Roman" w:hAnsi="Times New Roman"/>
          <w:color w:val="000000"/>
          <w:sz w:val="20"/>
        </w:rPr>
        <w:t xml:space="preserve">” </w:t>
      </w:r>
      <w:r>
        <w:rPr>
          <w:rFonts w:ascii="Times New Roman" w:hAnsi="Times New Roman"/>
          <w:color w:val="000000"/>
          <w:sz w:val="24"/>
        </w:rPr>
        <w:t>has the meaning set forth in the Recitals.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(tt) “</w:t>
      </w:r>
      <w:r>
        <w:rPr>
          <w:rFonts w:ascii="Times New Roman" w:hAnsi="Times New Roman"/>
          <w:b/>
          <w:i/>
          <w:color w:val="000000"/>
          <w:sz w:val="24"/>
        </w:rPr>
        <w:t>Viracta Agreement</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both"/>
        <w:rPr>
          <w:rFonts w:ascii="Times New Roman" w:hAnsi="Times New Roman"/>
          <w:sz w:val="20"/>
        </w:rPr>
      </w:pPr>
      <w:r>
        <w:rPr>
          <w:rFonts w:ascii="Times New Roman" w:hAnsi="Times New Roman"/>
          <w:color w:val="000000"/>
          <w:sz w:val="24"/>
        </w:rPr>
        <w:t>(uu) “</w:t>
      </w:r>
      <w:r>
        <w:rPr>
          <w:rFonts w:ascii="Times New Roman" w:hAnsi="Times New Roman"/>
          <w:b/>
          <w:i/>
          <w:color w:val="000000"/>
          <w:sz w:val="24"/>
        </w:rPr>
        <w:t>Viracta Payment and Release Letter</w:t>
      </w:r>
      <w:r>
        <w:rPr>
          <w:rFonts w:ascii="Times New Roman" w:hAnsi="Times New Roman"/>
          <w:color w:val="000000"/>
          <w:sz w:val="20"/>
        </w:rPr>
        <w:t xml:space="preserve">” </w:t>
      </w:r>
      <w:r>
        <w:rPr>
          <w:rFonts w:ascii="Times New Roman" w:hAnsi="Times New Roman"/>
          <w:color w:val="000000"/>
          <w:sz w:val="24"/>
        </w:rPr>
        <w:t>means that certain Payment and Release Letter duly executed between Seller and Viracta, attached hereto as Exhibit B.</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Other capitalized terms defined elsewhere in this Agreement and not defined in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shall have the meanings assigned to such terms in this Agreement.</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2</w:t>
        <w:br/>
        <w:t>PURCHASE AND SALE TC "A</w:t>
      </w:r>
      <w:r>
        <w:rPr>
          <w:rFonts w:ascii="Times New Roman" w:hAnsi="Times New Roman"/>
          <w:b/>
          <w:color w:val="000000"/>
          <w:sz w:val="24"/>
        </w:rPr>
        <w:t xml:space="preserve">RTICLE </w:t>
      </w:r>
      <w:r>
        <w:rPr>
          <w:rFonts w:ascii="Times New Roman" w:hAnsi="Times New Roman"/>
          <w:b/>
          <w:smallCaps/>
          <w:color w:val="000000"/>
          <w:sz w:val="24"/>
        </w:rPr>
        <w:t>2 PURCHASE AND SALE"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Purchase and Sale of Purchased Assets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Upon the terms and subject to the conditions of this Agreement, Buyer hereby irrevocably purchases from Seller and Seller, on behalf of itself and its Affiliates, hereby irrevocably sells, transfers, conveys, assigns, and delivers to Buyer all of Seller’s and its Affiliates’ rights, title, and interests in and to the Purchased Assets free and clear of all Encumbrances. Seller shall perform all actions necessary to facilitate the transfer of the Purchased Assets to Buyer.</w:t>
      </w:r>
    </w:p>
    <w:p>
      <w:pPr>
        <w:pStyle w:val="TextBody"/>
        <w:bidi w:val="0"/>
        <w:spacing w:before="0" w:after="240"/>
        <w:jc w:val="both"/>
        <w:rPr>
          <w:rFonts w:ascii="Times New Roman" w:hAnsi="Times New Roman"/>
          <w:sz w:val="20"/>
        </w:rPr>
      </w:pPr>
      <w:r>
        <w:rPr>
          <w:rFonts w:ascii="Times New Roman" w:hAnsi="Times New Roman"/>
          <w:color w:val="000000"/>
          <w:sz w:val="24"/>
        </w:rPr>
        <w:t>(b) Notwithstanding anything in this Agreement to the contrary, neither Buyer nor any of its Affiliates shall assume, nor shall Buyer or any of its Affiliates be liable for, or otherwise be obligated to pay, perform, or discharge, any Liabilities of Seller or its Affiliates, including any Liabilities arising from or related to Seller’s ownership prior to the Effective Date of any rights with respect to the Purchased Assets (other than obligations that are imposed by applicable Legal Requirements solely on the holder of the Priority Review Voucher in respect of its use or transfer following the sale thereof pursuant to this Agreement) (such Liabilities, the “</w:t>
      </w:r>
      <w:r>
        <w:rPr>
          <w:rFonts w:ascii="Times New Roman" w:hAnsi="Times New Roman"/>
          <w:b/>
          <w:i/>
          <w:color w:val="000000"/>
          <w:sz w:val="24"/>
        </w:rPr>
        <w:t>Excluded Liabilities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Purchase Price</w:t>
      </w:r>
      <w:r>
        <w:rPr>
          <w:rFonts w:ascii="Times New Roman" w:hAnsi="Times New Roman"/>
          <w:color w:val="000000"/>
          <w:sz w:val="24"/>
        </w:rPr>
        <w:t>. The total consideration to be paid by Buyer to Seller and Viracta in accordance with Section 2.5 for all of the Purchased Assets shall be ONE HUNDRED AND EIGHT MILLION U.S. DOLLARS (U.S. $108,000,000.00) (the “</w:t>
      </w:r>
      <w:r>
        <w:rPr>
          <w:rFonts w:ascii="Times New Roman" w:hAnsi="Times New Roman"/>
          <w:b/>
          <w:i/>
          <w:color w:val="000000"/>
          <w:sz w:val="24"/>
        </w:rPr>
        <w:t>Purchase Price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Title Passage; Delivery of Purchased Assets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Title Passage</w:t>
      </w:r>
      <w:r>
        <w:rPr>
          <w:rFonts w:ascii="Times New Roman" w:hAnsi="Times New Roman"/>
          <w:color w:val="000000"/>
          <w:sz w:val="24"/>
        </w:rPr>
        <w:t>. Upon the execution of this Agreement and consummation of the transactions herein contemplated, including execution and delivery of the Bill of Sale, all of the rights, title, and interests in and to the Purchased Assets shall pass to Buyer free and clear of all Encumbrances.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Method of Delivery of Assets</w:t>
      </w:r>
      <w:r>
        <w:rPr>
          <w:rFonts w:ascii="Times New Roman" w:hAnsi="Times New Roman"/>
          <w:color w:val="000000"/>
          <w:sz w:val="24"/>
        </w:rPr>
        <w:t xml:space="preserve">. Within [*] following the Effective Date, Seller shall submit, or cause to be submitted, to the FDA the separate notifications referred to in </w:t>
      </w:r>
      <w:r>
        <w:rPr>
          <w:rFonts w:ascii="Times New Roman" w:hAnsi="Times New Roman"/>
          <w:color w:val="000000"/>
          <w:sz w:val="24"/>
          <w:u w:val="single"/>
        </w:rPr>
        <w:t>Section 2.4(b)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2.5(d)</w:t>
      </w:r>
      <w:r>
        <w:rPr>
          <w:rFonts w:ascii="Times New Roman" w:hAnsi="Times New Roman"/>
          <w:color w:val="000000"/>
          <w:sz w:val="24"/>
        </w:rPr>
        <w:t xml:space="preserve">, respectively, as a submission to NDA 217700 through the FDA’s Electronic Submissions Gateway under the cover letter in the form attached as </w:t>
      </w:r>
      <w:r>
        <w:rPr>
          <w:rFonts w:ascii="Times New Roman" w:hAnsi="Times New Roman"/>
          <w:color w:val="000000"/>
          <w:sz w:val="24"/>
          <w:u w:val="single"/>
        </w:rPr>
        <w:t>Exhibit 2.3(b)</w:t>
      </w:r>
      <w:r>
        <w:rPr>
          <w:rFonts w:ascii="Times New Roman" w:hAnsi="Times New Roman"/>
          <w:color w:val="000000"/>
          <w:sz w:val="24"/>
        </w:rPr>
        <w:t>. Seller shall provide to Buyer, within [*] following their submission to the FDA, confirmation from the FDA of successful submission and a complete copy of such submission.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Filings; Notifications</w:t>
      </w:r>
      <w:r>
        <w:rPr>
          <w:rFonts w:ascii="Times New Roman" w:hAnsi="Times New Roman"/>
          <w:color w:val="000000"/>
          <w:sz w:val="24"/>
        </w:rPr>
        <w:t>. Buyer and Seller agree to cooperate and assist each other with respect to all filings and notifications to the FDA related to the transfer and assignment of the Purchased Assets.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Deliveries by Seller</w:t>
      </w:r>
      <w:r>
        <w:rPr>
          <w:rFonts w:ascii="Times New Roman" w:hAnsi="Times New Roman"/>
          <w:color w:val="000000"/>
          <w:sz w:val="24"/>
        </w:rPr>
        <w:t>. Upon the execution of this Agreement, Seller shall deliver, or cause to be delivered, to Buyer the following: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 duly executed counterpart of the Bill of Sale substantially in the form attached hereto as </w:t>
      </w:r>
      <w:r>
        <w:rPr>
          <w:rFonts w:ascii="Times New Roman" w:hAnsi="Times New Roman"/>
          <w:color w:val="000000"/>
          <w:sz w:val="24"/>
          <w:u w:val="single"/>
        </w:rPr>
        <w:t>Exhibit 2.4(a)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 copy of the notification of the purchase and sale of the Priority Review Voucher pursuant to this Agreement to be submitted to the FDA by, or on behalf of, Seller pursuant to </w:t>
      </w:r>
      <w:r>
        <w:rPr>
          <w:rFonts w:ascii="Times New Roman" w:hAnsi="Times New Roman"/>
          <w:color w:val="000000"/>
          <w:sz w:val="24"/>
          <w:u w:val="single"/>
        </w:rPr>
        <w:t>Section 2.3(b)</w:t>
      </w:r>
      <w:r>
        <w:rPr>
          <w:rFonts w:ascii="Times New Roman" w:hAnsi="Times New Roman"/>
          <w:color w:val="000000"/>
          <w:sz w:val="24"/>
        </w:rPr>
        <w:t xml:space="preserve">, which notification shall be in the form of </w:t>
      </w:r>
      <w:r>
        <w:rPr>
          <w:rFonts w:ascii="Times New Roman" w:hAnsi="Times New Roman"/>
          <w:color w:val="000000"/>
          <w:sz w:val="24"/>
          <w:u w:val="single"/>
        </w:rPr>
        <w:t>Exhibit 2.4(b)</w:t>
      </w:r>
      <w:r>
        <w:rPr>
          <w:rFonts w:ascii="Times New Roman" w:hAnsi="Times New Roman"/>
          <w:color w:val="000000"/>
          <w:sz w:val="20"/>
        </w:rPr>
        <w:t xml:space="preserve"> </w:t>
      </w:r>
      <w:r>
        <w:rPr>
          <w:rFonts w:ascii="Times New Roman" w:hAnsi="Times New Roman"/>
          <w:color w:val="000000"/>
          <w:sz w:val="24"/>
        </w:rPr>
        <w:t>or such other form as the FDA may require as of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properly completed, validly executed, true and correct Internal Revenue Service Form W-9 certifying that Seller is not subject to backup withholding for United States federal income tax purposes;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 properly completed, validly executed, true and correct Internal Revenue Service Form W-9 certifying that Viracta is not subject to backup withholding for United States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Deliveries by Buyer</w:t>
      </w:r>
      <w:r>
        <w:rPr>
          <w:rFonts w:ascii="Times New Roman" w:hAnsi="Times New Roman"/>
          <w:color w:val="000000"/>
          <w:sz w:val="24"/>
        </w:rPr>
        <w:t>. Upon the execution of this Agreement, Buyer shall deliver, or cause to be delivered, to Seller the following: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to Seller an amount equal to </w:t>
      </w:r>
      <w:r>
        <w:rPr>
          <w:rFonts w:ascii="Times New Roman" w:hAnsi="Times New Roman"/>
          <w:caps/>
          <w:color w:val="000000"/>
          <w:sz w:val="24"/>
        </w:rPr>
        <w:t>ninety nine million and nine hundred thousand</w:t>
      </w:r>
      <w:r>
        <w:rPr>
          <w:rFonts w:ascii="Times New Roman" w:hAnsi="Times New Roman"/>
          <w:color w:val="000000"/>
          <w:sz w:val="20"/>
        </w:rPr>
        <w:t xml:space="preserve"> </w:t>
      </w:r>
      <w:r>
        <w:rPr>
          <w:rFonts w:ascii="Times New Roman" w:hAnsi="Times New Roman"/>
          <w:color w:val="000000"/>
          <w:sz w:val="24"/>
        </w:rPr>
        <w:t>U.S. Dollars (U.S. $99,900,000), by wire transfer of immediately available funds, to the following Seller account:</w:t>
      </w:r>
    </w:p>
    <w:p>
      <w:pPr>
        <w:pStyle w:val="TextBody"/>
        <w:bidi w:val="0"/>
        <w:jc w:val="left"/>
        <w:rPr>
          <w:rFonts w:ascii="Times New Roman" w:hAnsi="Times New Roman"/>
          <w:sz w:val="20"/>
        </w:rPr>
      </w:pPr>
      <w:r>
        <w:rPr>
          <w:rFonts w:ascii="Times New Roman" w:hAnsi="Times New Roman"/>
          <w:color w:val="000000"/>
          <w:sz w:val="24"/>
        </w:rPr>
        <w:t>Seller Bank Name: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Seller Bank Address: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Seller ABA: [*]</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Seller Account Number: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Seller Account Name: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(ii) on behalf of Seller, to Viracta an amount equal to </w:t>
      </w:r>
      <w:r>
        <w:rPr>
          <w:rFonts w:ascii="Times New Roman" w:hAnsi="Times New Roman"/>
          <w:caps/>
          <w:color w:val="000000"/>
          <w:sz w:val="24"/>
        </w:rPr>
        <w:t>eight million and one hundred thousand</w:t>
      </w:r>
      <w:r>
        <w:rPr>
          <w:rFonts w:ascii="Times New Roman" w:hAnsi="Times New Roman"/>
          <w:color w:val="000000"/>
          <w:sz w:val="20"/>
        </w:rPr>
        <w:t xml:space="preserve"> </w:t>
      </w:r>
      <w:r>
        <w:rPr>
          <w:rFonts w:ascii="Times New Roman" w:hAnsi="Times New Roman"/>
          <w:color w:val="000000"/>
          <w:sz w:val="24"/>
        </w:rPr>
        <w:t>U.S. Dollars (U.S. $8,100,000), by wire transfer of immediately available funds, to the following account:</w:t>
      </w:r>
    </w:p>
    <w:p>
      <w:pPr>
        <w:pStyle w:val="TextBody"/>
        <w:bidi w:val="0"/>
        <w:jc w:val="left"/>
        <w:rPr>
          <w:rFonts w:ascii="Times New Roman" w:hAnsi="Times New Roman"/>
          <w:color w:val="000000"/>
          <w:sz w:val="24"/>
        </w:rPr>
      </w:pPr>
      <w:r>
        <w:rPr>
          <w:rFonts w:ascii="Times New Roman" w:hAnsi="Times New Roman"/>
          <w:color w:val="000000"/>
          <w:sz w:val="24"/>
        </w:rPr>
        <w:t>Viracta Bank Name: [*]</w:t>
      </w:r>
    </w:p>
    <w:p>
      <w:pPr>
        <w:pStyle w:val="TextBody"/>
        <w:bidi w:val="0"/>
        <w:jc w:val="both"/>
        <w:rPr>
          <w:rFonts w:ascii="Times New Roman" w:hAnsi="Times New Roman"/>
          <w:color w:val="000000"/>
          <w:sz w:val="24"/>
        </w:rPr>
      </w:pPr>
      <w:r>
        <w:rPr>
          <w:rFonts w:ascii="Times New Roman" w:hAnsi="Times New Roman"/>
          <w:color w:val="000000"/>
          <w:sz w:val="24"/>
        </w:rPr>
        <w:t>Viracta Bank Address: [*]</w:t>
      </w:r>
    </w:p>
    <w:p>
      <w:pPr>
        <w:pStyle w:val="TextBody"/>
        <w:bidi w:val="0"/>
        <w:jc w:val="both"/>
        <w:rPr>
          <w:rFonts w:ascii="Times New Roman" w:hAnsi="Times New Roman"/>
          <w:color w:val="000000"/>
          <w:sz w:val="24"/>
        </w:rPr>
      </w:pPr>
      <w:r>
        <w:rPr>
          <w:rFonts w:ascii="Times New Roman" w:hAnsi="Times New Roman"/>
          <w:color w:val="000000"/>
          <w:sz w:val="24"/>
        </w:rPr>
        <w:t>Viracta ABA: [*]</w:t>
      </w:r>
    </w:p>
    <w:p>
      <w:pPr>
        <w:pStyle w:val="TextBody"/>
        <w:bidi w:val="0"/>
        <w:jc w:val="both"/>
        <w:rPr>
          <w:rFonts w:ascii="Times New Roman" w:hAnsi="Times New Roman"/>
          <w:color w:val="000000"/>
          <w:sz w:val="24"/>
        </w:rPr>
      </w:pPr>
      <w:r>
        <w:rPr>
          <w:rFonts w:ascii="Times New Roman" w:hAnsi="Times New Roman"/>
          <w:color w:val="000000"/>
          <w:sz w:val="24"/>
        </w:rPr>
        <w:t>Viracta Account Number: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full satisfaction of its obligation to pay the Purchase Price to Seller, and fulfill Seller’s obligation under </w:t>
      </w:r>
      <w:r>
        <w:rPr>
          <w:rFonts w:ascii="Times New Roman" w:hAnsi="Times New Roman"/>
          <w:color w:val="000000"/>
          <w:sz w:val="24"/>
          <w:u w:val="single"/>
        </w:rPr>
        <w:t>Section 6.2.1</w:t>
      </w:r>
      <w:r>
        <w:rPr>
          <w:rFonts w:ascii="Times New Roman" w:hAnsi="Times New Roman"/>
          <w:color w:val="000000"/>
          <w:sz w:val="20"/>
        </w:rPr>
        <w:t xml:space="preserve"> </w:t>
      </w:r>
      <w:r>
        <w:rPr>
          <w:rFonts w:ascii="Times New Roman" w:hAnsi="Times New Roman"/>
          <w:color w:val="000000"/>
          <w:sz w:val="24"/>
        </w:rPr>
        <w:t>(Development Milestone Payments) of the Viracta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 duly executed counterpart of the Bill of Sale substantially in the form attached hereto as </w:t>
      </w:r>
      <w:r>
        <w:rPr>
          <w:rFonts w:ascii="Times New Roman" w:hAnsi="Times New Roman"/>
          <w:color w:val="000000"/>
          <w:sz w:val="24"/>
          <w:u w:val="single"/>
        </w:rPr>
        <w:t>Exhibit 2.4(a)</w:t>
      </w:r>
      <w:r>
        <w:rPr>
          <w:rFonts w:ascii="Times New Roman" w:hAnsi="Times New Roman"/>
          <w:color w:val="000000"/>
          <w:sz w:val="24"/>
        </w:rPr>
        <w:t>; and</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 copy of the notification of the purchase and sale of the Priority Review Voucher pursuant to this Agreement to be submitted to the FDA by, or on behalf of, Seller pursuant to </w:t>
      </w:r>
      <w:r>
        <w:rPr>
          <w:rFonts w:ascii="Times New Roman" w:hAnsi="Times New Roman"/>
          <w:color w:val="000000"/>
          <w:sz w:val="24"/>
          <w:u w:val="single"/>
        </w:rPr>
        <w:t>Section 2.3(b)</w:t>
      </w:r>
      <w:r>
        <w:rPr>
          <w:rFonts w:ascii="Times New Roman" w:hAnsi="Times New Roman"/>
          <w:color w:val="000000"/>
          <w:sz w:val="24"/>
        </w:rPr>
        <w:t xml:space="preserve">, which notification shall be in the form of </w:t>
      </w:r>
      <w:r>
        <w:rPr>
          <w:rFonts w:ascii="Times New Roman" w:hAnsi="Times New Roman"/>
          <w:color w:val="000000"/>
          <w:sz w:val="24"/>
          <w:u w:val="single"/>
        </w:rPr>
        <w:t>Exhibit 2.5(d)</w:t>
      </w:r>
      <w:r>
        <w:rPr>
          <w:rFonts w:ascii="Times New Roman" w:hAnsi="Times New Roman"/>
          <w:color w:val="000000"/>
          <w:sz w:val="20"/>
        </w:rPr>
        <w:t xml:space="preserve"> </w:t>
      </w:r>
      <w:r>
        <w:rPr>
          <w:rFonts w:ascii="Times New Roman" w:hAnsi="Times New Roman"/>
          <w:color w:val="000000"/>
          <w:sz w:val="24"/>
        </w:rPr>
        <w:t>or such other form as the FDA may require as of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2.6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2.7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 [*].</w:t>
      </w:r>
    </w:p>
    <w:p>
      <w:pPr>
        <w:pStyle w:val="TextBody"/>
        <w:bidi w:val="0"/>
        <w:spacing w:before="0" w:after="240"/>
        <w:jc w:val="both"/>
        <w:rPr>
          <w:rFonts w:ascii="Times New Roman" w:hAnsi="Times New Roman"/>
          <w:sz w:val="20"/>
        </w:rPr>
      </w:pPr>
      <w:r>
        <w:rPr>
          <w:rFonts w:ascii="Times New Roman" w:hAnsi="Times New Roman"/>
          <w:color w:val="000000"/>
          <w:sz w:val="24"/>
        </w:rPr>
        <w:t>2.10 [*].</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3</w:t>
        <w:br/>
        <w:t>REPRESENTATIONS AND WARRANTIES OF SELLER TC "A</w:t>
      </w:r>
      <w:r>
        <w:rPr>
          <w:rFonts w:ascii="Times New Roman" w:hAnsi="Times New Roman"/>
          <w:b/>
          <w:color w:val="000000"/>
          <w:sz w:val="24"/>
        </w:rPr>
        <w:t>RTICLE</w:t>
      </w:r>
      <w:r>
        <w:rPr>
          <w:rFonts w:ascii="Times New Roman" w:hAnsi="Times New Roman"/>
          <w:smallCaps/>
          <w:color w:val="000000"/>
          <w:sz w:val="20"/>
        </w:rPr>
        <w:t xml:space="preserve"> </w:t>
      </w:r>
      <w:r>
        <w:rPr>
          <w:rFonts w:ascii="Times New Roman" w:hAnsi="Times New Roman"/>
          <w:b/>
          <w:smallCaps/>
          <w:color w:val="000000"/>
          <w:sz w:val="24"/>
        </w:rPr>
        <w:t>3 REPRESENTATIONS AND WARRANTIES OF SELLER"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Seller hereby represents and warrants to Buyer, as of the Effective Date (or in the case of representations and warranties that are made as of a specified date, as of such specified date)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Organization, Standing, and Power</w:t>
      </w:r>
      <w:r>
        <w:rPr>
          <w:rFonts w:ascii="Times New Roman" w:hAnsi="Times New Roman"/>
          <w:color w:val="000000"/>
          <w:sz w:val="24"/>
        </w:rPr>
        <w:t>. Seller is a corporation duly organized, validly existing, and in good standing under the laws of Delaware. Seller has the requisite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any of the Purchased Assets, Seller’s ability to consummate the transactions contemplated by this Agreement, or Buyer’s ownership and rights with respect to any of the Purchased Assets after the Effective Date. Seller is not in violation of its organizational documents, as amended to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Due Authority</w:t>
      </w:r>
      <w:r>
        <w:rPr>
          <w:rFonts w:ascii="Times New Roman" w:hAnsi="Times New Roman"/>
          <w:color w:val="000000"/>
          <w:sz w:val="24"/>
        </w:rPr>
        <w:t>. Seller has all requisite corporate power and authority to execute and deliver, perform its obligations under, and consummate the transactions contemplated by this Agreement. The execution, delivery, and performance of this Agreement, and the consummation of the Asset Purchase, have been duly and validly authorized by all necessary corporate action on the part of Seller. This Agreement has been duly executed and delivered by Seller. This Agreement, upon due execution and delivery by the Parties, will constitute a valid and binding obligation of Seller enforceable against Seller in accordance with its terms, subject only to the effect, if any, of (a) applicable bankruptcy and other similar Laws affecting the rights of creditors generally and (b) rules of Law governing specific performance, injunctive relief, and other equitable remedies (whether considered in an action at Law or in equity).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No Contravention</w:t>
      </w:r>
      <w:r>
        <w:rPr>
          <w:rFonts w:ascii="Times New Roman" w:hAnsi="Times New Roman"/>
          <w:color w:val="000000"/>
          <w:sz w:val="24"/>
        </w:rPr>
        <w:t xml:space="preserve">. The execution and delivery by Seller of this Agreement does not, and the consummation of the transactions contemplated hereby, including the transfer of title to, ownership in, and possession of the Purchased Assets, will not (a) result in the creation of any Encumbrance on the Purchased Assets or (b) conflict with, or result in any violation of or default under (with or without notice or lapse of time, or both), or give rise to a right of termination, revocation, suspension, cancellation, or acceleration of any obligation or loss of any benefit under, or (except for the letters referenced in </w:t>
      </w:r>
      <w:r>
        <w:rPr>
          <w:rFonts w:ascii="Times New Roman" w:hAnsi="Times New Roman"/>
          <w:color w:val="000000"/>
          <w:sz w:val="24"/>
          <w:u w:val="single"/>
        </w:rPr>
        <w:t>Section 2.3(b))</w:t>
      </w:r>
      <w:r>
        <w:rPr>
          <w:rFonts w:ascii="Times New Roman" w:hAnsi="Times New Roman"/>
          <w:color w:val="000000"/>
          <w:sz w:val="20"/>
        </w:rPr>
        <w:t xml:space="preserve"> </w:t>
      </w:r>
      <w:r>
        <w:rPr>
          <w:rFonts w:ascii="Times New Roman" w:hAnsi="Times New Roman"/>
          <w:color w:val="000000"/>
          <w:sz w:val="24"/>
        </w:rPr>
        <w:t>require any consent, approval, or waiver from any Person pursuant to, (i) any provision of the organizational or governing documents of Seller, in each case as amended to date, (ii) the Priority Review Voucher, the Approval Letter or any Contract to which Seller or any Affiliate of Seller is a party or bound which involves or affects in any way any of the Purchased Assets, or (iii) any Legal Requirements applicable to Seller or any Affiliate of Seller or any of the Purchased Assets.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No Consents</w:t>
      </w:r>
      <w:r>
        <w:rPr>
          <w:rFonts w:ascii="Times New Roman" w:hAnsi="Times New Roman"/>
          <w:color w:val="000000"/>
          <w:sz w:val="24"/>
        </w:rPr>
        <w:t xml:space="preserve">. Except for the letters referenced in </w:t>
      </w:r>
      <w:r>
        <w:rPr>
          <w:rFonts w:ascii="Times New Roman" w:hAnsi="Times New Roman"/>
          <w:color w:val="000000"/>
          <w:sz w:val="24"/>
          <w:u w:val="single"/>
        </w:rPr>
        <w:t>Section 2.3(b)</w:t>
      </w:r>
      <w:r>
        <w:rPr>
          <w:rFonts w:ascii="Times New Roman" w:hAnsi="Times New Roman"/>
          <w:color w:val="000000"/>
          <w:sz w:val="24"/>
        </w:rPr>
        <w:t>, no Consent of a Governmental Entity or any other Person is necessary or required in connection with the execution, delivery and performance by Seller of this Agreement, and the consummation by Seller or its Affiliates of the transactions contemplated 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Title to Purchased Assets</w:t>
      </w:r>
      <w:r>
        <w:rPr>
          <w:rFonts w:ascii="Times New Roman" w:hAnsi="Times New Roman"/>
          <w:color w:val="000000"/>
          <w:sz w:val="24"/>
        </w:rPr>
        <w:t>. Seller is the sole and exclusive owner of all rights, title, and interests in and to the Purchased Assets and owns good and transferable title to the Purchased Assets free and clear of any Encumbrances. Seller has performed all actions necessary to perfect its ownership of, and its ability to transfer, the Purchased Assets. Neither Seller nor any of its Affiliates has sold, transferred, conveyed, assigned, or delivered any Purchased Assets, or offered to do so, to any Person, and Seller has the full and sole right to sell, transfer, convey, assign, and deliver the Purchased Assets to Buyer free and clear of all Encumbrances.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3.6 </w:t>
      </w:r>
      <w:r>
        <w:rPr>
          <w:rFonts w:ascii="Times New Roman" w:hAnsi="Times New Roman"/>
          <w:color w:val="000000"/>
          <w:sz w:val="24"/>
          <w:u w:val="single"/>
        </w:rPr>
        <w:t>Compliance with Legal Requirements</w:t>
      </w:r>
      <w:r>
        <w:rPr>
          <w:rFonts w:ascii="Times New Roman" w:hAnsi="Times New Roman"/>
          <w:color w:val="000000"/>
          <w:sz w:val="24"/>
        </w:rPr>
        <w:t>. Seller and its Affiliates are, and at all times have been, in compliance with all Legal Requirements that are or were applicable to (a) Seller’s and its Affiliates’ conduct, acts, or omissions with respect to any of the Purchased Assets or (b) any of the Purchased Assets. None of Seller or any of its Affiliates has received any notice or other communication from any Person regarding any actual or alleged, possible, or potential violation of, or failure to comply with, any such Legal Requirement. Since the three (3) year period prior to the Effective Date and as it relates to the FDA Approval, the Approval Letter, the Priority Review Voucher or the activities giving rise to such FDA Approval, the Approval Letter or the Priority Review Voucher, neither Seller, nor any Affiliate of Seller, nor to the Knowledge of Seller, any representative of Seller or any Affiliate of Seller, has made an untrue statement of material fact or a fraudulent statement to the FDA or any other Governmental Entity, failed to disclose a material fact or a fraudulent statement to the FDA or any other Governmental Entity or committed an act, made a statement or failed to make a statement that, at the time such disclosure was made, would reasonably be expected to provide a basis for the FDA to revoke the Priority Review Voucher or invoke its policy respecting “Fraud, Untrue Statements of Material Facts, Bribery, and Illegal Gratuities,” set forth in 56 Fed. Reg. 46191 (September 10, 1991) or for any other Governmental Entity to invoke any similar policy.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3.7 </w:t>
      </w:r>
      <w:r>
        <w:rPr>
          <w:rFonts w:ascii="Times New Roman" w:hAnsi="Times New Roman"/>
          <w:color w:val="000000"/>
          <w:sz w:val="24"/>
          <w:u w:val="single"/>
        </w:rPr>
        <w:t>Legal Proceedings</w:t>
      </w:r>
      <w:r>
        <w:rPr>
          <w:rFonts w:ascii="Times New Roman" w:hAnsi="Times New Roman"/>
          <w:color w:val="000000"/>
          <w:sz w:val="24"/>
        </w:rPr>
        <w:t>. There is no pending or threatened Action involving Seller or any of its Affiliates, nor has there been any Action involving Seller or any of its Affiliates,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Seller nor any of its Affiliates are a party or subject to the provisions of any Judgment, in each case, (a) that involves or affects (or may involve or affect) the issuance of, continued validity of, ownership of, transfer or license of, title to, or use of any of the Purchased Assets, including any such Action or Judgment that seeks to prohibit or limit in any respect, or place any conditions on, the ownership or use by Buyer or its Affiliates of any of the Purchased Assets, in each case, as a result of the transactions contemplated by this Agreement, or (b) that otherwise challenges or seeks to restrain, prohibit, prevent, enjoin, alter, or delay the consummation of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3.8 </w:t>
      </w:r>
      <w:r>
        <w:rPr>
          <w:rFonts w:ascii="Times New Roman" w:hAnsi="Times New Roman"/>
          <w:color w:val="000000"/>
          <w:sz w:val="24"/>
          <w:u w:val="single"/>
        </w:rPr>
        <w:t>Governmental Authorizations</w:t>
      </w:r>
      <w:r>
        <w:rPr>
          <w:rFonts w:ascii="Times New Roman" w:hAnsi="Times New Roman"/>
          <w:color w:val="000000"/>
          <w:sz w:val="24"/>
        </w:rPr>
        <w:t>. Neither Seller nor any of its Affiliates is required to hold any license, registration, or permit issued by any Governmental Entity to own, use, or transfer the Purchased Assets, other than such licenses, registrations, or permits that have already been obtained.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3.9 </w:t>
      </w:r>
      <w:r>
        <w:rPr>
          <w:rFonts w:ascii="Times New Roman" w:hAnsi="Times New Roman"/>
          <w:color w:val="000000"/>
          <w:sz w:val="24"/>
          <w:u w:val="single"/>
        </w:rPr>
        <w:t>Revocation; Use of Purchased Assets</w:t>
      </w:r>
      <w:r>
        <w:rPr>
          <w:rFonts w:ascii="Times New Roman" w:hAnsi="Times New Roman"/>
          <w:color w:val="000000"/>
          <w:sz w:val="24"/>
        </w:rPr>
        <w:t>. The Priority Review Voucher has been duly granted and issued and has not been revoked, and there are no facts or circumstances [*] or result in the redemption or transfer of the Priority Review Voucher (other than pursuant to the transactions contemplated by this Agreement), or that would reasonably be expected to preclude or interfere with the sale and transfer of the Purchased Assets to Buyer or Buyer’s use of the Purchased Assets following the Effective Date to obtain Priority Review or any other benefits associated with the Purchased Assets. Except for this Agreement, there is no Contract to which Seller or any Affiliate of Seller is a party that involves or affects the ownership of, licensing of, title to, sale or other transfer of, or use of any of the Purchased Assets. There is no term or condition imposed by the FDA as of the date hereof on the Priority Review Voucher that is not set forth in the Approval Letter or provided for under applicable Law. Seller has provided to Buyer true and complete copies of the Approval Letter and all other material written correspondence between Seller or any of its Affiliates and the FDA regarding the Priority Review Voucher, in each case, (a) with such redactions to any portion of the Approval Letter and such other material written correspondence that is not relevant to the Priority Review Voucher and (b) including any and all corrections with respect thereto. Neither Seller nor any of its Affiliates has notified the FDA, or permitted any Third Party to notify the FDA, of intent to use the Priority Review Voucher.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3.10 </w:t>
      </w:r>
      <w:r>
        <w:rPr>
          <w:rFonts w:ascii="Times New Roman" w:hAnsi="Times New Roman"/>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3.11 </w:t>
      </w:r>
      <w:r>
        <w:rPr>
          <w:rFonts w:ascii="Times New Roman" w:hAnsi="Times New Roman"/>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3.12 </w:t>
      </w:r>
      <w:r>
        <w:rPr>
          <w:rFonts w:ascii="Times New Roman" w:hAnsi="Times New Roman"/>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4</w:t>
        <w:br/>
        <w:t>REPRESENTATIONS AND WARRANTIES OF BUYER TC "A</w:t>
      </w:r>
      <w:r>
        <w:rPr>
          <w:rFonts w:ascii="Times New Roman" w:hAnsi="Times New Roman"/>
          <w:b/>
          <w:color w:val="000000"/>
          <w:sz w:val="24"/>
        </w:rPr>
        <w:t>RTICLE</w:t>
      </w:r>
      <w:r>
        <w:rPr>
          <w:rFonts w:ascii="Times New Roman" w:hAnsi="Times New Roman"/>
          <w:smallCaps/>
          <w:color w:val="000000"/>
          <w:sz w:val="20"/>
        </w:rPr>
        <w:t xml:space="preserve"> </w:t>
      </w:r>
      <w:r>
        <w:rPr>
          <w:rFonts w:ascii="Times New Roman" w:hAnsi="Times New Roman"/>
          <w:b/>
          <w:smallCaps/>
          <w:color w:val="000000"/>
          <w:sz w:val="24"/>
        </w:rPr>
        <w:t>4 REPRESENTATIONS AND WARRANTIES OF BUYER"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Buyer hereby represents and warrants to Seller as of the Effective Date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Organization, Standing, and Power</w:t>
      </w:r>
      <w:r>
        <w:rPr>
          <w:rFonts w:ascii="Times New Roman" w:hAnsi="Times New Roman"/>
          <w:color w:val="000000"/>
          <w:sz w:val="24"/>
        </w:rPr>
        <w:t>. Buyer is a limited liability company duly organized, validly existing, and in good standing under the laws of Delaware. Buyer has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requisite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Buyer’s ability to consummate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Authority</w:t>
      </w:r>
      <w:r>
        <w:rPr>
          <w:rFonts w:ascii="Times New Roman" w:hAnsi="Times New Roman"/>
          <w:color w:val="000000"/>
          <w:sz w:val="24"/>
        </w:rPr>
        <w:t>. Buyer has all requisite power and authority to execute and deliver, perform its obligations under, and consummate the transactions contemplated by, this Agreement. The execution, delivery, and performance of, and the consummation of the transactions contemplated by, this Agreement have been duly and validly approved and authorized by all necessary action on the part of Buyer. This Agreement has been duly executed and delivered by Buyer. This Agreement, upon due execution and delivery by the Parties, will constitute a valid and binding obligation of Buyer, enforceable against Buyer in accordance with its terms, subject only to the effect, if any, of (a) applicable bankruptcy and other similar Laws affecting the rights of creditors generally and (b) rules of Law governing specific performance, injunctive relief and other equitable remedies (whether considered in an action at Law or in equity).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No Contravention</w:t>
      </w:r>
      <w:r>
        <w:rPr>
          <w:rFonts w:ascii="Times New Roman" w:hAnsi="Times New Roman"/>
          <w:color w:val="000000"/>
          <w:sz w:val="24"/>
        </w:rPr>
        <w:t xml:space="preserve">. The execution and delivery by Buyer of this Agreement does not, and the consummation of the transactions contemplated hereby will not, conflict with, or result in any violation of or default under (with or without notice or lapse of time, or both), or give rise to a right of termination, cancellation, or acceleration of any obligation or loss of any benefit under, (except for the letters referenced in </w:t>
      </w:r>
      <w:r>
        <w:rPr>
          <w:rFonts w:ascii="Times New Roman" w:hAnsi="Times New Roman"/>
          <w:color w:val="000000"/>
          <w:sz w:val="24"/>
          <w:u w:val="single"/>
        </w:rPr>
        <w:t>Section 2.3(b))</w:t>
      </w:r>
      <w:r>
        <w:rPr>
          <w:rFonts w:ascii="Times New Roman" w:hAnsi="Times New Roman"/>
          <w:color w:val="000000"/>
          <w:sz w:val="20"/>
        </w:rPr>
        <w:t xml:space="preserve"> </w:t>
      </w:r>
      <w:r>
        <w:rPr>
          <w:rFonts w:ascii="Times New Roman" w:hAnsi="Times New Roman"/>
          <w:color w:val="000000"/>
          <w:sz w:val="24"/>
        </w:rPr>
        <w:t>or require any consent, approval, or waiver from any Person pursuant to, (a) any provision of the organizational or governing documents of Buyer, in each case as amended to date, (b) any Contract to which Buyer or any Affiliate of Buyer is a party or bound by or by which it or its assets or properties are bound or under which Buyer or any Affiliate of Buyer has material rights or benefits, or (c) any Legal Requirements applicable to Buyer.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No Consents</w:t>
      </w:r>
      <w:r>
        <w:rPr>
          <w:rFonts w:ascii="Times New Roman" w:hAnsi="Times New Roman"/>
          <w:color w:val="000000"/>
          <w:sz w:val="24"/>
        </w:rPr>
        <w:t xml:space="preserve">. Except for the letters referenced in </w:t>
      </w:r>
      <w:r>
        <w:rPr>
          <w:rFonts w:ascii="Times New Roman" w:hAnsi="Times New Roman"/>
          <w:color w:val="000000"/>
          <w:sz w:val="24"/>
          <w:u w:val="single"/>
        </w:rPr>
        <w:t>Section 2.3(b)</w:t>
      </w:r>
      <w:r>
        <w:rPr>
          <w:rFonts w:ascii="Times New Roman" w:hAnsi="Times New Roman"/>
          <w:color w:val="000000"/>
          <w:sz w:val="24"/>
        </w:rPr>
        <w:t>, no Consent of any Governmental Entity or any other Person is necessary or required in connection with the execution, delivery and performance by Buyer of this Agreement or the consummation by Buyer of the transactions contemplated 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4.5 </w:t>
      </w:r>
      <w:r>
        <w:rPr>
          <w:rFonts w:ascii="Times New Roman" w:hAnsi="Times New Roman"/>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4.6 </w:t>
      </w:r>
      <w:r>
        <w:rPr>
          <w:rFonts w:ascii="Times New Roman" w:hAnsi="Times New Roman"/>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5</w:t>
        <w:br/>
        <w:t>COVENANTS TC "A</w:t>
      </w:r>
      <w:r>
        <w:rPr>
          <w:rFonts w:ascii="Times New Roman" w:hAnsi="Times New Roman"/>
          <w:b/>
          <w:color w:val="000000"/>
          <w:sz w:val="24"/>
        </w:rPr>
        <w:t>RTICLE</w:t>
      </w:r>
      <w:r>
        <w:rPr>
          <w:rFonts w:ascii="Times New Roman" w:hAnsi="Times New Roman"/>
          <w:smallCaps/>
          <w:color w:val="000000"/>
          <w:sz w:val="20"/>
        </w:rPr>
        <w:t xml:space="preserve"> </w:t>
      </w:r>
      <w:r>
        <w:rPr>
          <w:rFonts w:ascii="Times New Roman" w:hAnsi="Times New Roman"/>
          <w:b/>
          <w:smallCaps/>
          <w:color w:val="000000"/>
          <w:sz w:val="24"/>
        </w:rPr>
        <w:t>5 COVENANTS"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Expenses</w:t>
      </w:r>
      <w:r>
        <w:rPr>
          <w:rFonts w:ascii="Times New Roman" w:hAnsi="Times New Roman"/>
          <w:color w:val="000000"/>
          <w:sz w:val="24"/>
        </w:rPr>
        <w:t>. Whether or not the purchase and sale of the Purchased Assets and the other transactions contemplated by this Agreement are consummated, and except as otherwise set forth in this Agreement, each of the Parties shall bear its own fees and expenses incurred or owed in connection with the purchase and sale of the Purchased Assets, this Agreement, and the transactions contemplated hereby.</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5.2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Public Announcements</w:t>
      </w:r>
      <w:r>
        <w:rPr>
          <w:rFonts w:ascii="Times New Roman" w:hAnsi="Times New Roman"/>
          <w:color w:val="000000"/>
          <w:sz w:val="24"/>
        </w:rPr>
        <w:t>. Notwithstanding anything in this Agreement to the contrary, except as may be required by applicable Law or as may be required to comply with the requirements of any applicable stock exchange or any Governmental Entity, including the U.S.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b/>
          <w:color w:val="000000"/>
          <w:sz w:val="24"/>
        </w:rPr>
        <w:t>)</w:t>
      </w:r>
      <w:r>
        <w:rPr>
          <w:rFonts w:ascii="Times New Roman" w:hAnsi="Times New Roman"/>
          <w:color w:val="000000"/>
          <w:sz w:val="24"/>
        </w:rPr>
        <w:t xml:space="preserve">, neither Party shall (a) disclose the existence or terms of this Agreement (other than disclosures to Representatives on a need-to-know basis and who are bound by confidentiality terms substantially no less stringent than the terms of this Agreement) or (b) issue any press release, publication, or other public announcement relating to this Agreement, the performance of this Agreement, or that otherwise identifies the other Party as a party to this Agreement, in each case, without the prior written consent of the other Party, such consent not to be unreasonably withheld, conditioned or delayed. To the extent practicable, the disclosing Party shall give at least two (2) Business Days’ advance notice of any legally required disclosure to the non-disclosing Party, and the non-disclosing Party may provide any comments on the proposed legally required disclosure during the foregoing time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disclosing Party shall be under no obligation to accept any such comments provided by the non-disclosing Party but shall consider all such comments in good faith. The Parties acknowledge that Seller may be obligated to file a copy of this Agreement with the SEC. Without limiting the foregoing, Seller shall provide Buyer with a reasonable opportunity to review the proposed filing and, if requested by Buyer, Seller shall request, and use reasonable efforts to obtain, confidential treatment of this Agreement pursuant to applicable rules under the Securities Exchange Act of 1934, as amended, and the Freedom of Information Act and the rules promulgated thereunder to permit the filing of a redacted exhibit;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Buyer acknowledges that there is no assurance that such redactions will be permitted by the SEC and the SEC may require filing of the Agreement in full.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Use of Name</w:t>
      </w:r>
      <w:r>
        <w:rPr>
          <w:rFonts w:ascii="Times New Roman" w:hAnsi="Times New Roman"/>
          <w:color w:val="000000"/>
          <w:sz w:val="24"/>
        </w:rPr>
        <w:t xml:space="preserve">. Except as expressly provided herein, neither Party shall mention or otherwise use the name, logo, or trademark of the other Party or any of its Affiliates (or any abbreviation or adaptation thereof) in any publication, press release, marketing, and promotional material, or other form of publicity or filing that is publicly available without the prior written approval of such other Party in each instance. The restrictions imposed by this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 xml:space="preserve">shall not prohibit either Party from making any disclosure identifying the other Party that, in the opinion of the disclosing Party’s counsel, is required by applicable Law or the rules of a stock exchange on which the securities of the disclosing Party are listed;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disclosing Party shall submit the proposed disclosure identifying the other Party in writing to the other Party as far in advance as reasonably practicable (and in no event less than two (2) Business Days prior to the anticipated date of disclosure) so as to provide a reasonable opportunity to comment thereon.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Compliance with Legal Requirements</w:t>
      </w:r>
      <w:r>
        <w:rPr>
          <w:rFonts w:ascii="Times New Roman" w:hAnsi="Times New Roman"/>
          <w:color w:val="000000"/>
          <w:sz w:val="24"/>
        </w:rPr>
        <w:t>. Seller shall, and shall cause its Affiliates and each of their respective successors in interest and assigns to the Rare Pediatric Disease product for which the Priority Review Voucher was awarded to, comply in all material respects at all times with all Legal Requirements applicable to such Persons (as the sponsor of such Rare Pediatric Disease product and the initial recipient and owner of the Priority Review Voucher, as applicable), in any case relating to the Purchased Assets, and comply with any and all Legal Requirements applicable to such Persons that would impact the validity, maintenance, use, or transfer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Priority Review Voucher, or that would reasonably be expected to result in the revocation of the Priority Review Voucher if such Legal Requirements were not complied with. Seller shall promptly forward to Buyer any communications or notices it or its Affiliates receive from any Governmental Entity to the extent relating directly or indirectly to or otherwise materially impacting the Purchased Assets; </w:t>
      </w:r>
      <w:r>
        <w:rPr>
          <w:rFonts w:ascii="Times New Roman" w:hAnsi="Times New Roman"/>
          <w:i/>
          <w:color w:val="000000"/>
          <w:sz w:val="24"/>
        </w:rPr>
        <w:t>provided</w:t>
      </w:r>
      <w:r>
        <w:rPr>
          <w:rFonts w:ascii="Times New Roman" w:hAnsi="Times New Roman"/>
          <w:color w:val="000000"/>
          <w:sz w:val="24"/>
        </w:rPr>
        <w:t>, that Seller may redact any portion of such written communications or other notices that is not relevant to the Priority Review Voucher.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5.6 </w:t>
      </w:r>
      <w:r>
        <w:rPr>
          <w:rFonts w:ascii="Times New Roman" w:hAnsi="Times New Roman"/>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5.7 </w:t>
      </w:r>
      <w:r>
        <w:rPr>
          <w:rFonts w:ascii="Times New Roman" w:hAnsi="Times New Roman"/>
          <w:color w:val="000000"/>
          <w:sz w:val="24"/>
          <w:u w:val="single"/>
        </w:rPr>
        <w:t>Confidentiality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With respect to Confidential Information received by any Party, such Party shall (i) keep such Confidential Information confidential, (ii) not use such Confidential Information for any reason other than to carry out the intent and purpose of this Agreement, and (iii) not disclose such Confidential Information to any Person, except in each case, as otherwise expressly permitted by this Agreement or with the prior written consent of the disclosing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 Party may disclose Confidential Information only to its Representatives on a need-to-know basis and shall (i) enforce the terms of this </w:t>
      </w:r>
      <w:r>
        <w:rPr>
          <w:rFonts w:ascii="Times New Roman" w:hAnsi="Times New Roman"/>
          <w:color w:val="000000"/>
          <w:sz w:val="24"/>
          <w:u w:val="single"/>
        </w:rPr>
        <w:t>Section 5.7</w:t>
      </w:r>
      <w:r>
        <w:rPr>
          <w:rFonts w:ascii="Times New Roman" w:hAnsi="Times New Roman"/>
          <w:color w:val="000000"/>
          <w:sz w:val="20"/>
        </w:rPr>
        <w:t xml:space="preserve"> </w:t>
      </w:r>
      <w:r>
        <w:rPr>
          <w:rFonts w:ascii="Times New Roman" w:hAnsi="Times New Roman"/>
          <w:color w:val="000000"/>
          <w:sz w:val="24"/>
        </w:rPr>
        <w:t xml:space="preserve">as to its Representatives [*], (ii) take such action to the extent necessary to cause its Representatives [*] to comply with the terms and conditions of this </w:t>
      </w:r>
      <w:r>
        <w:rPr>
          <w:rFonts w:ascii="Times New Roman" w:hAnsi="Times New Roman"/>
          <w:color w:val="000000"/>
          <w:sz w:val="24"/>
          <w:u w:val="single"/>
        </w:rPr>
        <w:t>Section 5.7</w:t>
      </w:r>
      <w:r>
        <w:rPr>
          <w:rFonts w:ascii="Times New Roman" w:hAnsi="Times New Roman"/>
          <w:color w:val="000000"/>
          <w:sz w:val="20"/>
        </w:rPr>
        <w:t xml:space="preserve"> </w:t>
      </w:r>
      <w:r>
        <w:rPr>
          <w:rFonts w:ascii="Times New Roman" w:hAnsi="Times New Roman"/>
          <w:color w:val="000000"/>
          <w:sz w:val="24"/>
        </w:rPr>
        <w:t xml:space="preserve">and (iii) be responsible and liable for any breach of this </w:t>
      </w:r>
      <w:r>
        <w:rPr>
          <w:rFonts w:ascii="Times New Roman" w:hAnsi="Times New Roman"/>
          <w:color w:val="000000"/>
          <w:sz w:val="24"/>
          <w:u w:val="single"/>
        </w:rPr>
        <w:t>Section 5.7</w:t>
      </w:r>
      <w:r>
        <w:rPr>
          <w:rFonts w:ascii="Times New Roman" w:hAnsi="Times New Roman"/>
          <w:color w:val="000000"/>
          <w:sz w:val="20"/>
        </w:rPr>
        <w:t xml:space="preserve"> </w:t>
      </w:r>
      <w:r>
        <w:rPr>
          <w:rFonts w:ascii="Times New Roman" w:hAnsi="Times New Roman"/>
          <w:color w:val="000000"/>
          <w:sz w:val="24"/>
        </w:rPr>
        <w:t>by it or its Representatives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a Party becomes compelled by a court or is requested by a Governmental Entity to make any disclosure that is prohibited or otherwise constrained by this </w:t>
      </w:r>
      <w:r>
        <w:rPr>
          <w:rFonts w:ascii="Times New Roman" w:hAnsi="Times New Roman"/>
          <w:color w:val="000000"/>
          <w:sz w:val="24"/>
          <w:u w:val="single"/>
        </w:rPr>
        <w:t>Section 5.7</w:t>
      </w:r>
      <w:r>
        <w:rPr>
          <w:rFonts w:ascii="Times New Roman" w:hAnsi="Times New Roman"/>
          <w:color w:val="000000"/>
          <w:sz w:val="24"/>
        </w:rPr>
        <w:t xml:space="preserve">, such Party shall provide the disclosing Party with prompt written notice of such compulsion or request so that it may seek an appropriate protective order or other appropriate remedy or waive compliance with the provisions of this </w:t>
      </w:r>
      <w:r>
        <w:rPr>
          <w:rFonts w:ascii="Times New Roman" w:hAnsi="Times New Roman"/>
          <w:color w:val="000000"/>
          <w:sz w:val="24"/>
          <w:u w:val="single"/>
        </w:rPr>
        <w:t>Section 5.7</w:t>
      </w:r>
      <w:r>
        <w:rPr>
          <w:rFonts w:ascii="Times New Roman" w:hAnsi="Times New Roman"/>
          <w:color w:val="000000"/>
          <w:sz w:val="24"/>
        </w:rPr>
        <w:t xml:space="preserve">. In the absence of a protective order or other remedy, the Party subject to the requirement to disclose may disclose that portion (and only that portion) of the Confidential Information that, based upon advice of its counsel, it is legally compelled to disclose or that has been requested by such Governmental Entity; </w:t>
      </w:r>
      <w:r>
        <w:rPr>
          <w:rFonts w:ascii="Times New Roman" w:hAnsi="Times New Roman"/>
          <w:i/>
          <w:color w:val="000000"/>
          <w:sz w:val="24"/>
        </w:rPr>
        <w:t>provided, however</w:t>
      </w:r>
      <w:r>
        <w:rPr>
          <w:rFonts w:ascii="Times New Roman" w:hAnsi="Times New Roman"/>
          <w:color w:val="000000"/>
          <w:sz w:val="24"/>
        </w:rPr>
        <w:t xml:space="preserve">, that such Party shall use reasonable efforts to obtain reliable assurance that confidential treatment will be accorded by any Person to whom any Confidential Information is so disclosed. For the avoidance of doubt, this </w:t>
      </w:r>
      <w:r>
        <w:rPr>
          <w:rFonts w:ascii="Times New Roman" w:hAnsi="Times New Roman"/>
          <w:color w:val="000000"/>
          <w:sz w:val="24"/>
          <w:u w:val="single"/>
        </w:rPr>
        <w:t>Section 5.7(c)</w:t>
      </w:r>
      <w:r>
        <w:rPr>
          <w:rFonts w:ascii="Times New Roman" w:hAnsi="Times New Roman"/>
          <w:color w:val="000000"/>
          <w:sz w:val="20"/>
        </w:rPr>
        <w:t xml:space="preserve"> </w:t>
      </w:r>
      <w:r>
        <w:rPr>
          <w:rFonts w:ascii="Times New Roman" w:hAnsi="Times New Roman"/>
          <w:color w:val="000000"/>
          <w:sz w:val="24"/>
        </w:rPr>
        <w:t xml:space="preserve">does not apply to those disclosures concerning this Agreement to which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applies.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Nothing herein shall prohibit or otherwise restrict the disclosure of any Confidential Information by or on behalf of Buyer or its Affiliates to the FDA or other Governmental Entity to the extent required by the FDA or such other Governmental Entity to enable the use or transfer of the Priority Review Voucher; provided, that Buyer, its Affiliates and their respective Representatives shall use commercially reasonable efforts to obtain confidential treatment for any such disclosures.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5.8 </w:t>
      </w:r>
      <w:r>
        <w:rPr>
          <w:rFonts w:ascii="Times New Roman" w:hAnsi="Times New Roman"/>
          <w:color w:val="000000"/>
          <w:sz w:val="24"/>
          <w:u w:val="single"/>
        </w:rPr>
        <w:t>Disclosure Concerning Use of the Priority Review Voucher</w:t>
      </w:r>
      <w:r>
        <w:rPr>
          <w:rFonts w:ascii="Times New Roman" w:hAnsi="Times New Roman"/>
          <w:color w:val="000000"/>
          <w:sz w:val="24"/>
        </w:rPr>
        <w:t>. In the event that Buyer or any of its Affiliates uses (or notifies the FDA of its intent to use) the Priority Review Voucher in connection with a human drug application, Buyer or such Affiliate may, in any press release,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public announcement or other disclosure relating to its filing (or proposed filing) of the relevant human drug application, disclose that the Priority Review Voucher acquired from Seller has been used (or is intended to be used) in connection with such human drug application.</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6</w:t>
        <w:br/>
        <w:t>INDEMNIFICATION AND LIMITATIONS OF LIABILITY TC "A</w:t>
      </w:r>
      <w:r>
        <w:rPr>
          <w:rFonts w:ascii="Times New Roman" w:hAnsi="Times New Roman"/>
          <w:b/>
          <w:color w:val="000000"/>
          <w:sz w:val="24"/>
        </w:rPr>
        <w:t>RTICLE</w:t>
      </w:r>
      <w:r>
        <w:rPr>
          <w:rFonts w:ascii="Times New Roman" w:hAnsi="Times New Roman"/>
          <w:smallCaps/>
          <w:color w:val="000000"/>
          <w:sz w:val="20"/>
        </w:rPr>
        <w:t xml:space="preserve"> </w:t>
      </w:r>
      <w:r>
        <w:rPr>
          <w:rFonts w:ascii="Times New Roman" w:hAnsi="Times New Roman"/>
          <w:b/>
          <w:smallCaps/>
          <w:color w:val="000000"/>
          <w:sz w:val="24"/>
        </w:rPr>
        <w:t>6 INDEMNIFICATION AND LIMITATIONS OF LIABILITY"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Indemnification by Seller</w:t>
      </w:r>
      <w:r>
        <w:rPr>
          <w:rFonts w:ascii="Times New Roman" w:hAnsi="Times New Roman"/>
          <w:color w:val="000000"/>
          <w:sz w:val="24"/>
        </w:rPr>
        <w:t>. Seller shall indemnify, defend and hold harmless Buyer and its Affiliates and its and their respective directors, officers, employees, partners, members, agents, Representatives, successors, and assigns (each, a “</w:t>
      </w:r>
      <w:r>
        <w:rPr>
          <w:rFonts w:ascii="Times New Roman" w:hAnsi="Times New Roman"/>
          <w:b/>
          <w:i/>
          <w:color w:val="000000"/>
          <w:sz w:val="24"/>
        </w:rPr>
        <w:t>Buyer Indemnified Party</w:t>
      </w:r>
      <w:r>
        <w:rPr>
          <w:rFonts w:ascii="Times New Roman" w:hAnsi="Times New Roman"/>
          <w:color w:val="000000"/>
          <w:sz w:val="20"/>
        </w:rPr>
        <w:t>”</w:t>
      </w:r>
      <w:r>
        <w:rPr>
          <w:rFonts w:ascii="Times New Roman" w:hAnsi="Times New Roman"/>
          <w:color w:val="000000"/>
          <w:sz w:val="24"/>
        </w:rPr>
        <w:t>) for, from and against any and all Losses, whether or not arising from, relating to, or otherwise in connection with a claim of a Third Party (each, a “</w:t>
      </w:r>
      <w:r>
        <w:rPr>
          <w:rFonts w:ascii="Times New Roman" w:hAnsi="Times New Roman"/>
          <w:b/>
          <w:i/>
          <w:color w:val="000000"/>
          <w:sz w:val="24"/>
        </w:rPr>
        <w:t>Third Party Claim</w:t>
      </w:r>
      <w:r>
        <w:rPr>
          <w:rFonts w:ascii="Times New Roman" w:hAnsi="Times New Roman"/>
          <w:color w:val="000000"/>
          <w:sz w:val="20"/>
        </w:rPr>
        <w:t>”</w:t>
      </w:r>
      <w:r>
        <w:rPr>
          <w:rFonts w:ascii="Times New Roman" w:hAnsi="Times New Roman"/>
          <w:color w:val="000000"/>
          <w:sz w:val="24"/>
        </w:rPr>
        <w:t>), which any Buyer Indemnified Party may suffer, incur, sustain, or become subject to, to the extent arising from, relating to or otherwise in connection with (i) any breach of or inaccuracy in any representations and warranties of Seller made under this Agreement or any certificate or document delivered hereunder; (ii) any breach of or failure to perform any covenants or obligations of Seller made under this Agreement or any certificate or document delivered hereunder; (iii) Seller’s grossly negligent acts, omissions or misrepresentations or wilful misconduct, in each case, in connection with this Agreement; and (iv) any and all Excluded Liabilities.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Indemnification by Buyer</w:t>
      </w:r>
      <w:r>
        <w:rPr>
          <w:rFonts w:ascii="Times New Roman" w:hAnsi="Times New Roman"/>
          <w:color w:val="000000"/>
          <w:sz w:val="24"/>
        </w:rPr>
        <w:t>. Buyer shall indemnify, defend and hold harmless Seller and its Affiliates, and its and their respective directors, officers, employees, agents, Representatives, successors, and assigns (each, a “</w:t>
      </w:r>
      <w:r>
        <w:rPr>
          <w:rFonts w:ascii="Times New Roman" w:hAnsi="Times New Roman"/>
          <w:b/>
          <w:i/>
          <w:color w:val="000000"/>
          <w:sz w:val="24"/>
        </w:rPr>
        <w:t>Seller Indemnified Party</w:t>
      </w:r>
      <w:r>
        <w:rPr>
          <w:rFonts w:ascii="Times New Roman" w:hAnsi="Times New Roman"/>
          <w:color w:val="000000"/>
          <w:sz w:val="20"/>
        </w:rPr>
        <w:t>”</w:t>
      </w:r>
      <w:r>
        <w:rPr>
          <w:rFonts w:ascii="Times New Roman" w:hAnsi="Times New Roman"/>
          <w:color w:val="000000"/>
          <w:sz w:val="24"/>
        </w:rPr>
        <w:t>) from and against any and all Losses, whether or not arising from, relating to or otherwise in connection with a Third Party Claim, which any Seller Indemnified Party may suffer, incur, sustain, or become subject to, to the extent arising from, relating to or otherwise in connection with (i) any breach of or inaccuracy in any representations and warranties of Buyer made under this Agreement or any certificate or document delivered hereunder; (ii) any breach of or failure to perform any covenants or obligations of Buyer made under this Agreement or any certificate or document delivered hereunder; and (iii) Buyer’s grossly negligent acts, omissions or misrepresentations or willful misconduct, in each case, in connection with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Notice of Loss; Third Party Claims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 claim for indemnification for any matter not involving a Third Party Claim may be asserted by written notice to the Indemnifying Party. Such notice shall include the facts constituting the basis for such claim for indemnification, the Sections of this Agreement upon which such claim for indemnification is then based and an estimate, if possible, of the amount of Losses suffered or reasonably expected to be suffered by the Indemnified Party;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failure to give such notification or any deficiency in such notification will not relieve such Indemnifying Party from any obligation under this </w:t>
      </w:r>
      <w:r>
        <w:rPr>
          <w:rFonts w:ascii="Times New Roman" w:hAnsi="Times New Roman"/>
          <w:color w:val="000000"/>
          <w:sz w:val="24"/>
          <w:u w:val="single"/>
        </w:rPr>
        <w:t>ARTICLE 6</w:t>
      </w:r>
      <w:r>
        <w:rPr>
          <w:rFonts w:ascii="Times New Roman" w:hAnsi="Times New Roman"/>
          <w:color w:val="000000"/>
          <w:sz w:val="24"/>
        </w:rPr>
        <w:t>, except (i) to the extent such failure to give such notification or such deficiency in such notification actually and materially prejudices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such Indemnifying Party or (ii) as provided in </w:t>
      </w:r>
      <w:r>
        <w:rPr>
          <w:rFonts w:ascii="Times New Roman" w:hAnsi="Times New Roman"/>
          <w:color w:val="000000"/>
          <w:sz w:val="24"/>
          <w:u w:val="single"/>
        </w:rPr>
        <w:t>Section 6.3</w:t>
      </w:r>
      <w:r>
        <w:rPr>
          <w:rFonts w:ascii="Times New Roman" w:hAnsi="Times New Roman"/>
          <w:color w:val="000000"/>
          <w:sz w:val="24"/>
        </w:rPr>
        <w:t xml:space="preserve">. If the Indemnifying Party does not notify the Indemnified Party within twenty (20) Business Days following its receipt of such notice that the Indemnifying Party affirmatively accepts liability in the specified amount for the indemnity claimed by the Indemnified Party under </w:t>
      </w:r>
      <w:r>
        <w:rPr>
          <w:rFonts w:ascii="Times New Roman" w:hAnsi="Times New Roman"/>
          <w:color w:val="000000"/>
          <w:sz w:val="24"/>
          <w:u w:val="single"/>
        </w:rPr>
        <w:t>Section 6.1(a)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6.1(b)</w:t>
      </w:r>
      <w:r>
        <w:rPr>
          <w:rFonts w:ascii="Times New Roman" w:hAnsi="Times New Roman"/>
          <w:color w:val="000000"/>
          <w:sz w:val="24"/>
        </w:rPr>
        <w:t xml:space="preserve">, as applicable, such indemnity claim specified by the Indemnified Party in such notice shall be deemed not accepted by the Indemnifying Party, in which case, the Indemnified Party may pursue its right to indemnification with respect to such indemnity claim under this </w:t>
      </w:r>
      <w:r>
        <w:rPr>
          <w:rFonts w:ascii="Times New Roman" w:hAnsi="Times New Roman"/>
          <w:color w:val="000000"/>
          <w:sz w:val="24"/>
          <w:u w:val="single"/>
        </w:rPr>
        <w:t>ARTICLE 6</w:t>
      </w:r>
      <w:r>
        <w:rPr>
          <w:rFonts w:ascii="Times New Roman" w:hAnsi="Times New Roman"/>
          <w:color w:val="000000"/>
          <w:sz w:val="20"/>
        </w:rPr>
        <w:t xml:space="preserve"> </w:t>
      </w:r>
      <w:r>
        <w:rPr>
          <w:rFonts w:ascii="Times New Roman" w:hAnsi="Times New Roman"/>
          <w:color w:val="000000"/>
          <w:sz w:val="24"/>
        </w:rPr>
        <w:t>in accordance with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the event of any instituted or asserted Third Party Claim against an Indemnified Party, the Indemnified Party shall promptly cause written notice of the assertion of any Third Party Claim of which it has knowledge which is covered by the provisions of </w:t>
      </w:r>
      <w:r>
        <w:rPr>
          <w:rFonts w:ascii="Times New Roman" w:hAnsi="Times New Roman"/>
          <w:color w:val="000000"/>
          <w:sz w:val="24"/>
          <w:u w:val="single"/>
        </w:rPr>
        <w:t>Section 6.1(a)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6.1(b)</w:t>
      </w:r>
      <w:r>
        <w:rPr>
          <w:rFonts w:ascii="Times New Roman" w:hAnsi="Times New Roman"/>
          <w:color w:val="000000"/>
          <w:sz w:val="24"/>
        </w:rPr>
        <w:t xml:space="preserve">, as applicable, to be forwarded to the Indemnifying Party. The failure to give such notification or any deficiency in such notification will not relieve such Indemnifying Party from any obligation under this </w:t>
      </w:r>
      <w:r>
        <w:rPr>
          <w:rFonts w:ascii="Times New Roman" w:hAnsi="Times New Roman"/>
          <w:color w:val="000000"/>
          <w:sz w:val="24"/>
          <w:u w:val="single"/>
        </w:rPr>
        <w:t>ARTICLE 6</w:t>
      </w:r>
      <w:r>
        <w:rPr>
          <w:rFonts w:ascii="Times New Roman" w:hAnsi="Times New Roman"/>
          <w:color w:val="000000"/>
          <w:sz w:val="24"/>
        </w:rPr>
        <w:t xml:space="preserve">, except (i) to the extent such failure to give such notification or such deficiency in such notification actually and materially prejudices such Indemnifying Party or (ii) as provided in </w:t>
      </w:r>
      <w:r>
        <w:rPr>
          <w:rFonts w:ascii="Times New Roman" w:hAnsi="Times New Roman"/>
          <w:color w:val="000000"/>
          <w:sz w:val="24"/>
          <w:u w:val="single"/>
        </w:rPr>
        <w:t>Section 6.3</w:t>
      </w:r>
      <w:r>
        <w:rPr>
          <w:rFonts w:ascii="Times New Roman" w:hAnsi="Times New Roman"/>
          <w:color w:val="000000"/>
          <w:sz w:val="24"/>
        </w:rPr>
        <w:t xml:space="preserve">. The Indemnifying Party shall have the right, at its sole option and expense, to be represented by counsel reasonably acceptable to the Indemnified Party and to defend against, negotiate, settle or otherwise deal with any Third Party Claim which relates to any Losses indemnified by it hereunder, subject to the provisions below;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Indemnifying Party may not assume control of defense to (or, following such assumption of control in accordance herewith, may not continue to control such defense of, as applicable) a Third Party Claim (i) unless it covenants to the Indemnified Party in writing within ten (10) Business Days after the Indemnified Party has given notice of the Third Party Claim to the Indemnifying Party to indemnify, defend and hold harmless the Indemnified Party from and against the entirety of any and all Losses that the Indemnified Party may suffer resulting from or arising out of the Third Party Claim (subject, however, to the limitations set forth in </w:t>
      </w:r>
      <w:r>
        <w:rPr>
          <w:rFonts w:ascii="Times New Roman" w:hAnsi="Times New Roman"/>
          <w:color w:val="000000"/>
          <w:sz w:val="24"/>
          <w:u w:val="single"/>
        </w:rPr>
        <w:t>Section 6.6)</w:t>
      </w:r>
      <w:r>
        <w:rPr>
          <w:rFonts w:ascii="Times New Roman" w:hAnsi="Times New Roman"/>
          <w:color w:val="000000"/>
          <w:sz w:val="24"/>
        </w:rPr>
        <w:t>, (ii) in which equitable relief other than monetary damages is sought, (iii) if such Third Party Claim is brought by a Governmental Entity or is otherwise related to or arises in connection with any FDA, Tax or criminal or regulatory enforcement matter, (iv) if the Indemnified Party has been advised in writing by outside counsel that a legal conflict or potential legal conflict exists between the Indemnified Party and the Indemnifying Party in connection with conducting the defense of the Third Party Claim, (v) if settlement of, an adverse Judgment with respect to, or conduct of the defense of the Third Party Claim by the Indemnifying Party is, in the good faith judgment of the Indemnified Party, likely to be materially adverse to the Indemnified Party’s or its Affiliates’ reputation or continuing business interests (including its relationships with current or potential customers, licensors, distributors, suppliers, or other parties material to the conduct of its business), or (vi) the Indemnifying Party fails to diligently and vigorously and in good faith conduct the defense of the Third Party Claim.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the Indemnifying Party elects not to defend against, negotiate, settle or otherwise deal with any Third Party Claim that relates to any Losses indemnified against hereunder, or is not permitted to assume the defense (or, following such assumption of the defense in accordance herewith, is not permitted to continue to control such defense, as applicable) of a Third Party Claim pursuant to the proviso to the third sentence of </w:t>
      </w:r>
      <w:r>
        <w:rPr>
          <w:rFonts w:ascii="Times New Roman" w:hAnsi="Times New Roman"/>
          <w:color w:val="000000"/>
          <w:sz w:val="24"/>
          <w:u w:val="single"/>
        </w:rPr>
        <w:t>Section 6.2(b)</w:t>
      </w:r>
      <w:r>
        <w:rPr>
          <w:rFonts w:ascii="Times New Roman" w:hAnsi="Times New Roman"/>
          <w:color w:val="000000"/>
          <w:sz w:val="24"/>
        </w:rPr>
        <w:t>, the Indemnified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Party may defend against, negotiate, settle or otherwise deal with such Third Party Claim, subject to the provisions below. If the Indemnifying Party shall assume the defense of any Third Party Claim pursuant to the terms of this Agreement, the Indemnified Party may participate, at its own expense, in the defense of such Third Party Claim;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such Indemnified Party shall be entitled to participate in any such defense with separate counsel at the expense of the Indemnifying Party if (i) so requested by the Indemnifying Party to participate or (ii) in the written opinion of outside counsel to the Indemnified Party a legal conflict or potential legal conflict exists between the Indemnified Party and the Indemnifying Party that would make such separate representation advisable. The Parties agree to reasonably cooperate with each other in connection with the defense, negotiation or settlement of any such Third Party Claim. Notwithstanding anything in this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to the contrary, the Indemnifying Party shall not, without the prior written consent of the Indemnified Party, settle or compromise any Third Party Claim or permit a default or consent to entry of any Judgment unless (A) the claimant provides to the Indemnified Party a full, general and unqualified release of the Indemnified Parties and their respective Affiliates and Representatives from all liability in respect of such Third Party Claim, (B) such settlement does not involve any injunctive relief binding upon the Indemnified Party or any of its Affiliates or Representatives, (C) such settlement does not create an Encumbrance upon any of the assets of any Indemnified Party or impose any restriction or condition that would apply to or materially affect any Indemnified Party or the conduct of any Indemnified Party’s business, and (D) such settlement does not involve any admission of liability or wrongdoing by any Indemnified Party or any of its Affiliates or Representatives.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Survival</w:t>
      </w:r>
      <w:r>
        <w:rPr>
          <w:rFonts w:ascii="Times New Roman" w:hAnsi="Times New Roman"/>
          <w:color w:val="000000"/>
          <w:sz w:val="24"/>
        </w:rPr>
        <w:t xml:space="preserve">. The representations and warranties of Seller and Buyer under this Agreement, and liability for the breach thereof, shall survive the Effective Date and shall remain in full force and effect for a period of two (2) years following the Effective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all covenants (including </w:t>
      </w:r>
      <w:r>
        <w:rPr>
          <w:rFonts w:ascii="Times New Roman" w:hAnsi="Times New Roman"/>
          <w:color w:val="000000"/>
          <w:sz w:val="24"/>
          <w:u w:val="single"/>
        </w:rPr>
        <w:t>Section 5.6</w:t>
      </w:r>
      <w:r>
        <w:rPr>
          <w:rFonts w:ascii="Times New Roman" w:hAnsi="Times New Roman"/>
          <w:color w:val="000000"/>
          <w:sz w:val="24"/>
        </w:rPr>
        <w:t xml:space="preserve">), the Fundamental Representations and any claims for fraud shall survive the Effective Date and shall remain in full force and effect until the later of (a) six (6) years following the Effective Date and (b) the expiration of the applicable statute of limitations. No claim for breach of any representation, warranty, covenant or agreement may be brought after expiration of the survival periods set forth in this </w:t>
      </w:r>
      <w:r>
        <w:rPr>
          <w:rFonts w:ascii="Times New Roman" w:hAnsi="Times New Roman"/>
          <w:color w:val="000000"/>
          <w:sz w:val="24"/>
          <w:u w:val="single"/>
        </w:rPr>
        <w:t>Section 6.3</w:t>
      </w:r>
      <w:r>
        <w:rPr>
          <w:rFonts w:ascii="Times New Roman" w:hAnsi="Times New Roman"/>
          <w:color w:val="000000"/>
          <w:sz w:val="24"/>
        </w:rPr>
        <w:t xml:space="preserve">. Notwithstanding the foregoing, if written notice of a claim has been given in the manner required by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 xml:space="preserve">prior to the expiration of the applicable survival period by the Party seeking indemnification for such claim, then the relevant covenants, representations and warranties of the other Party shall survive as to such claim until such claim has been finally resolved pursuant to this </w:t>
      </w:r>
      <w:r>
        <w:rPr>
          <w:rFonts w:ascii="Times New Roman" w:hAnsi="Times New Roman"/>
          <w:color w:val="000000"/>
          <w:sz w:val="24"/>
          <w:u w:val="single"/>
        </w:rPr>
        <w:t>ARTICLE 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Additional Indemnification Matters</w:t>
      </w:r>
      <w:r>
        <w:rPr>
          <w:rFonts w:ascii="Times New Roman" w:hAnsi="Times New Roman"/>
          <w:color w:val="000000"/>
          <w:sz w:val="24"/>
        </w:rPr>
        <w:t xml:space="preserve">. The right of indemnification provided under this </w:t>
      </w:r>
      <w:r>
        <w:rPr>
          <w:rFonts w:ascii="Times New Roman" w:hAnsi="Times New Roman"/>
          <w:color w:val="000000"/>
          <w:sz w:val="24"/>
          <w:u w:val="single"/>
        </w:rPr>
        <w:t>ARTICLE 6</w:t>
      </w:r>
      <w:r>
        <w:rPr>
          <w:rFonts w:ascii="Times New Roman" w:hAnsi="Times New Roman"/>
          <w:color w:val="000000"/>
          <w:sz w:val="20"/>
        </w:rPr>
        <w:t xml:space="preserve"> </w:t>
      </w:r>
      <w:r>
        <w:rPr>
          <w:rFonts w:ascii="Times New Roman" w:hAnsi="Times New Roman"/>
          <w:color w:val="000000"/>
          <w:sz w:val="24"/>
        </w:rPr>
        <w:t>shall not be affected by any knowledge acquired (or capable of being acquired) at any time, whether before or after the Effective Date, with respect to the accuracy or inaccuracy of, or compliance or noncompliance with, any representation, warranty, covenant, or agreement contained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6.5 </w:t>
      </w:r>
      <w:r>
        <w:rPr>
          <w:rFonts w:ascii="Times New Roman" w:hAnsi="Times New Roman"/>
          <w:color w:val="000000"/>
          <w:sz w:val="24"/>
          <w:u w:val="single"/>
        </w:rPr>
        <w:t>Adjustments</w:t>
      </w:r>
      <w:r>
        <w:rPr>
          <w:rFonts w:ascii="Times New Roman" w:hAnsi="Times New Roman"/>
          <w:color w:val="000000"/>
          <w:sz w:val="24"/>
        </w:rPr>
        <w:t xml:space="preserve">. Any amount paid under this </w:t>
      </w:r>
      <w:r>
        <w:rPr>
          <w:rFonts w:ascii="Times New Roman" w:hAnsi="Times New Roman"/>
          <w:color w:val="000000"/>
          <w:sz w:val="24"/>
          <w:u w:val="single"/>
        </w:rPr>
        <w:t>ARTICLE 6</w:t>
      </w:r>
      <w:r>
        <w:rPr>
          <w:rFonts w:ascii="Times New Roman" w:hAnsi="Times New Roman"/>
          <w:color w:val="000000"/>
          <w:sz w:val="20"/>
        </w:rPr>
        <w:t xml:space="preserve"> </w:t>
      </w:r>
      <w:r>
        <w:rPr>
          <w:rFonts w:ascii="Times New Roman" w:hAnsi="Times New Roman"/>
          <w:color w:val="000000"/>
          <w:sz w:val="24"/>
        </w:rPr>
        <w:t>shall be treated as an adjustment to the Purchase Price for all Tax purposes unless otherwise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6.6 </w:t>
      </w:r>
      <w:r>
        <w:rPr>
          <w:rFonts w:ascii="Times New Roman" w:hAnsi="Times New Roman"/>
          <w:color w:val="000000"/>
          <w:sz w:val="24"/>
          <w:u w:val="single"/>
        </w:rPr>
        <w:t>Limitations of Liability</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Notwithstanding anything to the contrary contained in this Agreement (but subject to </w:t>
      </w:r>
      <w:r>
        <w:rPr>
          <w:rFonts w:ascii="Times New Roman" w:hAnsi="Times New Roman"/>
          <w:color w:val="000000"/>
          <w:sz w:val="24"/>
          <w:u w:val="single"/>
        </w:rPr>
        <w:t>Section 6.6(b))</w:t>
      </w:r>
      <w:r>
        <w:rPr>
          <w:rFonts w:ascii="Times New Roman" w:hAnsi="Times New Roman"/>
          <w:color w:val="000000"/>
          <w:sz w:val="24"/>
        </w:rPr>
        <w:t xml:space="preserve">, (i) each Party’s maximum aggregate liability to the other Party arising out of or in any way related to this Agreement (including pursuant to this </w:t>
      </w:r>
      <w:r>
        <w:rPr>
          <w:rFonts w:ascii="Times New Roman" w:hAnsi="Times New Roman"/>
          <w:color w:val="000000"/>
          <w:sz w:val="24"/>
          <w:u w:val="single"/>
        </w:rPr>
        <w:t>ARTICLE 6</w:t>
      </w:r>
      <w:r>
        <w:rPr>
          <w:rFonts w:ascii="Times New Roman" w:hAnsi="Times New Roman"/>
          <w:color w:val="000000"/>
          <w:sz w:val="24"/>
        </w:rPr>
        <w:t>) shall not exceed an amount equal to the Purchase Price and (ii) except to the extent actually awarded against a Buyer or Seller Indemnified Party pursuant to a Judgment with respect to a Third Party Claim and except for a Party’s fraud, then, in each case of this clause (ii), no Party shall have any liability under any provision of this Agreement for any punitive, incidental, consequential, special or indirect damages, including business interruption, diminution of value, loss of future revenue, profits or income, or loss of business reputation or opportunity relating to the breach or alleged breach of this Agreement [*], regardless of the legal theory under which such liability or obligation may be sought to be imposed, whether sounding in contract or tort, or whether at law or in equity,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Nothing in </w:t>
      </w:r>
      <w:r>
        <w:rPr>
          <w:rFonts w:ascii="Times New Roman" w:hAnsi="Times New Roman"/>
          <w:color w:val="000000"/>
          <w:sz w:val="24"/>
          <w:u w:val="single"/>
        </w:rPr>
        <w:t>Section 6.6(a)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6.7</w:t>
      </w:r>
      <w:r>
        <w:rPr>
          <w:rFonts w:ascii="Times New Roman" w:hAnsi="Times New Roman"/>
          <w:color w:val="000000"/>
          <w:sz w:val="24"/>
        </w:rPr>
        <w:t>, shall operate to limit or exclude in any way Seller’s liability for any and all Excluded Liabilities.</w:t>
      </w:r>
    </w:p>
    <w:p>
      <w:pPr>
        <w:pStyle w:val="TextBody"/>
        <w:bidi w:val="0"/>
        <w:spacing w:before="0" w:after="240"/>
        <w:jc w:val="both"/>
        <w:rPr>
          <w:rFonts w:ascii="Times New Roman" w:hAnsi="Times New Roman"/>
          <w:sz w:val="20"/>
        </w:rPr>
      </w:pPr>
      <w:r>
        <w:rPr>
          <w:rFonts w:ascii="Times New Roman" w:hAnsi="Times New Roman"/>
          <w:color w:val="000000"/>
          <w:sz w:val="24"/>
        </w:rPr>
        <w:t>6.7 [*].</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ARTICLE 7</w:t>
        <w:br/>
        <w:t>GENERAL PROVISIONS TC "A</w:t>
      </w:r>
      <w:r>
        <w:rPr>
          <w:rFonts w:ascii="Times New Roman" w:hAnsi="Times New Roman"/>
          <w:b/>
          <w:color w:val="000000"/>
          <w:sz w:val="24"/>
        </w:rPr>
        <w:t>RTICLE</w:t>
      </w:r>
      <w:r>
        <w:rPr>
          <w:rFonts w:ascii="Times New Roman" w:hAnsi="Times New Roman"/>
          <w:smallCaps/>
          <w:color w:val="000000"/>
          <w:sz w:val="20"/>
        </w:rPr>
        <w:t xml:space="preserve"> </w:t>
      </w:r>
      <w:r>
        <w:rPr>
          <w:rFonts w:ascii="Times New Roman" w:hAnsi="Times New Roman"/>
          <w:b/>
          <w:smallCaps/>
          <w:color w:val="000000"/>
          <w:sz w:val="24"/>
        </w:rPr>
        <w:t>7 GENERAL PROVISIONS" \f C \l "1"</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7.1 </w:t>
      </w:r>
      <w:r>
        <w:rPr>
          <w:rFonts w:ascii="Times New Roman" w:hAnsi="Times New Roman"/>
          <w:color w:val="000000"/>
          <w:sz w:val="24"/>
          <w:u w:val="single"/>
        </w:rPr>
        <w:t>Notice Requirements</w:t>
      </w:r>
      <w:r>
        <w:rPr>
          <w:rFonts w:ascii="Times New Roman" w:hAnsi="Times New Roman"/>
          <w:color w:val="000000"/>
          <w:sz w:val="24"/>
        </w:rPr>
        <w:t xml:space="preserve">. Any notice, request, demand, waiver, consent, approval, or other communication permitted or required under this Agreement shall be in writing, shall refer specifically to this Agreement and shall be deemed given only if (a) delivered by hand, (b) sent by internationally recognized overnight delivery service that maintains records of delivery, addressed to the Parties at their respective addresses specified in this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 xml:space="preserve">or to such other address as the Party to whom notice is to be given may have provided to the other Party in accordance with this </w:t>
      </w:r>
      <w:r>
        <w:rPr>
          <w:rFonts w:ascii="Times New Roman" w:hAnsi="Times New Roman"/>
          <w:color w:val="000000"/>
          <w:sz w:val="24"/>
          <w:u w:val="single"/>
        </w:rPr>
        <w:t>Section 7.1</w:t>
      </w:r>
      <w:r>
        <w:rPr>
          <w:rFonts w:ascii="Times New Roman" w:hAnsi="Times New Roman"/>
          <w:color w:val="000000"/>
          <w:sz w:val="24"/>
        </w:rPr>
        <w:t>, or (c) sent via email. Such notice shall be deemed to have been given (i) as of the date delivered by hand, (ii) on the second Business Day (at the place of delivery) after deposit with an internationally recognized overnight delivery service, or (iii) on the first Business Day following successful transmission via email.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If to Buyer,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If to Seller to:</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Seller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2000 Sierra Point Parkway, Suite 501</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Brisbane, CA 94005</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Attention: [*]</w:t>
      </w:r>
    </w:p>
    <w:p>
      <w:pPr>
        <w:pStyle w:val="TextBody"/>
        <w:bidi w:val="0"/>
        <w:jc w:val="left"/>
        <w:rPr>
          <w:rFonts w:ascii="Times New Roman" w:hAnsi="Times New Roman"/>
          <w:sz w:val="20"/>
        </w:rPr>
      </w:pPr>
      <w:r>
        <w:rPr>
          <w:rFonts w:ascii="Times New Roman" w:hAnsi="Times New Roman"/>
          <w:color w:val="000000"/>
          <w:sz w:val="24"/>
        </w:rPr>
        <w:t>Emails: [*]</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br/>
        <w:t>with a copy (which shall not constitute notice) to:</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Fenwick and West, LLP</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555 California Street,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San Francisco, CA 94104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w:t>
      </w:r>
    </w:p>
    <w:p>
      <w:pPr>
        <w:pStyle w:val="TextBody"/>
        <w:bidi w:val="0"/>
        <w:spacing w:before="0" w:after="240"/>
        <w:jc w:val="left"/>
        <w:rPr>
          <w:rFonts w:ascii="Times New Roman" w:hAnsi="Times New Roman"/>
          <w:sz w:val="20"/>
        </w:rPr>
      </w:pPr>
      <w:r>
        <w:rPr>
          <w:rFonts w:ascii="Times New Roman" w:hAnsi="Times New Roman"/>
          <w:color w:val="000000"/>
          <w:sz w:val="24"/>
        </w:rPr>
        <w:t>Emails: [*]</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7.2 </w:t>
      </w:r>
      <w:r>
        <w:rPr>
          <w:rFonts w:ascii="Times New Roman" w:hAnsi="Times New Roman"/>
          <w:color w:val="000000"/>
          <w:sz w:val="24"/>
          <w:u w:val="single"/>
        </w:rPr>
        <w:t>Construction</w:t>
      </w:r>
      <w:r>
        <w:rPr>
          <w:rFonts w:ascii="Times New Roman" w:hAnsi="Times New Roman"/>
          <w:color w:val="000000"/>
          <w:sz w:val="24"/>
        </w:rPr>
        <w:t>. 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words “will” and “shall” have the same meaning.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7.3 </w:t>
      </w:r>
      <w:r>
        <w:rPr>
          <w:rFonts w:ascii="Times New Roman" w:hAnsi="Times New Roman"/>
          <w:color w:val="000000"/>
          <w:sz w:val="24"/>
          <w:u w:val="single"/>
        </w:rPr>
        <w:t>References</w:t>
      </w:r>
      <w:r>
        <w:rPr>
          <w:rFonts w:ascii="Times New Roman" w:hAnsi="Times New Roman"/>
          <w:color w:val="000000"/>
          <w:sz w:val="24"/>
        </w:rPr>
        <w:t xml:space="preserve">. Unless otherwise specified, (a) references in this Agreement to any </w:t>
      </w:r>
      <w:r>
        <w:rPr>
          <w:rFonts w:ascii="Times New Roman" w:hAnsi="Times New Roman"/>
          <w:color w:val="000000"/>
          <w:sz w:val="24"/>
          <w:u w:val="single"/>
        </w:rPr>
        <w:t>Article</w:t>
      </w:r>
      <w:r>
        <w:rPr>
          <w:rFonts w:ascii="Times New Roman" w:hAnsi="Times New Roman"/>
          <w:color w:val="000000"/>
          <w:sz w:val="24"/>
        </w:rPr>
        <w:t xml:space="preserve">,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Schedule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Exhibit</w:t>
      </w:r>
      <w:r>
        <w:rPr>
          <w:rFonts w:ascii="Times New Roman" w:hAnsi="Times New Roman"/>
          <w:color w:val="000000"/>
          <w:sz w:val="20"/>
        </w:rPr>
        <w:t xml:space="preserve"> </w:t>
      </w:r>
      <w:r>
        <w:rPr>
          <w:rFonts w:ascii="Times New Roman" w:hAnsi="Times New Roman"/>
          <w:color w:val="000000"/>
          <w:sz w:val="24"/>
        </w:rPr>
        <w:t xml:space="preserve">shall mean references to such </w:t>
      </w:r>
      <w:r>
        <w:rPr>
          <w:rFonts w:ascii="Times New Roman" w:hAnsi="Times New Roman"/>
          <w:color w:val="000000"/>
          <w:sz w:val="24"/>
          <w:u w:val="single"/>
        </w:rPr>
        <w:t>Article</w:t>
      </w:r>
      <w:r>
        <w:rPr>
          <w:rFonts w:ascii="Times New Roman" w:hAnsi="Times New Roman"/>
          <w:color w:val="000000"/>
          <w:sz w:val="24"/>
        </w:rPr>
        <w:t xml:space="preserve">,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Schedule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Exhibit</w:t>
      </w:r>
      <w:r>
        <w:rPr>
          <w:rFonts w:ascii="Times New Roman" w:hAnsi="Times New Roman"/>
          <w:color w:val="000000"/>
          <w:sz w:val="20"/>
        </w:rPr>
        <w:t xml:space="preserve"> </w:t>
      </w:r>
      <w:r>
        <w:rPr>
          <w:rFonts w:ascii="Times New Roman" w:hAnsi="Times New Roman"/>
          <w:color w:val="000000"/>
          <w:sz w:val="24"/>
        </w:rPr>
        <w:t xml:space="preserve">of this Agreement, (b) references in any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rPr>
        <w:t xml:space="preserve">to any clause are references to such clause of such </w:t>
      </w:r>
      <w:r>
        <w:rPr>
          <w:rFonts w:ascii="Times New Roman" w:hAnsi="Times New Roman"/>
          <w:color w:val="000000"/>
          <w:sz w:val="24"/>
          <w:u w:val="single"/>
        </w:rPr>
        <w:t>Section</w:t>
      </w:r>
      <w:r>
        <w:rPr>
          <w:rFonts w:ascii="Times New Roman" w:hAnsi="Times New Roman"/>
          <w:color w:val="000000"/>
          <w:sz w:val="24"/>
        </w:rPr>
        <w:t>,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7.4 </w:t>
      </w:r>
      <w:r>
        <w:rPr>
          <w:rFonts w:ascii="Times New Roman" w:hAnsi="Times New Roman"/>
          <w:color w:val="000000"/>
          <w:sz w:val="24"/>
          <w:u w:val="single"/>
        </w:rPr>
        <w:t>Entire Agreement; Amendments</w:t>
      </w:r>
      <w:r>
        <w:rPr>
          <w:rFonts w:ascii="Times New Roman" w:hAnsi="Times New Roman"/>
          <w:color w:val="000000"/>
          <w:sz w:val="24"/>
        </w:rPr>
        <w:t>. This Agreement, the documents, Exhibits, and Schedules referred to herein, and the Confidentiality Agreement sets forth and constitutes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7.5 </w:t>
      </w:r>
      <w:r>
        <w:rPr>
          <w:rFonts w:ascii="Times New Roman" w:hAnsi="Times New Roman"/>
          <w:color w:val="000000"/>
          <w:sz w:val="24"/>
          <w:u w:val="single"/>
        </w:rPr>
        <w:t>Assignment</w:t>
      </w:r>
      <w:r>
        <w:rPr>
          <w:rFonts w:ascii="Times New Roman" w:hAnsi="Times New Roman"/>
          <w:color w:val="000000"/>
          <w:sz w:val="24"/>
        </w:rPr>
        <w:t xml:space="preserve">. Without the prior written consent of the other Party, neither Party shall sell, transfer, assign, delegate, pledge, or otherwise dispose of, whether voluntarily, involuntarily, by operation of law or otherwise, this Agreement or any of its rights or duties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 either Party may make such a sale, transfer, assignment, delegation, pledge or other disposal without the other Party’s consent to any of its Affiliates and (b) Buyer may make such a sale, transfer, assignment, delegation, pledge or disposal, in whole or in part, without Seller’s consent, to any purchaser, transferee, or assignee of the Purchased Assets. With respect to any permitted assignment, the assigning Party shall remain responsible for the performance by such permitted assignee of the assigning Party’s duties and obligations hereunder. Any attempted sale, transfer, assignment, delegation, pledge or other disposal in violation of this </w:t>
      </w:r>
      <w:r>
        <w:rPr>
          <w:rFonts w:ascii="Times New Roman" w:hAnsi="Times New Roman"/>
          <w:color w:val="000000"/>
          <w:sz w:val="24"/>
          <w:u w:val="single"/>
        </w:rPr>
        <w:t>Section 7.5</w:t>
      </w:r>
      <w:r>
        <w:rPr>
          <w:rFonts w:ascii="Times New Roman" w:hAnsi="Times New Roman"/>
          <w:color w:val="000000"/>
          <w:sz w:val="20"/>
        </w:rPr>
        <w:t xml:space="preserve"> </w:t>
      </w:r>
      <w:r>
        <w:rPr>
          <w:rFonts w:ascii="Times New Roman" w:hAnsi="Times New Roman"/>
          <w:color w:val="000000"/>
          <w:sz w:val="24"/>
        </w:rPr>
        <w:t>shall be null and void and of no effect. All validly assigned and delegated rights and obligations of the Parties hereunder shall be binding upon and inure to the benefit of and be enforceable by and against the successors and permitted assigns of Buyer or Seller, as the case may be.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7.6 </w:t>
      </w:r>
      <w:r>
        <w:rPr>
          <w:rFonts w:ascii="Times New Roman" w:hAnsi="Times New Roman"/>
          <w:color w:val="000000"/>
          <w:sz w:val="24"/>
          <w:u w:val="single"/>
        </w:rPr>
        <w:t>Severability</w:t>
      </w:r>
      <w:r>
        <w:rPr>
          <w:rFonts w:ascii="Times New Roman" w:hAnsi="Times New Roman"/>
          <w:color w:val="000000"/>
          <w:sz w:val="24"/>
        </w:rPr>
        <w:t>. If any provision of this Agreement is held to be illegal, invalid, or unenforceable under any present or 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7.7 </w:t>
      </w:r>
      <w:r>
        <w:rPr>
          <w:rFonts w:ascii="Times New Roman" w:hAnsi="Times New Roman"/>
          <w:color w:val="000000"/>
          <w:sz w:val="24"/>
          <w:u w:val="single"/>
        </w:rPr>
        <w:t>Governing Law</w:t>
      </w:r>
      <w:r>
        <w:rPr>
          <w:rFonts w:ascii="Times New Roman" w:hAnsi="Times New Roman"/>
          <w:color w:val="000000"/>
          <w:sz w:val="24"/>
        </w:rPr>
        <w:t>. This Agreement or the performance, enforcement, breach or termination hereof shall be interpreted, governed by and construed in accordance with the laws of the State of New York, United States, excluding any conflicts or choice of law rule or principle that might otherwise refer construction or interpretation of this Agreement to the substantive law of another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7.8 </w:t>
      </w:r>
      <w:r>
        <w:rPr>
          <w:rFonts w:ascii="Times New Roman" w:hAnsi="Times New Roman"/>
          <w:color w:val="000000"/>
          <w:sz w:val="24"/>
          <w:u w:val="single"/>
        </w:rPr>
        <w:t>Submission to Jurisdiction</w:t>
      </w:r>
      <w:r>
        <w:rPr>
          <w:rFonts w:ascii="Times New Roman" w:hAnsi="Times New Roman"/>
          <w:color w:val="000000"/>
          <w:sz w:val="24"/>
        </w:rPr>
        <w:t>. Each Party irrevocably agrees that any legal action or proceeding arising out of or relating to this Agreement brought by such Party or its successors or assigns shall be brought and determined in any New York state or federal court, and each Party hereby irrevocably (a) submits to the exclusive jurisdiction of the aforesaid courts with regard to any such action or proceeding arising out of or relating to this Agreement and the transactions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contemplated hereby and (b) agrees that service of any court paper may be made in the manner provided for in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or such other manner as may be provided under applicable Laws or court rules governing service of process. Each Party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Party hereby irrevocably and unconditionally waives, and agrees not to assert, by way of motion or as a defense, counterclaim or otherwise, in any action or proceeding arising out of or relating to this Agreement or the transactions contemplated hereby, (i) any claim that it is not personally subject to the jurisdiction of the courts in New York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suit, action or proceeding in any such court is brought in an inconvenient forum, (B) the venue of such suit, action or proceeding is improper, or (C) this Agreement, or the subject matter hereof, may not be enforced in or by such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7.9 </w:t>
      </w:r>
      <w:r>
        <w:rPr>
          <w:rFonts w:ascii="Times New Roman" w:hAnsi="Times New Roman"/>
          <w:color w:val="000000"/>
          <w:sz w:val="24"/>
          <w:u w:val="single"/>
        </w:rPr>
        <w:t>WAIVER OF JURY TRIAL</w:t>
      </w:r>
      <w:r>
        <w:rPr>
          <w:rFonts w:ascii="Times New Roman" w:hAnsi="Times New Roman"/>
          <w:color w:val="000000"/>
          <w:sz w:val="24"/>
        </w:rPr>
        <w:t>. EACH PARTY, TO THE EXTENT PERMITTED BY LAW, KNOWINGLY, VOLUNTARILY, AND INTENTIONALLY WAIVES ITS RIGHT TO A TRIAL BY JURY IN ANY ACTION OR OTHER LEGAL PROCEEDING ARISING OUT OF OR RELATING TO THIS AGREEMENT AND THE TRANSACTIONS IT CONTEMPLATES. THIS WAIVER APPLIES TO ANY ACTION OR LEGAL PROCEEDING, WHETHER SOUNDING IN CONTRACT, TORT,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7.10 </w:t>
      </w:r>
      <w:r>
        <w:rPr>
          <w:rFonts w:ascii="Times New Roman" w:hAnsi="Times New Roman"/>
          <w:color w:val="000000"/>
          <w:sz w:val="24"/>
          <w:u w:val="single"/>
        </w:rPr>
        <w:t>Waiver and Non-Exclusion of Remedies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and nothing in this Agreement shall be deemed a waiver by any Party of any right to specific performance or injunctive relief. The rights and remedies provided herein are cumulative and do not exclude any other right or remedy provided by applicable Law or otherwise available except as expressly set forth herein.</w:t>
      </w:r>
    </w:p>
    <w:p>
      <w:pPr>
        <w:pStyle w:val="TextBody"/>
        <w:bidi w:val="0"/>
        <w:spacing w:before="0" w:after="240"/>
        <w:jc w:val="both"/>
        <w:rPr>
          <w:rFonts w:ascii="Times New Roman" w:hAnsi="Times New Roman"/>
          <w:sz w:val="20"/>
        </w:rPr>
      </w:pPr>
      <w:r>
        <w:rPr>
          <w:rFonts w:ascii="Times New Roman" w:hAnsi="Times New Roman"/>
          <w:color w:val="000000"/>
          <w:sz w:val="24"/>
        </w:rPr>
        <w:t>(b) The Parties agree that irreparable harm would occur in the event that the transactions contemplated hereby are not consummated in accordance with the terms of this Agreement, and that money damages or other legal remedies would not be an adequate remedy for any such harm. Accordingly, the Parties acknowledge and hereby covenant and agree that in the event of any breach or threatened breach of the covenants, agreements, or obligations set forth in this Agreement, then in addition to any other remedy available at law or in equity, the non-breaching Party will be entitled to seek an injunction or injunctions to prevent or restrain any breaches or threatened breaches of this Agreement, and to specifically enforce the terms and provisions of this Agreement to enforce compliance with the covenants, agreements,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obligations under this Agreement. Each Party hereby covenants and agrees not to raise, and irrevocably waives, any objections to the availability of such relief that a remedy at law would be adequate and that a bond or other security will be required.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7.11 </w:t>
      </w:r>
      <w:r>
        <w:rPr>
          <w:rFonts w:ascii="Times New Roman" w:hAnsi="Times New Roman"/>
          <w:color w:val="000000"/>
          <w:sz w:val="24"/>
          <w:u w:val="single"/>
        </w:rPr>
        <w:t>No Benefit to Third Parties</w:t>
      </w:r>
      <w:r>
        <w:rPr>
          <w:rFonts w:ascii="Times New Roman" w:hAnsi="Times New Roman"/>
          <w:color w:val="000000"/>
          <w:sz w:val="24"/>
        </w:rPr>
        <w:t xml:space="preserve">. Except as provided in </w:t>
      </w:r>
      <w:r>
        <w:rPr>
          <w:rFonts w:ascii="Times New Roman" w:hAnsi="Times New Roman"/>
          <w:color w:val="000000"/>
          <w:sz w:val="24"/>
          <w:u w:val="single"/>
        </w:rPr>
        <w:t>ARTICLE 6</w:t>
      </w:r>
      <w:r>
        <w:rPr>
          <w:rFonts w:ascii="Times New Roman" w:hAnsi="Times New Roman"/>
          <w:color w:val="000000"/>
          <w:sz w:val="24"/>
        </w:rPr>
        <w:t>, the covenants and agreements set forth in this Agreement are for the sole benefit of the Parties and their successors and permitted assigns, and they shall not be construed as conferring any rights on any other Persons.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7.12 </w:t>
      </w:r>
      <w:r>
        <w:rPr>
          <w:rFonts w:ascii="Times New Roman" w:hAnsi="Times New Roman"/>
          <w:color w:val="000000"/>
          <w:sz w:val="24"/>
          <w:u w:val="single"/>
        </w:rPr>
        <w:t>Counterparts; Execution</w:t>
      </w:r>
      <w:r>
        <w:rPr>
          <w:rFonts w:ascii="Times New Roman" w:hAnsi="Times New Roman"/>
          <w:color w:val="000000"/>
          <w:sz w:val="24"/>
        </w:rPr>
        <w:t>. This Agreement may be executed in two (2) or more counterparts, each of which shall be deemed an original, but all of which together shall constitute one (1) and the same instrument. This Agreement may be executed by electronically transmitted signatures and such signatures shall be deemed to bind each Party hereto as if they were original signatures.</w:t>
      </w:r>
    </w:p>
    <w:p>
      <w:pPr>
        <w:pStyle w:val="TextBody"/>
        <w:bidi w:val="0"/>
        <w:spacing w:before="600" w:after="240"/>
        <w:jc w:val="center"/>
        <w:rPr>
          <w:rFonts w:ascii="Times New Roman" w:hAnsi="Times New Roman"/>
          <w:caps/>
          <w:color w:val="000000"/>
          <w:sz w:val="24"/>
        </w:rPr>
      </w:pPr>
      <w:r>
        <w:rPr>
          <w:rFonts w:ascii="Times New Roman" w:hAnsi="Times New Roman"/>
          <w:caps/>
          <w:color w:val="000000"/>
          <w:sz w:val="24"/>
        </w:rPr>
        <w:t>[SIGNATURE PAGE FOLLOWS]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each of Buyer and Seller has caused this Agreement to be executed and delivered by their respective officers thereunto duly authorized, all as of the date first written above.</w:t>
      </w:r>
    </w:p>
    <w:tbl>
      <w:tblPr>
        <w:tblW w:w="1558" w:type="dxa"/>
        <w:jc w:val="left"/>
        <w:tblInd w:w="0" w:type="dxa"/>
        <w:tblLayout w:type="fixed"/>
        <w:tblCellMar>
          <w:top w:w="28" w:type="dxa"/>
          <w:left w:w="28" w:type="dxa"/>
          <w:bottom w:w="28" w:type="dxa"/>
          <w:right w:w="28" w:type="dxa"/>
        </w:tblCellMar>
      </w:tblPr>
      <w:tblGrid>
        <w:gridCol w:w="991"/>
        <w:gridCol w:w="146"/>
        <w:gridCol w:w="42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both"/>
              <w:rPr>
                <w:rFonts w:ascii="Times New Roman" w:hAnsi="Times New Roman"/>
                <w:b/>
                <w:color w:val="000000"/>
                <w:sz w:val="24"/>
                <w:u w:val="single"/>
              </w:rPr>
            </w:pPr>
            <w:r>
              <w:rPr>
                <w:rFonts w:ascii="Times New Roman" w:hAnsi="Times New Roman"/>
                <w:b/>
                <w:color w:val="000000"/>
                <w:sz w:val="24"/>
                <w:u w:val="single"/>
              </w:rPr>
              <w:t>BUYER</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pPr>
            <w:r>
              <w:rPr/>
              <w:t> </w:t>
            </w:r>
          </w:p>
        </w:tc>
      </w:tr>
      <w:tr>
        <w:trPr/>
        <w:tc>
          <w:tcPr>
            <w:tcW w:w="99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pPr>
            <w:r>
              <w:rPr/>
              <w:t> </w:t>
            </w:r>
          </w:p>
        </w:tc>
      </w:tr>
      <w:tr>
        <w:trPr/>
        <w:tc>
          <w:tcPr>
            <w:tcW w:w="1558" w:type="dxa"/>
            <w:gridSpan w:val="3"/>
            <w:tcBorders/>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w:t>
            </w:r>
          </w:p>
        </w:tc>
      </w:tr>
      <w:tr>
        <w:trPr/>
        <w:tc>
          <w:tcPr>
            <w:tcW w:w="991" w:type="dxa"/>
            <w:tcBorders/>
            <w:vAlign w:val="center"/>
          </w:tcPr>
          <w:p>
            <w:pPr>
              <w:pStyle w:val="TableContents"/>
              <w:bidi w:val="0"/>
              <w:spacing w:before="0" w:after="283"/>
              <w:jc w:val="both"/>
              <w:rPr/>
            </w:pPr>
            <w:r>
              <w:rPr/>
              <w:t> </w:t>
            </w:r>
          </w:p>
        </w:tc>
        <w:tc>
          <w:tcPr>
            <w:tcW w:w="567" w:type="dxa"/>
            <w:gridSpan w:val="2"/>
            <w:tcBorders/>
            <w:vAlign w:val="center"/>
          </w:tcPr>
          <w:p>
            <w:pPr>
              <w:pStyle w:val="TableContents"/>
              <w:bidi w:val="0"/>
              <w:spacing w:before="0" w:after="283"/>
              <w:jc w:val="both"/>
              <w:rPr/>
            </w:pPr>
            <w:r>
              <w:rPr/>
              <w:t> </w:t>
            </w:r>
          </w:p>
        </w:tc>
      </w:tr>
      <w:tr>
        <w:trPr/>
        <w:tc>
          <w:tcPr>
            <w:tcW w:w="99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pBdr>
                <w:bottom w:val="single" w:sz="6" w:space="1" w:color="000000"/>
              </w:pBdr>
              <w:bidi w:val="0"/>
              <w:spacing w:before="0" w:after="20"/>
              <w:jc w:val="both"/>
              <w:rPr/>
            </w:pPr>
            <w:r>
              <w:rPr/>
              <w:t> </w:t>
            </w:r>
          </w:p>
        </w:tc>
      </w:tr>
      <w:tr>
        <w:trPr/>
        <w:tc>
          <w:tcPr>
            <w:tcW w:w="99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t>
            </w:r>
          </w:p>
        </w:tc>
      </w:tr>
      <w:tr>
        <w:trPr/>
        <w:tc>
          <w:tcPr>
            <w:tcW w:w="99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Asset Purchase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each of Buyer and Seller has caused this Agreement to be executed and delivered by their respective officers thereunto duly authorized, all as of the date first written above.</w:t>
      </w:r>
    </w:p>
    <w:tbl>
      <w:tblPr>
        <w:tblW w:w="4950" w:type="dxa"/>
        <w:jc w:val="left"/>
        <w:tblInd w:w="0" w:type="dxa"/>
        <w:tblLayout w:type="fixed"/>
        <w:tblCellMar>
          <w:top w:w="28" w:type="dxa"/>
          <w:left w:w="28" w:type="dxa"/>
          <w:bottom w:w="28" w:type="dxa"/>
          <w:right w:w="28" w:type="dxa"/>
        </w:tblCellMar>
      </w:tblPr>
      <w:tblGrid>
        <w:gridCol w:w="1190"/>
        <w:gridCol w:w="214"/>
        <w:gridCol w:w="3546"/>
      </w:tblGrid>
      <w:tr>
        <w:trPr/>
        <w:tc>
          <w:tcPr>
            <w:tcW w:w="11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3546" w:type="dxa"/>
            <w:tcBorders/>
            <w:vAlign w:val="center"/>
          </w:tcPr>
          <w:p>
            <w:pPr>
              <w:pStyle w:val="TableContents"/>
              <w:bidi w:val="0"/>
              <w:spacing w:before="0" w:after="283"/>
              <w:jc w:val="both"/>
              <w:rPr/>
            </w:pPr>
            <w:r>
              <w:rPr/>
              <w:t> </w:t>
            </w:r>
          </w:p>
        </w:tc>
      </w:tr>
      <w:tr>
        <w:trPr/>
        <w:tc>
          <w:tcPr>
            <w:tcW w:w="4950" w:type="dxa"/>
            <w:gridSpan w:val="3"/>
            <w:tcBorders/>
            <w:vAlign w:val="center"/>
          </w:tcPr>
          <w:p>
            <w:pPr>
              <w:pStyle w:val="TableContents"/>
              <w:bidi w:val="0"/>
              <w:jc w:val="both"/>
              <w:rPr>
                <w:rFonts w:ascii="Times New Roman" w:hAnsi="Times New Roman"/>
                <w:b/>
                <w:color w:val="000000"/>
                <w:sz w:val="24"/>
                <w:u w:val="single"/>
              </w:rPr>
            </w:pPr>
            <w:r>
              <w:rPr>
                <w:rFonts w:ascii="Times New Roman" w:hAnsi="Times New Roman"/>
                <w:b/>
                <w:color w:val="000000"/>
                <w:sz w:val="24"/>
                <w:u w:val="single"/>
              </w:rPr>
              <w:t>SELLER</w:t>
            </w:r>
          </w:p>
          <w:p>
            <w:pPr>
              <w:pStyle w:val="TableContents"/>
              <w:bidi w:val="0"/>
              <w:jc w:val="both"/>
              <w:rPr/>
            </w:pPr>
            <w:r>
              <w:rPr/>
              <w:t> </w:t>
            </w:r>
          </w:p>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DAY ONE BIOPHARMACEUTICALS, INC.</w:t>
            </w:r>
          </w:p>
        </w:tc>
      </w:tr>
      <w:tr>
        <w:trPr/>
        <w:tc>
          <w:tcPr>
            <w:tcW w:w="1190" w:type="dxa"/>
            <w:tcBorders/>
            <w:vAlign w:val="center"/>
          </w:tcPr>
          <w:p>
            <w:pPr>
              <w:pStyle w:val="TableContents"/>
              <w:bidi w:val="0"/>
              <w:spacing w:before="0" w:after="283"/>
              <w:jc w:val="both"/>
              <w:rPr/>
            </w:pPr>
            <w:r>
              <w:rPr/>
              <w:t> </w:t>
            </w:r>
          </w:p>
        </w:tc>
        <w:tc>
          <w:tcPr>
            <w:tcW w:w="3760" w:type="dxa"/>
            <w:gridSpan w:val="2"/>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14" w:type="dxa"/>
            <w:tcBorders/>
            <w:vAlign w:val="center"/>
          </w:tcPr>
          <w:p>
            <w:pPr>
              <w:pStyle w:val="TableContents"/>
              <w:bidi w:val="0"/>
              <w:spacing w:before="0" w:after="283"/>
              <w:jc w:val="both"/>
              <w:rPr/>
            </w:pPr>
            <w:r>
              <w:rPr/>
              <w:t> </w:t>
            </w:r>
          </w:p>
        </w:tc>
        <w:tc>
          <w:tcPr>
            <w:tcW w:w="3546" w:type="dxa"/>
            <w:tcBorders/>
            <w:vAlign w:val="center"/>
          </w:tcPr>
          <w:p>
            <w:pPr>
              <w:pStyle w:val="TableContents"/>
              <w:pBdr>
                <w:bottom w:val="single" w:sz="6" w:space="1" w:color="000000"/>
              </w:pBdr>
              <w:bidi w:val="0"/>
              <w:spacing w:before="0" w:after="20"/>
              <w:jc w:val="both"/>
              <w:rPr>
                <w:rFonts w:ascii="Times New Roman" w:hAnsi="Times New Roman"/>
                <w:color w:val="000000"/>
                <w:sz w:val="24"/>
              </w:rPr>
            </w:pPr>
            <w:r>
              <w:rPr>
                <w:rFonts w:ascii="Times New Roman" w:hAnsi="Times New Roman"/>
                <w:color w:val="000000"/>
                <w:sz w:val="24"/>
              </w:rPr>
              <w:t>/s/ Jeremy Bender</w:t>
            </w:r>
          </w:p>
        </w:tc>
      </w:tr>
      <w:tr>
        <w:trPr/>
        <w:tc>
          <w:tcPr>
            <w:tcW w:w="119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Name: </w:t>
            </w:r>
          </w:p>
        </w:tc>
        <w:tc>
          <w:tcPr>
            <w:tcW w:w="214" w:type="dxa"/>
            <w:tcBorders/>
            <w:vAlign w:val="center"/>
          </w:tcPr>
          <w:p>
            <w:pPr>
              <w:pStyle w:val="TableContents"/>
              <w:bidi w:val="0"/>
              <w:spacing w:before="0" w:after="283"/>
              <w:jc w:val="both"/>
              <w:rPr/>
            </w:pPr>
            <w:r>
              <w:rPr/>
              <w:t> </w:t>
            </w:r>
          </w:p>
        </w:tc>
        <w:tc>
          <w:tcPr>
            <w:tcW w:w="3546"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Jeremy Bender</w:t>
            </w:r>
          </w:p>
        </w:tc>
      </w:tr>
      <w:tr>
        <w:trPr/>
        <w:tc>
          <w:tcPr>
            <w:tcW w:w="119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214" w:type="dxa"/>
            <w:tcBorders/>
            <w:vAlign w:val="center"/>
          </w:tcPr>
          <w:p>
            <w:pPr>
              <w:pStyle w:val="TableContents"/>
              <w:bidi w:val="0"/>
              <w:spacing w:before="0" w:after="283"/>
              <w:jc w:val="both"/>
              <w:rPr/>
            </w:pPr>
            <w:r>
              <w:rPr/>
              <w:t> </w:t>
            </w:r>
          </w:p>
        </w:tc>
        <w:tc>
          <w:tcPr>
            <w:tcW w:w="3546" w:type="dxa"/>
            <w:tcBorders/>
            <w:vAlign w:val="center"/>
          </w:tcPr>
          <w:p>
            <w:pPr>
              <w:pStyle w:val="TableContents"/>
              <w:bidi w:val="0"/>
              <w:jc w:val="both"/>
              <w:rPr>
                <w:rFonts w:ascii="Times New Roman" w:hAnsi="Times New Roman"/>
                <w:color w:val="000000"/>
                <w:sz w:val="24"/>
              </w:rPr>
            </w:pPr>
            <w:r>
              <w:rPr>
                <w:rFonts w:ascii="Times New Roman" w:hAnsi="Times New Roman"/>
                <w:color w:val="000000"/>
                <w:sz w:val="24"/>
              </w:rPr>
              <w:t>Chief Executive Officer</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Asset Purchase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bookmarkStart w:id="24" w:name="aa"/>
      <w:bookmarkEnd w:id="24"/>
      <w:r>
        <w:rPr>
          <w:rFonts w:ascii="Times New Roman" w:hAnsi="Times New Roman"/>
          <w:b/>
          <w:color w:val="000000"/>
          <w:sz w:val="24"/>
          <w:u w:val="single"/>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Approval Letter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[Copy to be attached]</w:t>
      </w:r>
    </w:p>
    <w:p>
      <w:pPr>
        <w:pStyle w:val="TextBody"/>
        <w:bidi w:val="0"/>
        <w:spacing w:before="0" w:after="24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center"/>
        <w:rPr>
          <w:rFonts w:ascii="Times New Roman" w:hAnsi="Times New Roman"/>
          <w:b/>
          <w:color w:val="000000"/>
          <w:sz w:val="24"/>
        </w:rPr>
      </w:pPr>
      <w:r>
        <w:rPr>
          <w:rFonts w:ascii="Times New Roman" w:hAnsi="Times New Roman"/>
          <w:b/>
          <w:color w:val="000000"/>
          <w:sz w:val="24"/>
        </w:rPr>
        <w:t>Viracta Payment and Release Letter</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[Copy to be Attached]</w:t>
      </w:r>
    </w:p>
    <w:p>
      <w:pPr>
        <w:pStyle w:val="TextBody"/>
        <w:bidi w:val="0"/>
        <w:jc w:val="center"/>
        <w:rPr/>
      </w:pPr>
      <w:r>
        <w:rPr/>
        <w:t> </w:t>
      </w:r>
    </w:p>
    <w:p>
      <w:pPr>
        <w:pStyle w:val="TextBody"/>
        <w:bidi w:val="0"/>
        <w:jc w:val="center"/>
        <w:rPr/>
      </w:pPr>
      <w:r>
        <w:rPr/>
        <w:t> </w:t>
      </w:r>
    </w:p>
    <w:p>
      <w:pPr>
        <w:pStyle w:val="TextBody"/>
        <w:bidi w:val="0"/>
        <w:spacing w:before="0" w:after="24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bookmarkStart w:id="25" w:name="twofourb"/>
      <w:bookmarkEnd w:id="25"/>
      <w:r>
        <w:rPr>
          <w:rFonts w:ascii="Times New Roman" w:hAnsi="Times New Roman"/>
          <w:b/>
          <w:color w:val="000000"/>
          <w:sz w:val="24"/>
          <w:u w:val="single"/>
        </w:rPr>
        <w:t>Exhibit 2.3(b)</w:t>
      </w:r>
    </w:p>
    <w:p>
      <w:pPr>
        <w:pStyle w:val="TextBody"/>
        <w:bidi w:val="0"/>
        <w:spacing w:before="0" w:after="240"/>
        <w:jc w:val="center"/>
        <w:rPr>
          <w:rFonts w:ascii="Times New Roman" w:hAnsi="Times New Roman"/>
          <w:sz w:val="20"/>
        </w:rPr>
      </w:pPr>
      <w:r>
        <w:rPr>
          <w:rFonts w:ascii="Times New Roman" w:hAnsi="Times New Roman"/>
          <w:b/>
          <w:color w:val="000000"/>
          <w:sz w:val="24"/>
        </w:rPr>
        <w:t>Form of Seller Cover Letter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[Day One Biopharmaceuticals, Inc. Letterhead]</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8"/>
        </w:rPr>
        <w:t>Priority Review Voucher Transfer</w:t>
      </w:r>
      <w:r>
        <w:rPr>
          <w:rFonts w:ascii="Times New Roman" w:hAnsi="Times New Roman"/>
          <w:color w:val="000000"/>
          <w:sz w:val="24"/>
        </w:rPr>
        <w:t>May __, 2024</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Ojemda (tovorafenib) Tablet</w:t>
      </w:r>
    </w:p>
    <w:p>
      <w:pPr>
        <w:pStyle w:val="TextBody"/>
        <w:bidi w:val="0"/>
        <w:jc w:val="left"/>
        <w:rPr>
          <w:rFonts w:ascii="Times New Roman" w:hAnsi="Times New Roman"/>
          <w:sz w:val="20"/>
        </w:rPr>
      </w:pPr>
      <w:r>
        <w:rPr>
          <w:rFonts w:ascii="Times New Roman" w:hAnsi="Times New Roman"/>
          <w:b/>
          <w:color w:val="000000"/>
          <w:sz w:val="24"/>
        </w:rPr>
        <w:t>NDA 217700, SN:[●]</w:t>
      </w:r>
      <w:r>
        <w:rPr>
          <w:rFonts w:ascii="Times New Roman" w:hAnsi="Times New Roman"/>
          <w:color w:val="000000"/>
          <w:sz w:val="2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Transfer of Rare Pediatric Disease Priority Review Voucher PRV NDA 217700</w:t>
      </w:r>
    </w:p>
    <w:p>
      <w:pPr>
        <w:pStyle w:val="TextBody"/>
        <w:bidi w:val="0"/>
        <w:jc w:val="both"/>
        <w:rPr/>
      </w:pPr>
      <w:r>
        <w:rPr/>
        <w:t> </w:t>
      </w:r>
    </w:p>
    <w:p>
      <w:pPr>
        <w:pStyle w:val="TextBody"/>
        <w:bidi w:val="0"/>
        <w:spacing w:before="120" w:after="120"/>
        <w:jc w:val="both"/>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4"/>
        </w:rPr>
        <w:t>Dear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Reference is made to the New Drug Application (NDA) 217700, the approval letter dated April 23, 2024 (the “</w:t>
      </w:r>
      <w:r>
        <w:rPr>
          <w:rFonts w:ascii="Times New Roman" w:hAnsi="Times New Roman"/>
          <w:b/>
          <w:i/>
          <w:color w:val="000000"/>
          <w:sz w:val="24"/>
        </w:rPr>
        <w:t>Approval Letter</w:t>
      </w:r>
      <w:r>
        <w:rPr>
          <w:rFonts w:ascii="Times New Roman" w:hAnsi="Times New Roman"/>
          <w:color w:val="000000"/>
          <w:sz w:val="20"/>
        </w:rPr>
        <w:t>”</w:t>
      </w:r>
      <w:r>
        <w:rPr>
          <w:rFonts w:ascii="Times New Roman" w:hAnsi="Times New Roman"/>
          <w:color w:val="000000"/>
          <w:sz w:val="24"/>
        </w:rPr>
        <w:t>) (Ref ID: 5368906) reflecting the grant of the Rare Pediatric Disease Priority Review Voucher PRV NDA 217700 (the “</w:t>
      </w:r>
      <w:r>
        <w:rPr>
          <w:rFonts w:ascii="Times New Roman" w:hAnsi="Times New Roman"/>
          <w:b/>
          <w:i/>
          <w:color w:val="000000"/>
          <w:sz w:val="24"/>
        </w:rPr>
        <w:t>Voucher</w:t>
      </w:r>
      <w:r>
        <w:rPr>
          <w:rFonts w:ascii="Times New Roman" w:hAnsi="Times New Roman"/>
          <w:color w:val="000000"/>
          <w:sz w:val="20"/>
        </w:rPr>
        <w:t>”</w:t>
      </w:r>
      <w:r>
        <w:rPr>
          <w:rFonts w:ascii="Times New Roman" w:hAnsi="Times New Roman"/>
          <w:color w:val="000000"/>
          <w:sz w:val="24"/>
        </w:rPr>
        <w:t>) to Day One Biopharmaceuticals, Inc. (“Day One”) in connection with the U.S. Food and Drug Administration’s (“FDA’s”) approval of New Drug Application Number 217700 for Ojemda (tovorafenib) Tablet.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Please be advised that, effective as of May __, 2024, Day One has transferred complete ownership of the Voucher to [*], and [*] has legally accepted complete ownership of the Voucher from Day One. Day One and [*] have exchanged letters acknowledging the transfer, copies of which are enclosed herein.</w:t>
      </w:r>
    </w:p>
    <w:p>
      <w:pPr>
        <w:pStyle w:val="TextBody"/>
        <w:bidi w:val="0"/>
        <w:jc w:val="both"/>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If you have any questions or need clarification regarding this submission, please do not hesitate to contact me using the following information: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jc w:val="both"/>
        <w:rPr>
          <w:rFonts w:ascii="Times New Roman" w:hAnsi="Times New Roman"/>
          <w:color w:val="000000"/>
          <w:sz w:val="24"/>
        </w:rPr>
      </w:pPr>
      <w:r>
        <w:rPr>
          <w:rFonts w:ascii="Times New Roman" w:hAnsi="Times New Roman"/>
          <w:color w:val="000000"/>
          <w:sz w:val="24"/>
        </w:rPr>
        <w:t>Office: [*]</w:t>
      </w:r>
    </w:p>
    <w:p>
      <w:pPr>
        <w:pStyle w:val="TextBody"/>
        <w:bidi w:val="0"/>
        <w:jc w:val="both"/>
        <w:rPr>
          <w:rFonts w:ascii="Times New Roman" w:hAnsi="Times New Roman"/>
          <w:color w:val="000000"/>
          <w:sz w:val="24"/>
        </w:rPr>
      </w:pPr>
      <w:r>
        <w:rPr>
          <w:rFonts w:ascii="Times New Roman" w:hAnsi="Times New Roman"/>
          <w:color w:val="000000"/>
          <w:sz w:val="24"/>
        </w:rPr>
        <w:t>Cell: [*]</w:t>
      </w:r>
    </w:p>
    <w:p>
      <w:pPr>
        <w:pStyle w:val="TextBody"/>
        <w:bidi w:val="0"/>
        <w:spacing w:before="120" w:after="120"/>
        <w:jc w:val="both"/>
        <w:rPr/>
      </w:pPr>
      <w:r>
        <w:rPr/>
        <w:t> </w:t>
      </w:r>
    </w:p>
    <w:p>
      <w:pPr>
        <w:pStyle w:val="TextBody"/>
        <w:bidi w:val="0"/>
        <w:spacing w:before="120" w:after="120"/>
        <w:jc w:val="both"/>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w:t>
        <w:br/>
        <w:t>Sr. Director Regulatory Science</w:t>
      </w:r>
    </w:p>
    <w:p>
      <w:pPr>
        <w:pStyle w:val="TextBody"/>
        <w:bidi w:val="0"/>
        <w:jc w:val="left"/>
        <w:rPr>
          <w:rFonts w:ascii="Times New Roman" w:hAnsi="Times New Roman"/>
          <w:color w:val="000000"/>
          <w:sz w:val="24"/>
        </w:rPr>
      </w:pPr>
      <w:r>
        <w:rPr>
          <w:rFonts w:ascii="Times New Roman" w:hAnsi="Times New Roman"/>
          <w:color w:val="000000"/>
          <w:sz w:val="24"/>
        </w:rPr>
        <w:t>Day One Biopharmaceuticals, Inc.</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00"/>
        <w:jc w:val="center"/>
        <w:rPr>
          <w:rFonts w:ascii="Times New Roman" w:hAnsi="Times New Roman"/>
          <w:b/>
          <w:color w:val="000000"/>
          <w:sz w:val="24"/>
          <w:u w:val="single"/>
        </w:rPr>
      </w:pPr>
      <w:bookmarkStart w:id="26" w:name="twofivea"/>
      <w:bookmarkEnd w:id="26"/>
      <w:r>
        <w:rPr>
          <w:rFonts w:ascii="Times New Roman" w:hAnsi="Times New Roman"/>
          <w:b/>
          <w:color w:val="000000"/>
          <w:sz w:val="24"/>
          <w:u w:val="single"/>
        </w:rPr>
        <w:t>Exhibit 2.4(a)</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Form of Bill of Sale</w:t>
      </w:r>
    </w:p>
    <w:p>
      <w:pPr>
        <w:pStyle w:val="TextBody"/>
        <w:bidi w:val="0"/>
        <w:spacing w:before="0" w:after="200"/>
        <w:jc w:val="center"/>
        <w:rPr>
          <w:rFonts w:ascii="Times New Roman" w:hAnsi="Times New Roman"/>
          <w:b/>
          <w:caps/>
          <w:color w:val="000000"/>
          <w:sz w:val="24"/>
        </w:rPr>
      </w:pPr>
      <w:r>
        <w:rPr>
          <w:rFonts w:ascii="Times New Roman" w:hAnsi="Times New Roman"/>
          <w:b/>
          <w:caps/>
          <w:color w:val="000000"/>
          <w:sz w:val="24"/>
        </w:rPr>
        <w:t>BILL OF SALE</w:t>
      </w:r>
    </w:p>
    <w:p>
      <w:pPr>
        <w:pStyle w:val="TextBody"/>
        <w:bidi w:val="0"/>
        <w:spacing w:before="0" w:after="200"/>
        <w:jc w:val="both"/>
        <w:rPr>
          <w:rFonts w:ascii="Times New Roman" w:hAnsi="Times New Roman"/>
          <w:sz w:val="20"/>
        </w:rPr>
      </w:pPr>
      <w:r>
        <w:rPr>
          <w:rFonts w:ascii="Times New Roman" w:hAnsi="Times New Roman"/>
          <w:color w:val="000000"/>
          <w:sz w:val="24"/>
        </w:rPr>
        <w:t>This BILL OF SALE (the “</w:t>
      </w:r>
      <w:r>
        <w:rPr>
          <w:rFonts w:ascii="Times New Roman" w:hAnsi="Times New Roman"/>
          <w:b/>
          <w:i/>
          <w:color w:val="000000"/>
          <w:sz w:val="24"/>
        </w:rPr>
        <w:t>Bill of Sale</w:t>
      </w:r>
      <w:r>
        <w:rPr>
          <w:rFonts w:ascii="Times New Roman" w:hAnsi="Times New Roman"/>
          <w:color w:val="000000"/>
          <w:sz w:val="20"/>
        </w:rPr>
        <w:t>”</w:t>
      </w:r>
      <w:r>
        <w:rPr>
          <w:rFonts w:ascii="Times New Roman" w:hAnsi="Times New Roman"/>
          <w:color w:val="000000"/>
          <w:sz w:val="24"/>
        </w:rPr>
        <w:t>) is made and entered into as ofMay 29, 2024, by and between [*]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and Day One Biopharmaceuticals, Inc., a Delaware corporation (“</w:t>
      </w:r>
      <w:r>
        <w:rPr>
          <w:rFonts w:ascii="Times New Roman" w:hAnsi="Times New Roman"/>
          <w:b/>
          <w:i/>
          <w:color w:val="000000"/>
          <w:sz w:val="24"/>
        </w:rPr>
        <w:t>Seller</w:t>
      </w:r>
      <w:r>
        <w:rPr>
          <w:rFonts w:ascii="Times New Roman" w:hAnsi="Times New Roman"/>
          <w:color w:val="000000"/>
          <w:sz w:val="20"/>
        </w:rPr>
        <w:t>”</w:t>
      </w:r>
      <w:r>
        <w:rPr>
          <w:rFonts w:ascii="Times New Roman" w:hAnsi="Times New Roman"/>
          <w:color w:val="000000"/>
          <w:sz w:val="24"/>
        </w:rPr>
        <w:t>). Buyer and Seller may hereinafter be referred to individually as a “</w:t>
      </w:r>
      <w:r>
        <w:rPr>
          <w:rFonts w:ascii="Times New Roman" w:hAnsi="Times New Roman"/>
          <w:b/>
          <w:i/>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 Reference is made to that certain Asset Purchase Agreement, dated as of May 29, 2024 by and between the Parties (the “</w:t>
      </w:r>
      <w:r>
        <w:rPr>
          <w:rFonts w:ascii="Times New Roman" w:hAnsi="Times New Roman"/>
          <w:b/>
          <w:i/>
          <w:color w:val="000000"/>
          <w:sz w:val="24"/>
        </w:rPr>
        <w:t>Purchase Agreement</w:t>
      </w:r>
      <w:r>
        <w:rPr>
          <w:rFonts w:ascii="Times New Roman" w:hAnsi="Times New Roman"/>
          <w:color w:val="000000"/>
          <w:sz w:val="20"/>
        </w:rPr>
        <w:t>”</w:t>
      </w:r>
      <w:r>
        <w:rPr>
          <w:rFonts w:ascii="Times New Roman" w:hAnsi="Times New Roman"/>
          <w:color w:val="000000"/>
          <w:sz w:val="24"/>
        </w:rPr>
        <w:t>). Capitalized terms used but not otherwise defined herein shall have the meanings assigned to them in the Purchase Agreement.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WHEREAS, the Parties have entered into the Purchase Agreement, pursuant to which Seller has agreed to sell to Buyer, and Buyer has agreed to purchase from Seller, upon the terms and conditions set forth in the Purchase Agreement, all right, title, and interest of Seller in and to the Purchased Assets.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NOW, THEREFORE, in consideration of the premises and covenants hereinafter contained and the representations, warranties, and covenants contained in the Purchase Agreement, for good and valuable consideration, the receipt and sufficiency of which are hereby acknowledged, Buyer and Seller, intending to be legally bound, hereby agree as follows: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Effective Time</w:t>
      </w:r>
      <w:r>
        <w:rPr>
          <w:rFonts w:ascii="Times New Roman" w:hAnsi="Times New Roman"/>
          <w:color w:val="000000"/>
          <w:sz w:val="24"/>
        </w:rPr>
        <w:t>. This Bill of Sale shall be effective as of the Effective Date.</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Transfer of the Purchased Assets</w:t>
      </w:r>
      <w:r>
        <w:rPr>
          <w:rFonts w:ascii="Times New Roman" w:hAnsi="Times New Roman"/>
          <w:color w:val="000000"/>
          <w:sz w:val="24"/>
        </w:rPr>
        <w:t>. Effective as of the Effective Date, pursuant to the terms and subject to the conditions of the Purchase Agreement, Seller (on behalf of itself and its Affiliates) hereby irrevocably sells, assigns, transfers, conveys and delivers to Buyer and its successors and its assigns, and Buyer hereby does purchase from Seller, all of Seller’s and its Affiliates’ right, title and interest in and to the Purchased Assets (including the Priority Review Voucher), in each case free and clear of all Encumbrances.</w:t>
      </w:r>
    </w:p>
    <w:p>
      <w:pPr>
        <w:pStyle w:val="TextBody"/>
        <w:bidi w:val="0"/>
        <w:spacing w:before="0" w:after="200"/>
        <w:jc w:val="both"/>
        <w:rPr>
          <w:rFonts w:ascii="Times New Roman" w:hAnsi="Times New Roman"/>
          <w:sz w:val="20"/>
        </w:rPr>
      </w:pPr>
      <w:r>
        <w:rPr>
          <w:rFonts w:ascii="Times New Roman" w:hAnsi="Times New Roman"/>
          <w:color w:val="000000"/>
          <w:sz w:val="24"/>
          <w:u w:val="single"/>
        </w:rPr>
        <w:t>3. Binding Effect; Amendments</w:t>
      </w:r>
      <w:r>
        <w:rPr>
          <w:rFonts w:ascii="Times New Roman" w:hAnsi="Times New Roman"/>
          <w:color w:val="000000"/>
          <w:sz w:val="24"/>
        </w:rPr>
        <w:t>. This Bill of Sale shall be binding upon, inure to the benefit of, and be enforceable by, the Parties and their respective legal representatives, successors and permitted assigns. Neither this Bill of Sale, nor any term or provision hereof, may be amended, modified, superseded, or cancelled except by an instrument in writing signed by each Party hereto.</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Governing Law</w:t>
      </w:r>
      <w:r>
        <w:rPr>
          <w:rFonts w:ascii="Times New Roman" w:hAnsi="Times New Roman"/>
          <w:color w:val="000000"/>
          <w:sz w:val="24"/>
        </w:rPr>
        <w:t xml:space="preserve">. This Bill of Sale or the performance, enforcement, breach or termination hereof shall be interpreted, and governed by the rules set forth in </w:t>
      </w:r>
      <w:r>
        <w:rPr>
          <w:rFonts w:ascii="Times New Roman" w:hAnsi="Times New Roman"/>
          <w:color w:val="000000"/>
          <w:sz w:val="24"/>
          <w:u w:val="single"/>
        </w:rPr>
        <w:t>Sections 7.7</w:t>
      </w:r>
      <w:r>
        <w:rPr>
          <w:rFonts w:ascii="Times New Roman" w:hAnsi="Times New Roman"/>
          <w:color w:val="000000"/>
          <w:sz w:val="24"/>
        </w:rPr>
        <w:t xml:space="preserve">, </w:t>
      </w:r>
      <w:r>
        <w:rPr>
          <w:rFonts w:ascii="Times New Roman" w:hAnsi="Times New Roman"/>
          <w:color w:val="000000"/>
          <w:sz w:val="24"/>
          <w:u w:val="single"/>
        </w:rPr>
        <w:t>7.8</w:t>
      </w:r>
      <w:r>
        <w:rPr>
          <w:rFonts w:ascii="Times New Roman" w:hAnsi="Times New Roman"/>
          <w:color w:val="000000"/>
          <w:sz w:val="24"/>
        </w:rPr>
        <w:t xml:space="preserve">, and </w:t>
      </w:r>
      <w:r>
        <w:rPr>
          <w:rFonts w:ascii="Times New Roman" w:hAnsi="Times New Roman"/>
          <w:color w:val="000000"/>
          <w:sz w:val="24"/>
          <w:u w:val="single"/>
        </w:rPr>
        <w:t>7.9</w:t>
      </w:r>
      <w:r>
        <w:rPr>
          <w:rFonts w:ascii="Times New Roman" w:hAnsi="Times New Roman"/>
          <w:color w:val="000000"/>
          <w:sz w:val="20"/>
        </w:rPr>
        <w:t xml:space="preserve"> </w:t>
      </w:r>
      <w:r>
        <w:rPr>
          <w:rFonts w:ascii="Times New Roman" w:hAnsi="Times New Roman"/>
          <w:color w:val="000000"/>
          <w:sz w:val="24"/>
        </w:rPr>
        <w:t>of the Purchase Agreement. In the event of any conflict between the terms of this Bill of Sale and the Purchase Agreement, the Purchase Agreement shall control.</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Counterparts</w:t>
      </w:r>
      <w:r>
        <w:rPr>
          <w:rFonts w:ascii="Times New Roman" w:hAnsi="Times New Roman"/>
          <w:color w:val="000000"/>
          <w:sz w:val="24"/>
        </w:rPr>
        <w:t>. This Bill of Sale may be executed in two (2) or more counterparts, each of which shall be deemed an original, but all of which together shall constitute one (1) and the same instrument. This Bill of Sale may be executed by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electronically transmitted signatures and such signatures shall be deemed to bind each Party hereto as if they were original signatures.</w:t>
      </w:r>
    </w:p>
    <w:p>
      <w:pPr>
        <w:pStyle w:val="TextBody"/>
        <w:bidi w:val="0"/>
        <w:spacing w:before="600" w:after="240"/>
        <w:jc w:val="center"/>
        <w:rPr>
          <w:rFonts w:ascii="Times New Roman" w:hAnsi="Times New Roman"/>
          <w:caps/>
          <w:color w:val="000000"/>
          <w:sz w:val="24"/>
        </w:rPr>
      </w:pPr>
      <w:r>
        <w:rPr>
          <w:rFonts w:ascii="Times New Roman" w:hAnsi="Times New Roman"/>
          <w:caps/>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each of Buyer and Seller has caused this Bill of Sale to be executed and delivered by their respective officers thereunto duly authorized, all as of the date first written above.</w:t>
      </w:r>
    </w:p>
    <w:tbl>
      <w:tblPr>
        <w:tblW w:w="1704" w:type="dxa"/>
        <w:jc w:val="left"/>
        <w:tblInd w:w="0" w:type="dxa"/>
        <w:tblLayout w:type="fixed"/>
        <w:tblCellMar>
          <w:top w:w="28" w:type="dxa"/>
          <w:left w:w="28" w:type="dxa"/>
          <w:bottom w:w="28" w:type="dxa"/>
          <w:right w:w="28" w:type="dxa"/>
        </w:tblCellMar>
      </w:tblPr>
      <w:tblGrid>
        <w:gridCol w:w="991"/>
        <w:gridCol w:w="146"/>
        <w:gridCol w:w="146"/>
        <w:gridCol w:w="42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both"/>
              <w:rPr>
                <w:rFonts w:ascii="Times New Roman" w:hAnsi="Times New Roman"/>
                <w:b/>
                <w:color w:val="000000"/>
                <w:sz w:val="24"/>
                <w:u w:val="single"/>
              </w:rPr>
            </w:pPr>
            <w:r>
              <w:rPr>
                <w:rFonts w:ascii="Times New Roman" w:hAnsi="Times New Roman"/>
                <w:b/>
                <w:color w:val="000000"/>
                <w:sz w:val="24"/>
                <w:u w:val="single"/>
              </w:rPr>
              <w:t>BUYER</w:t>
            </w:r>
          </w:p>
        </w:tc>
        <w:tc>
          <w:tcPr>
            <w:tcW w:w="146" w:type="dxa"/>
            <w:tcBorders/>
            <w:vAlign w:val="center"/>
          </w:tcPr>
          <w:p>
            <w:pPr>
              <w:pStyle w:val="TableContents"/>
              <w:bidi w:val="0"/>
              <w:spacing w:before="0" w:after="283"/>
              <w:jc w:val="both"/>
              <w:rPr/>
            </w:pPr>
            <w:r>
              <w:rPr/>
              <w:t> </w:t>
            </w:r>
          </w:p>
        </w:tc>
        <w:tc>
          <w:tcPr>
            <w:tcW w:w="567" w:type="dxa"/>
            <w:gridSpan w:val="2"/>
            <w:tcBorders/>
            <w:vAlign w:val="center"/>
          </w:tcPr>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r>
        <w:trPr/>
        <w:tc>
          <w:tcPr>
            <w:tcW w:w="1704" w:type="dxa"/>
            <w:gridSpan w:val="4"/>
            <w:tcBorders/>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w:t>
            </w:r>
          </w:p>
        </w:tc>
      </w:tr>
      <w:tr>
        <w:trPr/>
        <w:tc>
          <w:tcPr>
            <w:tcW w:w="1137" w:type="dxa"/>
            <w:gridSpan w:val="2"/>
            <w:tcBorders/>
            <w:vAlign w:val="center"/>
          </w:tcPr>
          <w:p>
            <w:pPr>
              <w:pStyle w:val="TableContents"/>
              <w:bidi w:val="0"/>
              <w:spacing w:before="0" w:after="283"/>
              <w:jc w:val="both"/>
              <w:rPr/>
            </w:pPr>
            <w:r>
              <w:rPr/>
              <w:t> </w:t>
            </w:r>
          </w:p>
        </w:tc>
        <w:tc>
          <w:tcPr>
            <w:tcW w:w="567" w:type="dxa"/>
            <w:gridSpan w:val="2"/>
            <w:tcBorders/>
            <w:vAlign w:val="center"/>
          </w:tcPr>
          <w:p>
            <w:pPr>
              <w:pStyle w:val="TableContents"/>
              <w:bidi w:val="0"/>
              <w:spacing w:before="0" w:after="283"/>
              <w:jc w:val="both"/>
              <w:rPr/>
            </w:pPr>
            <w:r>
              <w:rPr/>
              <w:t> </w:t>
            </w:r>
          </w:p>
        </w:tc>
      </w:tr>
      <w:tr>
        <w:trPr/>
        <w:tc>
          <w:tcPr>
            <w:tcW w:w="1137" w:type="dxa"/>
            <w:gridSpan w:val="2"/>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pBdr>
                <w:bottom w:val="single" w:sz="6" w:space="1" w:color="000000"/>
              </w:pBdr>
              <w:bidi w:val="0"/>
              <w:spacing w:before="0" w:after="20"/>
              <w:jc w:val="both"/>
              <w:rPr/>
            </w:pPr>
            <w:r>
              <w:rPr/>
              <w:t> </w:t>
            </w:r>
          </w:p>
        </w:tc>
      </w:tr>
      <w:tr>
        <w:trPr/>
        <w:tc>
          <w:tcPr>
            <w:tcW w:w="1137" w:type="dxa"/>
            <w:gridSpan w:val="2"/>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t>
            </w:r>
          </w:p>
        </w:tc>
      </w:tr>
      <w:tr>
        <w:trPr/>
        <w:tc>
          <w:tcPr>
            <w:tcW w:w="1137" w:type="dxa"/>
            <w:gridSpan w:val="2"/>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146"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t>
            </w:r>
          </w:p>
        </w:tc>
      </w:tr>
    </w:tbl>
    <w:p>
      <w:pPr>
        <w:pStyle w:val="TextBody"/>
        <w:bidi w:val="0"/>
        <w:spacing w:before="0" w:after="480"/>
        <w:jc w:val="both"/>
        <w:rPr/>
      </w:pPr>
      <w:r>
        <w:rPr/>
        <w:t> </w:t>
      </w:r>
    </w:p>
    <w:tbl>
      <w:tblPr>
        <w:tblW w:w="4949" w:type="dxa"/>
        <w:jc w:val="left"/>
        <w:tblInd w:w="0" w:type="dxa"/>
        <w:tblLayout w:type="fixed"/>
        <w:tblCellMar>
          <w:top w:w="28" w:type="dxa"/>
          <w:left w:w="28" w:type="dxa"/>
          <w:bottom w:w="28" w:type="dxa"/>
          <w:right w:w="28" w:type="dxa"/>
        </w:tblCellMar>
      </w:tblPr>
      <w:tblGrid>
        <w:gridCol w:w="1483"/>
        <w:gridCol w:w="197"/>
        <w:gridCol w:w="3269"/>
      </w:tblGrid>
      <w:tr>
        <w:trPr/>
        <w:tc>
          <w:tcPr>
            <w:tcW w:w="14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1483" w:type="dxa"/>
            <w:tcBorders/>
            <w:vAlign w:val="center"/>
          </w:tcPr>
          <w:p>
            <w:pPr>
              <w:pStyle w:val="TableContents"/>
              <w:bidi w:val="0"/>
              <w:spacing w:before="0" w:after="283"/>
              <w:jc w:val="both"/>
              <w:rPr>
                <w:rFonts w:ascii="Times New Roman" w:hAnsi="Times New Roman"/>
                <w:b/>
                <w:color w:val="000000"/>
                <w:sz w:val="24"/>
                <w:u w:val="single"/>
              </w:rPr>
            </w:pPr>
            <w:r>
              <w:rPr>
                <w:rFonts w:ascii="Times New Roman" w:hAnsi="Times New Roman"/>
                <w:b/>
                <w:color w:val="000000"/>
                <w:sz w:val="24"/>
                <w:u w:val="single"/>
              </w:rPr>
              <w:t>SELLER</w:t>
            </w:r>
          </w:p>
        </w:tc>
        <w:tc>
          <w:tcPr>
            <w:tcW w:w="197" w:type="dxa"/>
            <w:tcBorders/>
            <w:vAlign w:val="center"/>
          </w:tcPr>
          <w:p>
            <w:pPr>
              <w:pStyle w:val="TableContents"/>
              <w:bidi w:val="0"/>
              <w:spacing w:before="0" w:after="283"/>
              <w:jc w:val="both"/>
              <w:rPr/>
            </w:pPr>
            <w:r>
              <w:rPr/>
              <w:t> </w:t>
            </w:r>
          </w:p>
        </w:tc>
        <w:tc>
          <w:tcPr>
            <w:tcW w:w="3269" w:type="dxa"/>
            <w:tcBorders/>
            <w:vAlign w:val="center"/>
          </w:tcPr>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r>
        <w:trPr/>
        <w:tc>
          <w:tcPr>
            <w:tcW w:w="4949" w:type="dxa"/>
            <w:gridSpan w:val="3"/>
            <w:tcBorders/>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DAY ONE BIOPHARMACEUTICALS, INC.</w:t>
            </w:r>
          </w:p>
        </w:tc>
      </w:tr>
      <w:tr>
        <w:trPr/>
        <w:tc>
          <w:tcPr>
            <w:tcW w:w="1483" w:type="dxa"/>
            <w:tcBorders/>
            <w:vAlign w:val="center"/>
          </w:tcPr>
          <w:p>
            <w:pPr>
              <w:pStyle w:val="TableContents"/>
              <w:bidi w:val="0"/>
              <w:spacing w:before="0" w:after="283"/>
              <w:jc w:val="both"/>
              <w:rPr/>
            </w:pPr>
            <w:r>
              <w:rPr/>
              <w:t> </w:t>
            </w:r>
          </w:p>
        </w:tc>
        <w:tc>
          <w:tcPr>
            <w:tcW w:w="3466" w:type="dxa"/>
            <w:gridSpan w:val="2"/>
            <w:tcBorders/>
            <w:vAlign w:val="center"/>
          </w:tcPr>
          <w:p>
            <w:pPr>
              <w:pStyle w:val="TableContents"/>
              <w:bidi w:val="0"/>
              <w:spacing w:before="0" w:after="283"/>
              <w:jc w:val="both"/>
              <w:rPr/>
            </w:pPr>
            <w:r>
              <w:rPr/>
              <w:t> </w:t>
            </w:r>
          </w:p>
        </w:tc>
      </w:tr>
      <w:tr>
        <w:trPr/>
        <w:tc>
          <w:tcPr>
            <w:tcW w:w="1483"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97" w:type="dxa"/>
            <w:tcBorders/>
            <w:vAlign w:val="center"/>
          </w:tcPr>
          <w:p>
            <w:pPr>
              <w:pStyle w:val="TableContents"/>
              <w:bidi w:val="0"/>
              <w:spacing w:before="0" w:after="283"/>
              <w:jc w:val="both"/>
              <w:rPr/>
            </w:pPr>
            <w:r>
              <w:rPr/>
              <w:t> </w:t>
            </w:r>
          </w:p>
        </w:tc>
        <w:tc>
          <w:tcPr>
            <w:tcW w:w="3269" w:type="dxa"/>
            <w:tcBorders/>
            <w:vAlign w:val="center"/>
          </w:tcPr>
          <w:p>
            <w:pPr>
              <w:pStyle w:val="TableContents"/>
              <w:pBdr>
                <w:bottom w:val="single" w:sz="6" w:space="1" w:color="000000"/>
              </w:pBdr>
              <w:bidi w:val="0"/>
              <w:spacing w:before="0" w:after="20"/>
              <w:jc w:val="both"/>
              <w:rPr>
                <w:rFonts w:ascii="Times New Roman" w:hAnsi="Times New Roman"/>
                <w:color w:val="000000"/>
                <w:sz w:val="24"/>
              </w:rPr>
            </w:pPr>
            <w:r>
              <w:rPr>
                <w:rFonts w:ascii="Times New Roman" w:hAnsi="Times New Roman"/>
                <w:color w:val="000000"/>
                <w:sz w:val="24"/>
              </w:rPr>
              <w:t>/s/ Jeremy Bender</w:t>
            </w:r>
          </w:p>
        </w:tc>
      </w:tr>
      <w:tr>
        <w:trPr/>
        <w:tc>
          <w:tcPr>
            <w:tcW w:w="1483"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197" w:type="dxa"/>
            <w:tcBorders/>
            <w:vAlign w:val="center"/>
          </w:tcPr>
          <w:p>
            <w:pPr>
              <w:pStyle w:val="TableContents"/>
              <w:bidi w:val="0"/>
              <w:spacing w:before="0" w:after="283"/>
              <w:jc w:val="both"/>
              <w:rPr/>
            </w:pPr>
            <w:r>
              <w:rPr/>
              <w:t> </w:t>
            </w:r>
          </w:p>
        </w:tc>
        <w:tc>
          <w:tcPr>
            <w:tcW w:w="3269"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Jeremy Bender</w:t>
            </w:r>
          </w:p>
        </w:tc>
      </w:tr>
      <w:tr>
        <w:trPr/>
        <w:tc>
          <w:tcPr>
            <w:tcW w:w="1483"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197" w:type="dxa"/>
            <w:tcBorders/>
            <w:vAlign w:val="center"/>
          </w:tcPr>
          <w:p>
            <w:pPr>
              <w:pStyle w:val="TableContents"/>
              <w:bidi w:val="0"/>
              <w:spacing w:before="0" w:after="283"/>
              <w:jc w:val="both"/>
              <w:rPr/>
            </w:pPr>
            <w:r>
              <w:rPr/>
              <w:t> </w:t>
            </w:r>
          </w:p>
        </w:tc>
        <w:tc>
          <w:tcPr>
            <w:tcW w:w="3269"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Bill of Sale</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480" w:after="240"/>
        <w:jc w:val="center"/>
        <w:rPr>
          <w:rFonts w:ascii="Times New Roman" w:hAnsi="Times New Roman"/>
          <w:b/>
          <w:color w:val="000000"/>
          <w:sz w:val="24"/>
          <w:u w:val="single"/>
        </w:rPr>
      </w:pPr>
      <w:bookmarkStart w:id="27" w:name="twofiveb"/>
      <w:bookmarkEnd w:id="27"/>
      <w:r>
        <w:rPr>
          <w:rFonts w:ascii="Times New Roman" w:hAnsi="Times New Roman"/>
          <w:b/>
          <w:color w:val="000000"/>
          <w:sz w:val="24"/>
          <w:u w:val="single"/>
        </w:rPr>
        <w:t>Exhibit 2.4(b)</w:t>
      </w:r>
    </w:p>
    <w:p>
      <w:pPr>
        <w:pStyle w:val="TextBody"/>
        <w:bidi w:val="0"/>
        <w:jc w:val="center"/>
        <w:rPr>
          <w:rFonts w:ascii="Times New Roman" w:hAnsi="Times New Roman"/>
          <w:b/>
          <w:color w:val="000000"/>
          <w:sz w:val="24"/>
        </w:rPr>
      </w:pPr>
      <w:r>
        <w:rPr>
          <w:rFonts w:ascii="Times New Roman" w:hAnsi="Times New Roman"/>
          <w:b/>
          <w:color w:val="000000"/>
          <w:sz w:val="24"/>
        </w:rPr>
        <w:t>Form of Seller PRV Transfer Letter</w:t>
      </w:r>
    </w:p>
    <w:p>
      <w:pPr>
        <w:pStyle w:val="TextBody"/>
        <w:bidi w:val="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[Day One Biopharmaceuticals, Inc. Letterhead]</w:t>
      </w:r>
    </w:p>
    <w:p>
      <w:pPr>
        <w:pStyle w:val="TextBody"/>
        <w:bidi w:val="0"/>
        <w:jc w:val="both"/>
        <w:rPr>
          <w:rFonts w:ascii="Times New Roman" w:hAnsi="Times New Roman"/>
          <w:color w:val="000000"/>
          <w:sz w:val="24"/>
        </w:rPr>
      </w:pPr>
      <w:r>
        <w:rPr>
          <w:rFonts w:ascii="Times New Roman" w:hAnsi="Times New Roman"/>
          <w:color w:val="000000"/>
          <w:sz w:val="24"/>
        </w:rPr>
        <w:t>May 29, 2024</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 NDA 217700 – Transfer of Rare Pediatric Disease Priority Review Voucher PRV NDA 217700 (the “</w:t>
      </w:r>
      <w:r>
        <w:rPr>
          <w:rFonts w:ascii="Times New Roman" w:hAnsi="Times New Roman"/>
          <w:b/>
          <w:i/>
          <w:color w:val="000000"/>
          <w:sz w:val="24"/>
        </w:rPr>
        <w:t>Voucher</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Dear Sir or Madam: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Reference is made to the above-referenced NDA approval letter dated April 23, 2024 reflecting the grant of the Voucher to Day One Biopharmaceuticals, Inc. (“</w:t>
      </w:r>
      <w:r>
        <w:rPr>
          <w:rFonts w:ascii="Times New Roman" w:hAnsi="Times New Roman"/>
          <w:b/>
          <w:i/>
          <w:color w:val="000000"/>
          <w:sz w:val="24"/>
        </w:rPr>
        <w:t>Seller</w:t>
      </w:r>
      <w:r>
        <w:rPr>
          <w:rFonts w:ascii="Times New Roman" w:hAnsi="Times New Roman"/>
          <w:color w:val="000000"/>
          <w:sz w:val="20"/>
        </w:rPr>
        <w:t>”</w:t>
      </w:r>
      <w:r>
        <w:rPr>
          <w:rFonts w:ascii="Times New Roman" w:hAnsi="Times New Roman"/>
          <w:color w:val="000000"/>
          <w:sz w:val="24"/>
        </w:rPr>
        <w:t>) in connection with the U.S. Food and Drug Administration’s (“FDA’s”) approval of New Drug Application Number 217700 for Ojemda (tovorafenib) Tablet.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Seller hereby irrevocably transfers ownership of the Voucher to [*] (“</w:t>
      </w:r>
      <w:r>
        <w:rPr>
          <w:rFonts w:ascii="Times New Roman" w:hAnsi="Times New Roman"/>
          <w:b/>
          <w:color w:val="000000"/>
          <w:sz w:val="24"/>
        </w:rPr>
        <w:t>Buyer</w:t>
      </w:r>
      <w:r>
        <w:rPr>
          <w:rFonts w:ascii="Times New Roman" w:hAnsi="Times New Roman"/>
          <w:color w:val="000000"/>
          <w:sz w:val="20"/>
        </w:rPr>
        <w:t>”</w:t>
      </w:r>
      <w:r>
        <w:rPr>
          <w:rFonts w:ascii="Times New Roman" w:hAnsi="Times New Roman"/>
          <w:color w:val="000000"/>
          <w:sz w:val="24"/>
        </w:rPr>
        <w:t>), and Buyer has legally accepted complete ownership of the Voucher from Seller.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letter of transfer will be presented to the FDA by, or on behalf of, Buyer as evidence that Seller has transferred the Voucher to Buyer. Together with the acknowledgment of transfer letter from Buyer to Seller dated May 29, 2024, these letters serve as a complete record of transfer of the Voucher from Seller to Buyer.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Sincerely,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Sr. Director, Regulatory Science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2.5(d)</w:t>
      </w:r>
    </w:p>
    <w:p>
      <w:pPr>
        <w:pStyle w:val="TextBody"/>
        <w:bidi w:val="0"/>
        <w:jc w:val="center"/>
        <w:rPr>
          <w:rFonts w:ascii="Times New Roman" w:hAnsi="Times New Roman"/>
          <w:b/>
          <w:color w:val="000000"/>
          <w:sz w:val="24"/>
        </w:rPr>
      </w:pPr>
      <w:r>
        <w:rPr>
          <w:rFonts w:ascii="Times New Roman" w:hAnsi="Times New Roman"/>
          <w:b/>
          <w:color w:val="000000"/>
          <w:sz w:val="24"/>
        </w:rPr>
        <w:t>Form of Buyer PRV Transfer Letter</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Letterhead]</w:t>
      </w:r>
    </w:p>
    <w:p>
      <w:pPr>
        <w:pStyle w:val="TextBody"/>
        <w:bidi w:val="0"/>
        <w:jc w:val="both"/>
        <w:rPr>
          <w:rFonts w:ascii="Times New Roman" w:hAnsi="Times New Roman"/>
          <w:color w:val="000000"/>
          <w:sz w:val="24"/>
        </w:rPr>
      </w:pPr>
      <w:r>
        <w:rPr>
          <w:rFonts w:ascii="Times New Roman" w:hAnsi="Times New Roman"/>
          <w:color w:val="000000"/>
          <w:sz w:val="24"/>
        </w:rPr>
        <w:t>May 29,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Day One Biopharmaceuticals,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2000 Sierra Point Parkway, Suite 501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Brisbane, CA 94005</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Attention: Adam Dubow and Sishir Mokkapati</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 NDA 217700 – Acknowledgment of Transfer of Rare Pediatric Disease Priority Review Voucher PRV NDA 217700 (the “</w:t>
      </w:r>
      <w:r>
        <w:rPr>
          <w:rFonts w:ascii="Times New Roman" w:hAnsi="Times New Roman"/>
          <w:b/>
          <w:i/>
          <w:color w:val="000000"/>
          <w:sz w:val="24"/>
        </w:rPr>
        <w:t>Voucher</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Dear Sir or Madam: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Reference is made to the above-referenced NDA approval letter dated April 23, 2024 reflecting the grant of the Voucher to Day One Biopharmaceuticals, Inc. (“</w:t>
      </w:r>
      <w:r>
        <w:rPr>
          <w:rFonts w:ascii="Times New Roman" w:hAnsi="Times New Roman"/>
          <w:b/>
          <w:i/>
          <w:color w:val="000000"/>
          <w:sz w:val="24"/>
        </w:rPr>
        <w:t>Seller</w:t>
      </w:r>
      <w:r>
        <w:rPr>
          <w:rFonts w:ascii="Times New Roman" w:hAnsi="Times New Roman"/>
          <w:color w:val="000000"/>
          <w:sz w:val="20"/>
        </w:rPr>
        <w:t>”</w:t>
      </w:r>
      <w:r>
        <w:rPr>
          <w:rFonts w:ascii="Times New Roman" w:hAnsi="Times New Roman"/>
          <w:color w:val="000000"/>
          <w:sz w:val="24"/>
        </w:rPr>
        <w:t>) in connection with the U.S. Food and Drug Administration’s (“FDA’s”) approval of New Drug Application Number 217700 for Ojemda (tovorafenib) Tablet.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letter acknowledges and records that, as of May 29, 2024, [*] (“</w:t>
      </w:r>
      <w:r>
        <w:rPr>
          <w:rFonts w:ascii="Times New Roman" w:hAnsi="Times New Roman"/>
          <w:b/>
          <w:color w:val="000000"/>
          <w:sz w:val="24"/>
        </w:rPr>
        <w:t>Buyer</w:t>
      </w:r>
      <w:r>
        <w:rPr>
          <w:rFonts w:ascii="Times New Roman" w:hAnsi="Times New Roman"/>
          <w:color w:val="000000"/>
          <w:sz w:val="20"/>
        </w:rPr>
        <w:t>”</w:t>
      </w:r>
      <w:r>
        <w:rPr>
          <w:rFonts w:ascii="Times New Roman" w:hAnsi="Times New Roman"/>
          <w:color w:val="000000"/>
          <w:sz w:val="24"/>
        </w:rPr>
        <w:t>) has legally accepted complete ownership of the Voucher from Seller.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letter will be presented to the FDA by, or on behalf of, Buyer as evidence that Buyer acknowledges and accepts the transfer of the Voucher from Seller to Buyer. Together with the letter of transfer from Seller to Buyer dated May 29, 2024, these letters serve as a complete record of transfer of the Voucher from Seller to Buyer.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Sincerely,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dawn-ex10_2.htm"/>
      <w:bookmarkStart w:id="29" w:name="ksdawnex10_2"/>
      <w:bookmarkEnd w:id="28"/>
      <w:bookmarkEnd w:id="29"/>
      <w:r>
        <w:rPr>
          <w:rFonts w:ascii="Times New Roman" w:hAnsi="Times New Roman"/>
          <w:b/>
          <w:color w:val="000000"/>
          <w:sz w:val="24"/>
        </w:rPr>
        <w:t>Exhibit 10.2</w:t>
      </w:r>
      <w:r>
        <w:br w:type="page"/>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CERTAIN CONFIDENTIAL INFORMATION CONTAINED IN THIS DOCUMENT, MARKED BY [*], HAS BEEN OMITTED BECAUSE IT IS NOT MATERIAL AND WOULD LIKELY CAUSE COMPETITIVE HARM TO DAY ONE BIOPHARMACEUTICALS, INC. IF PUBLICLY DISCLOSED.</w:t>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EXCLUSIVE LICENSE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MABCARE THERAPEUTICS</w:t>
      </w:r>
      <w:r>
        <w:rPr>
          <w:rFonts w:ascii="Times New Roman" w:hAnsi="Times New Roman"/>
          <w:color w:val="FF0000"/>
          <w:sz w:val="20"/>
        </w:rPr>
        <w:t xml:space="preserve"> </w:t>
      </w:r>
    </w:p>
    <w:p>
      <w:pPr>
        <w:pStyle w:val="TextBody"/>
        <w:bidi w:val="0"/>
        <w:jc w:val="center"/>
        <w:rPr/>
      </w:pPr>
      <w:r>
        <w:rPr>
          <w:rFonts w:ascii="Aptos;serif" w:hAnsi="Aptos;serif"/>
          <w:color w:val="000000"/>
          <w:sz w:val="22"/>
        </w:rPr>
        <w:t>(</w:t>
      </w:r>
      <w:r>
        <w:rPr>
          <w:rFonts w:eastAsia="MS Gothic;sans-serif"/>
          <w:b/>
          <w:color w:val="000000"/>
          <w:sz w:val="22"/>
        </w:rPr>
        <w:t>上海麦科思生物医</w:t>
      </w:r>
      <w:r>
        <w:rPr>
          <w:rFonts w:eastAsia="Times New Roman"/>
          <w:b/>
          <w:color w:val="000000"/>
          <w:sz w:val="22"/>
        </w:rPr>
        <w:t>药有限公</w:t>
      </w:r>
      <w:r>
        <w:rPr>
          <w:rFonts w:eastAsia="MS Gothic;sans-serif"/>
          <w:b/>
          <w:color w:val="000000"/>
          <w:sz w:val="22"/>
        </w:rPr>
        <w:t>司</w:t>
      </w:r>
      <w:r>
        <w:rPr>
          <w:rFonts w:ascii="MS Gothic;sans-serif" w:hAnsi="MS Gothic;sans-serif"/>
          <w:color w:val="000000"/>
          <w:sz w:val="22"/>
        </w:rPr>
        <w:t>)</w:t>
      </w:r>
      <w:r>
        <w:rPr>
          <w:rFonts w:ascii="Times New Roman" w:hAnsi="Times New Roman"/>
          <w:smallCaps/>
          <w:color w:val="000000"/>
          <w:sz w:val="20"/>
        </w:rPr>
        <w:t xml:space="preserve"> </w:t>
      </w:r>
    </w:p>
    <w:p>
      <w:pPr>
        <w:pStyle w:val="TextBody"/>
        <w:bidi w:val="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DAY ONE BIOPHARMACEUTICALS,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JUNE 17, 2024</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115" w:right="115" w:hanging="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ind w:left="115" w:right="115" w:hanging="0"/>
        <w:jc w:val="center"/>
        <w:rPr/>
      </w:pPr>
      <w:r>
        <w:rPr/>
        <w:t> </w:t>
      </w:r>
    </w:p>
    <w:p>
      <w:pPr>
        <w:pStyle w:val="TextBody"/>
        <w:bidi w:val="0"/>
        <w:ind w:left="115" w:right="115" w:hanging="0"/>
        <w:jc w:val="center"/>
        <w:rPr/>
      </w:pPr>
      <w:r>
        <w:rPr/>
        <w:t> </w:t>
      </w:r>
    </w:p>
    <w:p>
      <w:pPr>
        <w:pStyle w:val="TextBody"/>
        <w:bidi w:val="0"/>
        <w:spacing w:before="0" w:after="200"/>
        <w:ind w:left="115" w:right="115" w:hanging="0"/>
        <w:jc w:val="right"/>
        <w:rPr>
          <w:rFonts w:ascii="Times New Roman" w:hAnsi="Times New Roman"/>
          <w:b/>
          <w:color w:val="000000"/>
          <w:sz w:val="24"/>
        </w:rPr>
      </w:pPr>
      <w:r>
        <w:rPr>
          <w:rFonts w:ascii="Times New Roman" w:hAnsi="Times New Roman"/>
          <w:b/>
          <w:color w:val="000000"/>
          <w:sz w:val="24"/>
        </w:rPr>
        <w:t>Page</w:t>
      </w:r>
    </w:p>
    <w:p>
      <w:pPr>
        <w:pStyle w:val="TextBody"/>
        <w:bidi w:val="0"/>
        <w:jc w:val="left"/>
        <w:rPr/>
      </w:pPr>
      <w:r>
        <w:rPr/>
        <w:t> </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1 DEFINITIONS &amp; INTERPRETATION 1</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2 LICENSE 19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2.1 Exclusive License to Day One 19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2.2 License to MabCare 19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2.3 Right to Sublicense 20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2.4 Right to Subcontract 22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2.5 Retained Rights 22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2.6 No Implied Licenses 22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2.7 Third Party Licenses 22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2.8 Hyslink License Agreement 24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2.9 Exclusivity; Change of Control 24</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3 GOVERNANCE 25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3.1 Joint Steering Committee 25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3.2 Composition and Meetings 25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3.3 Decision-Making Authority 26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3.4 Discontinuation 27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3.5 Limitations on Authority 27</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4 DEVELOPMENT AND COMMERCIALIZATION 27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4.1 Technology Transfer 27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4.2 Development and Commercialization Responsibility 29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4.3 Day One Diligence 30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4.4 Development Coordination 30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4.5 Communications with Regulatory Authorities 31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4.6 Adverse Events Reporting 32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4.7 Remedial Actions 32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4.8 Regulatory Agreement 32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4.9 No Diversion 32</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5 MANUFACTURING AND SUPPLY 33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5.1 Responsibility 33</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ind w:left="115" w:right="115" w:hanging="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ind w:left="115" w:right="115" w:hanging="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ind w:left="115" w:right="115" w:hanging="0"/>
        <w:jc w:val="right"/>
        <w:rPr>
          <w:rFonts w:ascii="Times New Roman" w:hAnsi="Times New Roman"/>
          <w:b/>
          <w:color w:val="000000"/>
          <w:sz w:val="24"/>
        </w:rPr>
      </w:pPr>
      <w:r>
        <w:rPr>
          <w:rFonts w:ascii="Times New Roman" w:hAnsi="Times New Roman"/>
          <w:b/>
          <w:color w:val="000000"/>
          <w:sz w:val="24"/>
        </w:rPr>
        <w:t>Page</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5.2 Clinical Supply 33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5.3 Manufacturing Technology Transfer 33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5.4 Transfer, Use and Return of MabCare Materials 34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5.5 Assistance by MabCare Personnel 35</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6 PAYMENTS 35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6.1 Upfront Fee 35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6.2 Development Milestones 35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6.3 Sales Milestones 37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6.4 Royalty Payments 38</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6.5 Sublicensing Income 40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6.6 Payment Terms 40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6.7 Payment Currency; Exchange Rate; Offset 41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6.8 Late Payments 41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6.9 Payments to Third Parties 42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6.10 Records and Audit Rights 42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6.11 Taxes. 43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6.12 Blocked Currency 44</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7 CONFIDENTIALITY 45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7.1 Confidential Information 45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7.2 Duty of Confidence; Exceptions 45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7.3 Authorized Disclosures 46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7.4 Prior Confidentiality Agreement 47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7.5 Public Disclosures; Securities Filings 47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7.6 Publications 48</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7.7 Re-Publication 48</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8 INTELLECTUAL PROPERTY 48</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8.1 Ownership 48</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8.2 Patent Prosecution and Maintenance 49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8.3 Cooperation for Patent Extensions 51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8.4 Purple Book Listings 51</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ind w:left="115" w:right="115" w:hanging="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ind w:left="115" w:right="115" w:hanging="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ind w:left="115" w:right="115" w:hanging="0"/>
        <w:jc w:val="right"/>
        <w:rPr>
          <w:rFonts w:ascii="Times New Roman" w:hAnsi="Times New Roman"/>
          <w:b/>
          <w:color w:val="000000"/>
          <w:sz w:val="24"/>
        </w:rPr>
      </w:pPr>
      <w:r>
        <w:rPr>
          <w:rFonts w:ascii="Times New Roman" w:hAnsi="Times New Roman"/>
          <w:b/>
          <w:color w:val="000000"/>
          <w:sz w:val="24"/>
        </w:rPr>
        <w:t>Page</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8.5 Common Interest Disclosures 52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8.6 Patent Enforcement 52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8.7 Infringement of Third Party Rights 54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8.8 Patents Licensed From Third Parties 54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8.9 Patent Marking 55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8.10 Trademarks 55</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9 REPRESENTATIONS, WARRANTIES, AND COVENANTS 55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9.1 Representations, Warranties of Each Party 55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9.2 Representations and Warranties of MabCare 56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9.3 Mutual Covenants 59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9.4 MabCare Covenants 60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9.5 Day One Covenants 61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9.6 No Other Warranties 62</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10 INDEMNIFICATION 62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10.1 Indemnification by Day One 62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10.2 Indemnification by MabCare 62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10.3 Procedure 63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10.4 Insurance 63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10.5 Limitation of Liability 64</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11 TERM AND TERMINATION 64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11.1 Term 64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11.2 Termination by Day One for Convenience 64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11.3 Termination for Material Breach 64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11.4 Termination for Bankruptcy 65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11.5 MabCare Remedy for Patent Challenge 66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11.6 Termination for Cessation of Development and Commercialization 66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11.7 Full Force and Effect During Notice Period 66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11.8 Modification in Lieu of Termination 66</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11.9 Effect of Termination 67</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11.10 Confidential Information 69</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ind w:left="115" w:right="115" w:hanging="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ind w:left="115" w:right="115" w:hanging="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ind w:left="115" w:right="115" w:hanging="0"/>
        <w:jc w:val="right"/>
        <w:rPr>
          <w:rFonts w:ascii="Times New Roman" w:hAnsi="Times New Roman"/>
          <w:b/>
          <w:color w:val="000000"/>
          <w:sz w:val="24"/>
        </w:rPr>
      </w:pPr>
      <w:r>
        <w:rPr>
          <w:rFonts w:ascii="Times New Roman" w:hAnsi="Times New Roman"/>
          <w:b/>
          <w:color w:val="000000"/>
          <w:sz w:val="24"/>
        </w:rPr>
        <w:t>Page</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11.11 Termination Not Sole Remedy 69</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11.12 Survival 69</w:t>
      </w:r>
    </w:p>
    <w:p>
      <w:pPr>
        <w:pStyle w:val="TextBody"/>
        <w:bidi w:val="0"/>
        <w:spacing w:before="0" w:after="120"/>
        <w:jc w:val="left"/>
        <w:rPr>
          <w:rFonts w:ascii="Times New Roman" w:hAnsi="Times New Roman"/>
          <w:caps/>
          <w:color w:val="000000"/>
          <w:sz w:val="24"/>
        </w:rPr>
      </w:pPr>
      <w:r>
        <w:rPr>
          <w:rFonts w:ascii="Times New Roman" w:hAnsi="Times New Roman"/>
          <w:caps/>
          <w:color w:val="000000"/>
          <w:sz w:val="24"/>
        </w:rPr>
        <w:t>ARTICLE 12 MISCELLANEOUS 70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 Assignment; Notice of Sale 70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12.2 Use of Affiliates 70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12.3 Severability 70</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12.4 Governing Law; English Language 71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12.5 Dispute Resolution 71</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12.6 Force Majeure 72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12.7 Language for Communications 72</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12.8 Waivers and Amendments 73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12.9 Relationship of the Parties 73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12.10 Notices 73</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12.11 No Third Party Beneficiary Rights 74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12.12 Registration of License 74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12.13 Further Assurances 74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12.14 Entire Agreement 74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12.15 Counterparts 74</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12.16 Expenses 75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12.17 Construction; Interpretation 75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12.18 Cumulative Remedies 75</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12.19 Export 75</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right"/>
        <w:rPr/>
      </w:pPr>
      <w:r>
        <w:rPr/>
        <w:t> </w:t>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EXCLUSIVE LICENSE AGREEMENT</w:t>
      </w:r>
    </w:p>
    <w:p>
      <w:pPr>
        <w:pStyle w:val="TextBody"/>
        <w:bidi w:val="0"/>
        <w:spacing w:before="0" w:after="240"/>
        <w:jc w:val="both"/>
        <w:rPr/>
      </w:pPr>
      <w:r>
        <w:rPr>
          <w:rFonts w:ascii="Times New Roman" w:hAnsi="Times New Roman"/>
          <w:color w:val="000000"/>
          <w:sz w:val="24"/>
        </w:rPr>
        <w:t xml:space="preserve">This </w:t>
      </w:r>
      <w:r>
        <w:rPr>
          <w:rFonts w:ascii="Times New Roman" w:hAnsi="Times New Roman"/>
          <w:b/>
          <w:smallCaps/>
          <w:color w:val="000000"/>
          <w:sz w:val="24"/>
        </w:rPr>
        <w:t>Exclusive</w:t>
      </w:r>
      <w:r>
        <w:rPr>
          <w:rFonts w:ascii="Times New Roman" w:hAnsi="Times New Roman"/>
          <w:color w:val="000000"/>
          <w:sz w:val="20"/>
        </w:rPr>
        <w:t xml:space="preserve"> </w:t>
      </w:r>
      <w:r>
        <w:rPr>
          <w:rFonts w:ascii="Times New Roman" w:hAnsi="Times New Roman"/>
          <w:b/>
          <w:smallCaps/>
          <w:color w:val="000000"/>
          <w:sz w:val="24"/>
        </w:rPr>
        <w:t>License Agreement</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June 17, 2024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MabCare Therapeutics (</w:t>
      </w:r>
      <w:r>
        <w:rPr>
          <w:rFonts w:eastAsia="Times New Roman"/>
          <w:color w:val="000000"/>
          <w:sz w:val="24"/>
        </w:rPr>
        <w:t>上海麦科思生物医药有限公司</w:t>
      </w:r>
      <w:r>
        <w:rPr>
          <w:rFonts w:ascii="Times New Roman" w:hAnsi="Times New Roman"/>
          <w:color w:val="000000"/>
          <w:sz w:val="24"/>
        </w:rPr>
        <w:t>), a company incorporated under the law of the People’s Republic of China, located at 3F, Building 1, No. 368, Xiaonan Road, Fengxian District, Shanghai, China 201401 (“</w:t>
      </w:r>
      <w:r>
        <w:rPr>
          <w:rFonts w:ascii="Times New Roman" w:hAnsi="Times New Roman"/>
          <w:b/>
          <w:color w:val="000000"/>
          <w:sz w:val="24"/>
        </w:rPr>
        <w:t>MabCare</w:t>
      </w:r>
      <w:r>
        <w:rPr>
          <w:rFonts w:ascii="Times New Roman" w:hAnsi="Times New Roman"/>
          <w:color w:val="000000"/>
          <w:sz w:val="20"/>
        </w:rPr>
        <w:t>”</w:t>
      </w:r>
      <w:r>
        <w:rPr>
          <w:rFonts w:ascii="Times New Roman" w:hAnsi="Times New Roman"/>
          <w:color w:val="000000"/>
          <w:sz w:val="24"/>
        </w:rPr>
        <w:t>) and Day One Biopharmaceuticals, Inc., a Delaware corporation located at 395 Oyster Point Boulevard, Suite 217, South San Francisco, CA 94080, USA (“</w:t>
      </w:r>
      <w:r>
        <w:rPr>
          <w:rFonts w:ascii="Times New Roman" w:hAnsi="Times New Roman"/>
          <w:b/>
          <w:color w:val="000000"/>
          <w:sz w:val="24"/>
        </w:rPr>
        <w:t>Day One</w:t>
      </w:r>
      <w:r>
        <w:rPr>
          <w:rFonts w:ascii="Times New Roman" w:hAnsi="Times New Roman"/>
          <w:color w:val="000000"/>
          <w:sz w:val="20"/>
        </w:rPr>
        <w:t>”</w:t>
      </w:r>
      <w:r>
        <w:rPr>
          <w:rFonts w:ascii="Times New Roman" w:hAnsi="Times New Roman"/>
          <w:color w:val="000000"/>
          <w:sz w:val="24"/>
        </w:rPr>
        <w:t>). MabCare and Day One may be referred to in this Agreement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or collectively as the “</w:t>
      </w:r>
      <w:r>
        <w:rPr>
          <w:rFonts w:ascii="Times New Roman" w:hAnsi="Times New Roman"/>
          <w:b/>
          <w:color w:val="000000"/>
          <w:sz w:val="24"/>
        </w:rPr>
        <w:t>Parties</w:t>
      </w:r>
      <w:r>
        <w:rPr>
          <w:rFonts w:ascii="Times New Roman" w:hAnsi="Times New Roman"/>
          <w:i/>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BACKGROUND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MabCare has developed a proprietary antibody drug conjugate targeting PTK7, and owns or controls certain intellectual property rights relating thereto;</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Day One is a biotechnology company with expertise in researching, developing and commercializing targeted therapies to treat cancer;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Day One wishes to obtain from MabCare an exclusive license to develop, manufacture and commercialize Licensed Compounds and Licensed Products (in each case as defined herein) in certain countries, and MabCare is willing to grant such license to Day One in accordance with the terms and conditions set forth herein.</w:t>
      </w:r>
    </w:p>
    <w:p>
      <w:pPr>
        <w:pStyle w:val="TextBody"/>
        <w:bidi w:val="0"/>
        <w:spacing w:before="240" w:after="240"/>
        <w:jc w:val="both"/>
        <w:rPr>
          <w:rFonts w:ascii="Times New Roman" w:hAnsi="Times New Roman"/>
          <w:sz w:val="20"/>
        </w:rPr>
      </w:pPr>
      <w:r>
        <w:rPr>
          <w:rFonts w:ascii="Times New Roman" w:hAnsi="Times New Roman"/>
          <w:b/>
          <w:caps/>
          <w:color w:val="000000"/>
          <w:sz w:val="24"/>
        </w:rPr>
        <w:t>NOW THEREFORE</w:t>
      </w:r>
      <w:r>
        <w:rPr>
          <w:rFonts w:ascii="Times New Roman" w:hAnsi="Times New Roman"/>
          <w:color w:val="000000"/>
          <w:sz w:val="24"/>
        </w:rPr>
        <w:t>, in consideration of the mutual covenants and agreements contained herein, and other good and valuable consideration, the sufficiency of which is hereby acknowledged by both Parties, the Parties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DEFINITIONS &amp; 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used in this Agreement with an initial capital letter, the terms defined in this Article 1 and elsewhere in this Agreement, and any cognates or correlatives thereof, whether used in the singular or plural, shall have the meanings specified.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color w:val="000000"/>
        </w:rPr>
        <w:t>“</w:t>
      </w:r>
      <w:r>
        <w:rPr>
          <w:rFonts w:ascii="Times New Roman" w:hAnsi="Times New Roman"/>
          <w:b/>
          <w:color w:val="000000"/>
          <w:sz w:val="24"/>
        </w:rPr>
        <w:t>Abmart Agreement</w:t>
      </w:r>
      <w:r>
        <w:rPr>
          <w:color w:val="000000"/>
        </w:rPr>
        <w:t xml:space="preserve">” </w:t>
      </w:r>
      <w:r>
        <w:rPr>
          <w:rFonts w:ascii="Times New Roman" w:hAnsi="Times New Roman"/>
          <w:color w:val="000000"/>
          <w:sz w:val="24"/>
        </w:rPr>
        <w:t>means that certain “PTK7 antibody and cell line property rights purchase contract” by and between MabCare and Abmart Pharmaceutical Technology (Shanghai) Co., Ltd. dated August 18, 2022.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color w:val="000000"/>
        </w:rPr>
        <w:t>“</w:t>
      </w:r>
      <w:r>
        <w:rPr>
          <w:rFonts w:ascii="Times New Roman" w:hAnsi="Times New Roman"/>
          <w:b/>
          <w:color w:val="000000"/>
          <w:sz w:val="24"/>
        </w:rPr>
        <w:t>Accounting Standards</w:t>
      </w:r>
      <w:r>
        <w:rPr>
          <w:color w:val="000000"/>
        </w:rPr>
        <w:t xml:space="preserve">” </w:t>
      </w:r>
      <w:r>
        <w:rPr>
          <w:rFonts w:ascii="Times New Roman" w:hAnsi="Times New Roman"/>
          <w:color w:val="000000"/>
          <w:sz w:val="24"/>
        </w:rPr>
        <w:t>means GAAP, IAS/IFRS or equivalent accounting standards consistently applied by the applicable Party or other entity in maintaining its books and records.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color w:val="000000"/>
        </w:rPr>
        <w:t>“</w:t>
      </w:r>
      <w:r>
        <w:rPr>
          <w:rFonts w:ascii="Times New Roman" w:hAnsi="Times New Roman"/>
          <w:b/>
          <w:color w:val="000000"/>
          <w:sz w:val="24"/>
        </w:rPr>
        <w:t>Achieved Development/Commercial</w:t>
      </w:r>
      <w:r>
        <w:rPr>
          <w:color w:val="000000"/>
        </w:rPr>
        <w:t xml:space="preserve"> </w:t>
      </w:r>
      <w:r>
        <w:rPr>
          <w:rFonts w:ascii="Times New Roman" w:hAnsi="Times New Roman"/>
          <w:b/>
          <w:color w:val="000000"/>
          <w:sz w:val="24"/>
        </w:rPr>
        <w:t>Milestone</w:t>
      </w:r>
      <w:r>
        <w:rPr>
          <w:color w:val="000000"/>
        </w:rPr>
        <w:t xml:space="preserve">” </w:t>
      </w:r>
      <w:r>
        <w:rPr>
          <w:rFonts w:ascii="Times New Roman" w:hAnsi="Times New Roman"/>
          <w:color w:val="000000"/>
          <w:sz w:val="24"/>
        </w:rPr>
        <w:t>has the meaning set forth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color w:val="000000"/>
        </w:rPr>
        <w:t>“</w:t>
      </w:r>
      <w:r>
        <w:rPr>
          <w:rFonts w:ascii="Times New Roman" w:hAnsi="Times New Roman"/>
          <w:b/>
          <w:color w:val="000000"/>
          <w:sz w:val="24"/>
        </w:rPr>
        <w:t>Acquirer</w:t>
      </w:r>
      <w:r>
        <w:rPr>
          <w:color w:val="000000"/>
        </w:rPr>
        <w:t xml:space="preserve">” </w:t>
      </w:r>
      <w:r>
        <w:rPr>
          <w:rFonts w:ascii="Times New Roman" w:hAnsi="Times New Roman"/>
          <w:color w:val="000000"/>
          <w:sz w:val="24"/>
        </w:rPr>
        <w:t xml:space="preserve">means a Third Party that acquires a Party through a Change of Control of such Party, together with any Affiliates of such Third Party existing immediately prior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consummation of the Acquisition. For clarity, an “Acquirer” of a Party shall exclude the Party and all of its Affiliates existing immediately prior to the consummation of the Acquisition.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color w:val="000000"/>
        </w:rPr>
        <w:t>“</w:t>
      </w:r>
      <w:r>
        <w:rPr>
          <w:rFonts w:ascii="Times New Roman" w:hAnsi="Times New Roman"/>
          <w:b/>
          <w:color w:val="000000"/>
          <w:sz w:val="24"/>
        </w:rPr>
        <w:t>Acquirer Program</w:t>
      </w:r>
      <w:r>
        <w:rPr>
          <w:color w:val="000000"/>
        </w:rPr>
        <w:t xml:space="preserve">” </w:t>
      </w:r>
      <w:r>
        <w:rPr>
          <w:rFonts w:ascii="Times New Roman" w:hAnsi="Times New Roman"/>
          <w:color w:val="000000"/>
          <w:sz w:val="24"/>
        </w:rPr>
        <w:t>has the meaning set forth in Section 2.9.2.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color w:val="000000"/>
        </w:rPr>
        <w:t>“</w:t>
      </w:r>
      <w:r>
        <w:rPr>
          <w:rFonts w:ascii="Times New Roman" w:hAnsi="Times New Roman"/>
          <w:b/>
          <w:color w:val="000000"/>
          <w:sz w:val="24"/>
        </w:rPr>
        <w:t>Acquired Program</w:t>
      </w:r>
      <w:r>
        <w:rPr>
          <w:color w:val="000000"/>
        </w:rPr>
        <w:t xml:space="preserve">” </w:t>
      </w:r>
      <w:r>
        <w:rPr>
          <w:rFonts w:ascii="Times New Roman" w:hAnsi="Times New Roman"/>
          <w:color w:val="000000"/>
          <w:sz w:val="24"/>
        </w:rPr>
        <w:t>has the meaning set forth in Section 2.9.2.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with respect to a Party, any entity directly or indirectly controlling, controlled by or under common control with such Party, but only for so long as such control exists. For purposes of this definition, “control” (including, with correlative meanings, “controlled by,” “controlling” and “under common control with”) means</w:t>
      </w:r>
      <w:r>
        <w:rPr>
          <w:color w:val="000000"/>
        </w:rPr>
        <w:t xml:space="preserve"> </w:t>
      </w:r>
      <w:r>
        <w:rPr>
          <w:rFonts w:ascii="Times New Roman" w:hAnsi="Times New Roman"/>
          <w:color w:val="000000"/>
          <w:sz w:val="24"/>
        </w:rPr>
        <w:t xml:space="preserve">(a) possession, direct or indirect, of the power to direct or cause direction of the management or policies of an entity, whether through ownership of securities or other ownership interests, by contract or otherwise, or (b) direct or indirect ownership of more than fifty percent (50%) (or the maximum ownership interest permitted by Applicable Law giving control) of the voting securities or other ownership or general partnership interest or other comparable equity interests in an entity.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color w:val="000000"/>
        </w:rPr>
        <w:t>“</w:t>
      </w:r>
      <w:r>
        <w:rPr>
          <w:rFonts w:ascii="Times New Roman" w:hAnsi="Times New Roman"/>
          <w:b/>
          <w:color w:val="000000"/>
          <w:sz w:val="24"/>
        </w:rPr>
        <w:t>ADC</w:t>
      </w:r>
      <w:r>
        <w:rPr>
          <w:color w:val="000000"/>
        </w:rPr>
        <w:t xml:space="preserve">” </w:t>
      </w:r>
      <w:r>
        <w:rPr>
          <w:rFonts w:ascii="Times New Roman" w:hAnsi="Times New Roman"/>
          <w:color w:val="000000"/>
          <w:sz w:val="24"/>
        </w:rPr>
        <w:t>means a molecule consisting of (a) an antibody Directed To a target and (b) a Payload, wherein the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means any and all laws, regulations, ordinances, decrees, judicial and administrative orders (and any license, franchise, permit or similar right granted under any of the foregoing) and any other requirements of any applicable Governmental Authority that govern or otherwise apply to a Party’s activities in connection with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pPr>
      <w:r>
        <w:rPr>
          <w:color w:val="000000"/>
        </w:rPr>
        <w:t>“</w:t>
      </w:r>
      <w:r>
        <w:rPr>
          <w:rFonts w:ascii="Times New Roman" w:hAnsi="Times New Roman"/>
          <w:b/>
          <w:color w:val="000000"/>
          <w:sz w:val="24"/>
        </w:rPr>
        <w:t>Biosimilar Product</w:t>
      </w:r>
      <w:r>
        <w:rPr>
          <w:color w:val="000000"/>
        </w:rPr>
        <w:t xml:space="preserve">” </w:t>
      </w:r>
      <w:r>
        <w:rPr>
          <w:rFonts w:ascii="Times New Roman" w:hAnsi="Times New Roman"/>
          <w:color w:val="000000"/>
          <w:sz w:val="24"/>
        </w:rPr>
        <w:t xml:space="preserve">means, with respect to a Licensed Product, any product that (a) is sold by a Third Party that is not, or not authorized by, an Affiliate, (direct or indirect) licensee, distributor or Sublicensee of Day One or any of its Affiliates and (b) is approved as a “biosimilar”, “interchangeable” or “similar biological medicinal product” (or a foreign equivalent) of the Licensed Product in such country in reliance, in whole or in part, on the prior approval (or on safety or efficacy data submitted in support of the prior approval) of the Licensed Product as determined by the applicable Regulatory Authority, including any product authorized for sale (i) in the U.S. pursuant to 42 U.S.C </w:t>
      </w:r>
      <w:r>
        <w:rPr>
          <w:rFonts w:ascii="Calibri;sans-serif" w:hAnsi="Calibri;sans-serif"/>
          <w:color w:val="000000"/>
          <w:sz w:val="24"/>
        </w:rPr>
        <w:t>§</w:t>
      </w:r>
      <w:r>
        <w:rPr>
          <w:rFonts w:ascii="Times New Roman" w:hAnsi="Times New Roman"/>
          <w:color w:val="000000"/>
          <w:sz w:val="24"/>
        </w:rPr>
        <w:t xml:space="preserve">262(k), (ii) in the European Union pursuant to a provision of Articles 10, 10a or 10b of Parliament and Council Directive 2001/83/EC as amended (including an application under Article 6.1 of Parliament and Council Regulation (EC) No 726/2004 that relies for its content on any such provision), or (iii) in any other country or jurisdiction pursuant to all equivalents of such provisions, including any amendments and successor statutes with respect to the subsections (i) through (iii) thereto.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 xml:space="preserve">means a day other than any Saturday, Sunday or other day on which banking institutions in New York, New York or Beijing, China are authorized or required by Applicable Laws to remain closed.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color w:val="000000"/>
        </w:rPr>
        <w:t>“</w:t>
      </w:r>
      <w:r>
        <w:rPr>
          <w:rFonts w:ascii="Times New Roman" w:hAnsi="Times New Roman"/>
          <w:b/>
          <w:color w:val="000000"/>
          <w:sz w:val="24"/>
        </w:rPr>
        <w:t>Calendar Quarter</w:t>
      </w:r>
      <w:r>
        <w:rPr>
          <w:color w:val="000000"/>
        </w:rPr>
        <w:t xml:space="preserve">” </w:t>
      </w:r>
      <w:r>
        <w:rPr>
          <w:rFonts w:ascii="Times New Roman" w:hAnsi="Times New Roman"/>
          <w:color w:val="000000"/>
          <w:sz w:val="24"/>
        </w:rPr>
        <w:t xml:space="preserve">means any of the three (3) consecutive calendar month periods beginning on January 1, April 1, July 1 or October 1 of any year, except that the first Calendar Quarter shall commence on the Effective Date and end on the day immediately prior to the first to occur of January 1, April 1, July 1 or October 1 after the Effective Date, and the last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Calendar Quarter shall end on the last day of the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color w:val="000000"/>
        </w:rPr>
        <w:t>“</w:t>
      </w:r>
      <w:r>
        <w:rPr>
          <w:rFonts w:ascii="Times New Roman" w:hAnsi="Times New Roman"/>
          <w:b/>
          <w:color w:val="000000"/>
          <w:sz w:val="24"/>
        </w:rPr>
        <w:t>Calendar Year</w:t>
      </w:r>
      <w:r>
        <w:rPr>
          <w:color w:val="000000"/>
        </w:rPr>
        <w:t xml:space="preserve">” </w:t>
      </w:r>
      <w:r>
        <w:rPr>
          <w:rFonts w:ascii="Times New Roman" w:hAnsi="Times New Roman"/>
          <w:color w:val="000000"/>
          <w:sz w:val="24"/>
        </w:rPr>
        <w:t>means any of the twelve (12) consecutive calendar month periods beginning on January 1 and ending on December 31, except that the first Calendar Year shall commence on the Effective Date and end on the first December 31 to occur after the Effective Date, and the last Calendar Year shall end on the last day of the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color w:val="000000"/>
        </w:rPr>
        <w:t>“</w:t>
      </w:r>
      <w:r>
        <w:rPr>
          <w:rFonts w:ascii="Times New Roman" w:hAnsi="Times New Roman"/>
          <w:b/>
          <w:color w:val="000000"/>
          <w:sz w:val="24"/>
        </w:rPr>
        <w:t>CB-002</w:t>
      </w:r>
      <w:r>
        <w:rPr>
          <w:color w:val="000000"/>
        </w:rPr>
        <w:t xml:space="preserve">” </w:t>
      </w:r>
      <w:r>
        <w:rPr>
          <w:rFonts w:ascii="Times New Roman" w:hAnsi="Times New Roman"/>
          <w:color w:val="000000"/>
          <w:sz w:val="24"/>
        </w:rPr>
        <w:t xml:space="preserve">means (a) MabCare’s proprietary ADC Directed To PTK7 referred to as “CB-002” (also sometimes referred to as “MTX-13”) and consisting of MabCare’s proprietary antibody “Ab13” conjugated to Exatecan, as described in more detail in Schedule 1.14, or (b) to the extent applicable, any Licensed Compound other than CB-002 that becomes Controlled by MabCare during the Term and licensed to Day One pursuant to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color w:val="000000"/>
        </w:rPr>
        <w:t>“</w:t>
      </w:r>
      <w:r>
        <w:rPr>
          <w:rFonts w:ascii="Times New Roman" w:hAnsi="Times New Roman"/>
          <w:b/>
          <w:color w:val="000000"/>
          <w:sz w:val="24"/>
        </w:rPr>
        <w:t>CB-002 Product</w:t>
      </w:r>
      <w:r>
        <w:rPr>
          <w:color w:val="000000"/>
        </w:rPr>
        <w:t xml:space="preserve">” </w:t>
      </w:r>
      <w:r>
        <w:rPr>
          <w:rFonts w:ascii="Times New Roman" w:hAnsi="Times New Roman"/>
          <w:color w:val="000000"/>
          <w:sz w:val="24"/>
        </w:rPr>
        <w:t>means any product containing or comprising CB-002 all forms, presentations, formulations, methods of administration and dosage forms.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color w:val="000000"/>
        </w:rPr>
        <w:t>“</w:t>
      </w:r>
      <w:r>
        <w:rPr>
          <w:rFonts w:ascii="Times New Roman" w:hAnsi="Times New Roman"/>
          <w:b/>
          <w:color w:val="000000"/>
          <w:sz w:val="24"/>
        </w:rPr>
        <w:t>CDA</w:t>
      </w:r>
      <w:r>
        <w:rPr>
          <w:color w:val="000000"/>
        </w:rPr>
        <w:t xml:space="preserve">” </w:t>
      </w:r>
      <w:r>
        <w:rPr>
          <w:rFonts w:ascii="Times New Roman" w:hAnsi="Times New Roman"/>
          <w:color w:val="000000"/>
          <w:sz w:val="24"/>
        </w:rPr>
        <w:t>has the meaning set forth in Section 7.4.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color w:val="000000"/>
        </w:rPr>
        <w:t>“</w:t>
      </w:r>
      <w:r>
        <w:rPr>
          <w:rFonts w:ascii="Times New Roman" w:hAnsi="Times New Roman"/>
          <w:b/>
          <w:color w:val="000000"/>
          <w:sz w:val="24"/>
        </w:rPr>
        <w:t>Cell Line Agreement</w:t>
      </w:r>
      <w:r>
        <w:rPr>
          <w:color w:val="000000"/>
        </w:rPr>
        <w:t xml:space="preserve">” </w:t>
      </w:r>
      <w:r>
        <w:rPr>
          <w:rFonts w:ascii="Times New Roman" w:hAnsi="Times New Roman"/>
          <w:color w:val="000000"/>
          <w:sz w:val="24"/>
        </w:rPr>
        <w:t>has the meaning set forth in Section 5.4.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color w:val="000000"/>
        </w:rPr>
        <w:t>“</w:t>
      </w:r>
      <w:r>
        <w:rPr>
          <w:rFonts w:ascii="Times New Roman" w:hAnsi="Times New Roman"/>
          <w:b/>
          <w:color w:val="000000"/>
          <w:sz w:val="24"/>
        </w:rPr>
        <w:t>Cessation Period</w:t>
      </w:r>
      <w:r>
        <w:rPr>
          <w:color w:val="000000"/>
        </w:rPr>
        <w:t xml:space="preserve">” </w:t>
      </w:r>
      <w:r>
        <w:rPr>
          <w:rFonts w:ascii="Times New Roman" w:hAnsi="Times New Roman"/>
          <w:color w:val="000000"/>
          <w:sz w:val="24"/>
        </w:rPr>
        <w:t>has the meaning set forth in Section 11.6.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with respect to a Party (or the parent or controlling Affiliate to such Party), that any of the following events has occurred after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any “person” or “group” (as such terms are defined below): (a)</w:t>
      </w:r>
      <w:r>
        <w:rPr>
          <w:color w:val="000000"/>
        </w:rPr>
        <w:t xml:space="preserve"> </w:t>
      </w:r>
      <w:r>
        <w:rPr>
          <w:rFonts w:ascii="Times New Roman" w:hAnsi="Times New Roman"/>
          <w:color w:val="000000"/>
          <w:sz w:val="24"/>
        </w:rPr>
        <w:t>is or becomes the “beneficial owner” (as defined below), directly or indirectly, of shares of capital stock or other interests (including partnership interests) of such Party then outstanding and normally entitled (without regard to the occurrence of any contingency) to vote in the election of the directors, managers or similar supervisory positions (“</w:t>
      </w:r>
      <w:r>
        <w:rPr>
          <w:rFonts w:ascii="Times New Roman" w:hAnsi="Times New Roman"/>
          <w:b/>
          <w:color w:val="000000"/>
          <w:sz w:val="24"/>
        </w:rPr>
        <w:t>Voting Stock</w:t>
      </w:r>
      <w:r>
        <w:rPr>
          <w:color w:val="000000"/>
        </w:rPr>
        <w:t>”</w:t>
      </w:r>
      <w:r>
        <w:rPr>
          <w:rFonts w:ascii="Times New Roman" w:hAnsi="Times New Roman"/>
          <w:color w:val="000000"/>
          <w:sz w:val="24"/>
        </w:rPr>
        <w:t xml:space="preserve">) of such Party representing fifty percent (50%) or more of the total voting power of all outstanding classes of Voting Stock of such Party; or </w:t>
      </w:r>
      <w:bookmarkStart w:id="30" w:name="docxtextref63"/>
      <w:bookmarkEnd w:id="30"/>
      <w:r>
        <w:rPr>
          <w:rFonts w:ascii="Times New Roman" w:hAnsi="Times New Roman"/>
          <w:color w:val="000000"/>
          <w:sz w:val="24"/>
        </w:rPr>
        <w:t>(b)</w:t>
      </w:r>
      <w:r>
        <w:rPr>
          <w:color w:val="000000"/>
        </w:rPr>
        <w:t xml:space="preserve"> </w:t>
      </w:r>
      <w:r>
        <w:rPr>
          <w:rFonts w:ascii="Times New Roman" w:hAnsi="Times New Roman"/>
          <w:color w:val="000000"/>
          <w:sz w:val="24"/>
        </w:rPr>
        <w:t>has the power, directly or indirectly, to elect a majority of the members of the Party’s board of directors, or similar governing body (“</w:t>
      </w:r>
      <w:r>
        <w:rPr>
          <w:rFonts w:ascii="Times New Roman" w:hAnsi="Times New Roman"/>
          <w:b/>
          <w:color w:val="000000"/>
          <w:sz w:val="24"/>
        </w:rPr>
        <w:t>Board of Directors</w:t>
      </w:r>
      <w:r>
        <w:rPr>
          <w:color w:val="000000"/>
        </w:rPr>
        <w:t>”</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such Party enters into a merger, consolidation, or similar transaction with another Person (whether or not such Party is the surviving entity) and as a result of such merger, consolidation, or similar transaction: (a)</w:t>
      </w:r>
      <w:r>
        <w:rPr>
          <w:color w:val="000000"/>
        </w:rPr>
        <w:t xml:space="preserve"> </w:t>
      </w:r>
      <w:r>
        <w:rPr>
          <w:rFonts w:ascii="Times New Roman" w:hAnsi="Times New Roman"/>
          <w:color w:val="000000"/>
          <w:sz w:val="24"/>
        </w:rPr>
        <w:t xml:space="preserve">the members of the Board of Directors of such Party immediately prior to such transaction constitute less than a majority of the members of the Board of Directors of such Party or such surviving Person immediately following such transaction; or </w:t>
      </w:r>
      <w:bookmarkStart w:id="31" w:name="docxtextref65"/>
      <w:bookmarkEnd w:id="31"/>
      <w:r>
        <w:rPr>
          <w:rFonts w:ascii="Times New Roman" w:hAnsi="Times New Roman"/>
          <w:color w:val="000000"/>
          <w:sz w:val="24"/>
        </w:rPr>
        <w:t>(b)</w:t>
      </w:r>
      <w:r>
        <w:rPr>
          <w:color w:val="000000"/>
        </w:rPr>
        <w:t xml:space="preserve"> </w:t>
      </w:r>
      <w:r>
        <w:rPr>
          <w:rFonts w:ascii="Times New Roman" w:hAnsi="Times New Roman"/>
          <w:color w:val="000000"/>
          <w:sz w:val="24"/>
        </w:rPr>
        <w:t xml:space="preserve">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sale, transfer, or disposition of all or substantially all of the assets of such Party to a Third Party in a transaction or series of transactions;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holders of capital stock of such Party approve a plan or proposal for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liquidation or dissolution of such Party.</w:t>
      </w:r>
    </w:p>
    <w:p>
      <w:pPr>
        <w:pStyle w:val="TextBody"/>
        <w:bidi w:val="0"/>
        <w:spacing w:before="0" w:after="240"/>
        <w:jc w:val="both"/>
        <w:rPr>
          <w:rFonts w:ascii="Times New Roman" w:hAnsi="Times New Roman"/>
          <w:sz w:val="20"/>
        </w:rPr>
      </w:pPr>
      <w:bookmarkStart w:id="32" w:name="docxtextref67"/>
      <w:bookmarkEnd w:id="32"/>
      <w:r>
        <w:rPr>
          <w:rFonts w:ascii="Times New Roman" w:hAnsi="Times New Roman"/>
          <w:color w:val="000000"/>
          <w:sz w:val="24"/>
        </w:rPr>
        <w:t>For the purpose of this definition of Change of Control: (a)</w:t>
      </w:r>
      <w:r>
        <w:rPr>
          <w:rFonts w:ascii="Times New Roman" w:hAnsi="Times New Roman"/>
          <w:color w:val="000000"/>
          <w:sz w:val="20"/>
        </w:rPr>
        <w:t xml:space="preserve"> “</w:t>
      </w:r>
      <w:r>
        <w:rPr>
          <w:rFonts w:ascii="Times New Roman" w:hAnsi="Times New Roman"/>
          <w:color w:val="000000"/>
          <w:sz w:val="24"/>
        </w:rPr>
        <w:t xml:space="preserve">person” and “group” have the meanings given such terms under </w:t>
      </w:r>
      <w:bookmarkStart w:id="33" w:name="docxtextref70"/>
      <w:bookmarkEnd w:id="33"/>
      <w:r>
        <w:rPr>
          <w:rFonts w:ascii="Times New Roman" w:hAnsi="Times New Roman"/>
          <w:color w:val="000000"/>
          <w:sz w:val="24"/>
        </w:rPr>
        <w:t>Section 13(d)</w:t>
      </w:r>
      <w:r>
        <w:rPr>
          <w:rFonts w:ascii="Times New Roman" w:hAnsi="Times New Roman"/>
          <w:color w:val="000000"/>
          <w:sz w:val="20"/>
        </w:rPr>
        <w:t xml:space="preserve"> </w:t>
      </w:r>
      <w:r>
        <w:rPr>
          <w:rFonts w:ascii="Times New Roman" w:hAnsi="Times New Roman"/>
          <w:color w:val="000000"/>
          <w:sz w:val="24"/>
        </w:rPr>
        <w:t xml:space="preserve">and </w:t>
      </w:r>
      <w:bookmarkStart w:id="34" w:name="docxtextref66"/>
      <w:bookmarkEnd w:id="34"/>
      <w:r>
        <w:rPr>
          <w:rFonts w:ascii="Times New Roman" w:hAnsi="Times New Roman"/>
          <w:color w:val="000000"/>
          <w:sz w:val="24"/>
        </w:rPr>
        <w:t>14(d)</w:t>
      </w:r>
      <w:r>
        <w:rPr>
          <w:rFonts w:ascii="Times New Roman" w:hAnsi="Times New Roman"/>
          <w:color w:val="000000"/>
          <w:sz w:val="20"/>
        </w:rPr>
        <w:t xml:space="preserve"> </w:t>
      </w:r>
      <w:r>
        <w:rPr>
          <w:rFonts w:ascii="Times New Roman" w:hAnsi="Times New Roman"/>
          <w:color w:val="000000"/>
          <w:sz w:val="24"/>
        </w:rPr>
        <w:t>of the United States Securities Exchange Act of 1934 and the term “group” includes any group acting for the purpose of acquiring, holding, or disposing of securities within the meaning of Rule 13d</w:t>
        <w:noBreakHyphen/>
        <w:t xml:space="preserve">5(b)(1) under the said Act; </w:t>
      </w:r>
      <w:bookmarkStart w:id="35" w:name="docxtextref68"/>
      <w:bookmarkEnd w:id="35"/>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“beneficial owner” shall be determined in accordance with Rule 13d</w:t>
        <w:noBreakHyphen/>
        <w:t xml:space="preserve">3 under the aforesaid Act; and </w:t>
      </w:r>
      <w:bookmarkStart w:id="36" w:name="docxtextref69"/>
      <w:bookmarkEnd w:id="36"/>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terms “beneficially owned” and “beneficially own” shall have meanings correlative to that of “beneficial owner.”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0" w:after="240"/>
        <w:jc w:val="both"/>
        <w:rPr/>
      </w:pPr>
      <w:r>
        <w:rPr>
          <w:color w:val="000000"/>
        </w:rPr>
        <w:t>“</w:t>
      </w:r>
      <w:r>
        <w:rPr>
          <w:rFonts w:ascii="Times New Roman" w:hAnsi="Times New Roman"/>
          <w:b/>
          <w:color w:val="000000"/>
          <w:sz w:val="24"/>
        </w:rPr>
        <w:t>Clinical Supply Agreement</w:t>
      </w:r>
      <w:r>
        <w:rPr>
          <w:color w:val="000000"/>
        </w:rPr>
        <w:t xml:space="preserve">” </w:t>
      </w:r>
      <w:r>
        <w:rPr>
          <w:rFonts w:ascii="Times New Roman" w:hAnsi="Times New Roman"/>
          <w:color w:val="000000"/>
          <w:sz w:val="24"/>
        </w:rPr>
        <w:t>has the meaning set forth in Section 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color w:val="000000"/>
        </w:rPr>
        <w:t>“</w:t>
      </w:r>
      <w:r>
        <w:rPr>
          <w:rFonts w:ascii="Times New Roman" w:hAnsi="Times New Roman"/>
          <w:b/>
          <w:color w:val="000000"/>
          <w:sz w:val="24"/>
        </w:rPr>
        <w:t>Clinical Trial</w:t>
      </w:r>
      <w:r>
        <w:rPr>
          <w:color w:val="000000"/>
        </w:rPr>
        <w:t xml:space="preserve">” </w:t>
      </w:r>
      <w:r>
        <w:rPr>
          <w:rFonts w:ascii="Times New Roman" w:hAnsi="Times New Roman"/>
          <w:color w:val="000000"/>
          <w:sz w:val="24"/>
        </w:rPr>
        <w:t xml:space="preserve">means a clinical study (or a portion thereof) involving the administration of a pharmaceutical or biological product to a human.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color w:val="000000"/>
        </w:rPr>
        <w:t>“</w:t>
      </w:r>
      <w:r>
        <w:rPr>
          <w:rFonts w:ascii="Times New Roman" w:hAnsi="Times New Roman"/>
          <w:b/>
          <w:color w:val="000000"/>
          <w:sz w:val="24"/>
        </w:rPr>
        <w:t>CMC</w:t>
      </w:r>
      <w:r>
        <w:rPr>
          <w:color w:val="000000"/>
        </w:rPr>
        <w:t xml:space="preserve">” </w:t>
      </w:r>
      <w:r>
        <w:rPr>
          <w:rFonts w:ascii="Times New Roman" w:hAnsi="Times New Roman"/>
          <w:color w:val="000000"/>
          <w:sz w:val="24"/>
        </w:rPr>
        <w:t>means chemistry, manufacturing and controls.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color w:val="000000"/>
        </w:rPr>
        <w:t>“</w:t>
      </w:r>
      <w:r>
        <w:rPr>
          <w:rFonts w:ascii="Times New Roman" w:hAnsi="Times New Roman"/>
          <w:b/>
          <w:color w:val="000000"/>
          <w:sz w:val="24"/>
        </w:rPr>
        <w:t>CMO</w:t>
      </w:r>
      <w:r>
        <w:rPr>
          <w:color w:val="000000"/>
        </w:rPr>
        <w:t xml:space="preserve">” </w:t>
      </w:r>
      <w:r>
        <w:rPr>
          <w:rFonts w:ascii="Times New Roman" w:hAnsi="Times New Roman"/>
          <w:color w:val="000000"/>
          <w:sz w:val="24"/>
        </w:rPr>
        <w:t xml:space="preserve">means a Third Party contract manufacturing organization.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Combination Product</w:t>
      </w:r>
      <w:r>
        <w:rPr>
          <w:color w:val="000000"/>
        </w:rPr>
        <w:t xml:space="preserve">” </w:t>
      </w:r>
      <w:r>
        <w:rPr>
          <w:rFonts w:ascii="Times New Roman" w:hAnsi="Times New Roman"/>
          <w:color w:val="000000"/>
          <w:sz w:val="24"/>
        </w:rPr>
        <w:t>means a Licensed Product that (a) contains one (1) or more therapeutically or prophylactically active compound(s) or ingredients (excluding formulation components such as coatings, stabilizers, excipients, solvents or controlled release technologies) that are not Licensed Compound(s) (each, an “</w:t>
      </w:r>
      <w:r>
        <w:rPr>
          <w:rFonts w:ascii="Times New Roman" w:hAnsi="Times New Roman"/>
          <w:b/>
          <w:color w:val="000000"/>
          <w:sz w:val="24"/>
        </w:rPr>
        <w:t>Additional Active</w:t>
      </w:r>
      <w:r>
        <w:rPr>
          <w:color w:val="000000"/>
        </w:rPr>
        <w:t>”</w:t>
      </w:r>
      <w:r>
        <w:rPr>
          <w:rFonts w:ascii="Times New Roman" w:hAnsi="Times New Roman"/>
          <w:color w:val="000000"/>
          <w:sz w:val="24"/>
        </w:rPr>
        <w:t>), or (b) is co-packaged or combined with one (1) or more Additional Actives and sold for a single price.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color w:val="000000"/>
        </w:rPr>
        <w:t>“</w:t>
      </w:r>
      <w:r>
        <w:rPr>
          <w:rFonts w:ascii="Times New Roman" w:hAnsi="Times New Roman"/>
          <w:b/>
          <w:color w:val="000000"/>
          <w:sz w:val="24"/>
        </w:rPr>
        <w:t>Commercialize</w:t>
      </w:r>
      <w:r>
        <w:rPr>
          <w:color w:val="000000"/>
        </w:rPr>
        <w:t xml:space="preserve">” </w:t>
      </w:r>
      <w:r>
        <w:rPr>
          <w:rFonts w:ascii="Times New Roman" w:hAnsi="Times New Roman"/>
          <w:color w:val="000000"/>
          <w:sz w:val="24"/>
        </w:rPr>
        <w:t xml:space="preserve">means any and all activities directed to the offering for sale and sale of a product, including activities directed to marketing, promoting, advertising, detailing, storing, distributing, importing, exporting, selling and offering to sell (including receiving, accepting, and filling orders), booking and recording sales, and interacting with Regulatory Authorities regarding any of the foregoing, including seeking Pricing and Reimbursement Approvals. For the avoidance of doubt, the right to Commercialize a product will include the right to make, have made, use, sell, offer for sale, and import such product for the purposes set forth above.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color w:val="000000"/>
        </w:rPr>
        <w:t>“</w:t>
      </w:r>
      <w:r>
        <w:rPr>
          <w:rFonts w:ascii="Times New Roman" w:hAnsi="Times New Roman"/>
          <w:b/>
          <w:color w:val="000000"/>
          <w:sz w:val="24"/>
        </w:rPr>
        <w:t>Commercially Reasonable Efforts</w:t>
      </w:r>
      <w:r>
        <w:rPr>
          <w:color w:val="000000"/>
        </w:rPr>
        <w:t xml:space="preserve">” </w:t>
      </w:r>
      <w:r>
        <w:rPr>
          <w:rFonts w:ascii="Times New Roman" w:hAnsi="Times New Roman"/>
          <w:color w:val="000000"/>
          <w:sz w:val="24"/>
        </w:rPr>
        <w:t xml:space="preserve">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color w:val="000000"/>
        </w:rPr>
        <w:t>“</w:t>
      </w:r>
      <w:r>
        <w:rPr>
          <w:rFonts w:ascii="Times New Roman" w:hAnsi="Times New Roman"/>
          <w:b/>
          <w:color w:val="000000"/>
          <w:sz w:val="24"/>
        </w:rPr>
        <w:t>Competing Product</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color w:val="000000"/>
        </w:rPr>
        <w:t>“</w:t>
      </w:r>
      <w:r>
        <w:rPr>
          <w:rFonts w:ascii="Times New Roman" w:hAnsi="Times New Roman"/>
          <w:b/>
          <w:color w:val="000000"/>
          <w:sz w:val="24"/>
        </w:rPr>
        <w:t>Competitive Infringement</w:t>
      </w:r>
      <w:r>
        <w:rPr>
          <w:color w:val="000000"/>
        </w:rPr>
        <w:t xml:space="preserve">” </w:t>
      </w:r>
      <w:r>
        <w:rPr>
          <w:rFonts w:ascii="Times New Roman" w:hAnsi="Times New Roman"/>
          <w:color w:val="000000"/>
          <w:sz w:val="24"/>
        </w:rPr>
        <w:t xml:space="preserve">has the meaning set forth in Section 8.6.1.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color w:val="000000"/>
        </w:rPr>
        <w:t>“</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 xml:space="preserve">has the meaning set forth in Section 7.1.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color w:val="000000"/>
          <w:sz w:val="24"/>
        </w:rPr>
        <w:t>or “</w:t>
      </w:r>
      <w:r>
        <w:rPr>
          <w:rFonts w:ascii="Times New Roman" w:hAnsi="Times New Roman"/>
          <w:b/>
          <w:color w:val="000000"/>
          <w:sz w:val="24"/>
        </w:rPr>
        <w:t>Controlled</w:t>
      </w:r>
      <w:r>
        <w:rPr>
          <w:color w:val="000000"/>
        </w:rPr>
        <w:t xml:space="preserve">” </w:t>
      </w:r>
      <w:r>
        <w:rPr>
          <w:rFonts w:ascii="Times New Roman" w:hAnsi="Times New Roman"/>
          <w:color w:val="000000"/>
          <w:sz w:val="24"/>
        </w:rPr>
        <w:t xml:space="preserve">means, subject to Section 2.7 and Section 12.1.2, with respect to any Know-How, Regulatory Materials, Patent Rights, or other rights, the possession by a Party or any of its Affiliates of the legal authority or right (whether by ownership, license or otherwise, other than by operation of the licenses and other grants in this Agreement) to grant to the other Party a license, sublicense, right to use or right to access such Know-How, Regulatory Material, Patent Right, or other right as provided herein without violating the terms of any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or other arrangement with any Third Party existing at the time such Party would be required hereunder to grant the other Party such license, sublicense, right to use or right to access. All Know-How and Patent Rights licensed to MabCare under the Hyslink License Agreement are hereby deemed “Controlled” by MabCare during the term thereof. With respect to any Know-How and Patent Rights that would otherwise be Controlled by a Party through an in-license with a Third Party entered into after the Effective Date, for which payments are due to such Third Party, such Know-How or Patent Rights shall not be deemed to be “Controlled” by such Party unless the other Party agrees to pay for such amount attributable to its Development, Manufacture, Commercialization or other exploitation of the Licensed Compounds and Licensed Products as set forth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color w:val="000000"/>
        </w:rPr>
        <w:t>“</w:t>
      </w:r>
      <w:r>
        <w:rPr>
          <w:rFonts w:ascii="Times New Roman" w:hAnsi="Times New Roman"/>
          <w:b/>
          <w:color w:val="000000"/>
          <w:sz w:val="24"/>
        </w:rPr>
        <w:t>Cover</w:t>
      </w:r>
      <w:r>
        <w:rPr>
          <w:color w:val="000000"/>
        </w:rPr>
        <w:t xml:space="preserve">” </w:t>
      </w:r>
      <w:r>
        <w:rPr>
          <w:rFonts w:ascii="Times New Roman" w:hAnsi="Times New Roman"/>
          <w:color w:val="000000"/>
          <w:sz w:val="24"/>
        </w:rPr>
        <w:t>means, with respect to given product (or component thereof), process or method and Patent Right, that a Valid Claim of such Patent Right would, absent a license thereunder or ownership thereof, be infringed by the making, having made, use, sale, offer for sale or importation of such product, component, process or method, and for purposes of determining such infringement, considering claims of pending patent applications as Valid Claims (to the extent such claims would otherwise constitute Valid Claims) as if they have already been issued.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color w:val="000000"/>
        </w:rPr>
        <w:t>“</w:t>
      </w:r>
      <w:r>
        <w:rPr>
          <w:rFonts w:ascii="Times New Roman" w:hAnsi="Times New Roman"/>
          <w:b/>
          <w:color w:val="000000"/>
          <w:sz w:val="24"/>
        </w:rPr>
        <w:t>Data</w:t>
      </w:r>
      <w:r>
        <w:rPr>
          <w:color w:val="000000"/>
        </w:rPr>
        <w:t xml:space="preserve">” </w:t>
      </w:r>
      <w:r>
        <w:rPr>
          <w:rFonts w:ascii="Times New Roman" w:hAnsi="Times New Roman"/>
          <w:color w:val="000000"/>
          <w:sz w:val="24"/>
        </w:rPr>
        <w:t xml:space="preserve">means all CMC information, preclinical data, clinical data and safety data, in each case generated by or on behalf of a Party, or its Affiliates or their respective (sub)licensees, in the course of performing activities under this Agreement in connection with the Development or Manufacture of CB-002 Products. For clarity, Data does not include any patentable Foreground Know-How.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color w:val="000000"/>
        </w:rPr>
        <w:t>“</w:t>
      </w:r>
      <w:r>
        <w:rPr>
          <w:rFonts w:ascii="Times New Roman" w:hAnsi="Times New Roman"/>
          <w:b/>
          <w:color w:val="000000"/>
          <w:sz w:val="24"/>
        </w:rPr>
        <w:t>Data Protection Laws</w:t>
      </w:r>
      <w:r>
        <w:rPr>
          <w:color w:val="000000"/>
        </w:rPr>
        <w:t xml:space="preserve">” </w:t>
      </w:r>
      <w:r>
        <w:rPr>
          <w:rFonts w:ascii="Times New Roman" w:hAnsi="Times New Roman"/>
          <w:color w:val="000000"/>
          <w:sz w:val="24"/>
        </w:rPr>
        <w:t>has the meaning set forth in Section 9.3.1.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color w:val="000000"/>
        </w:rPr>
        <w:t>“</w:t>
      </w:r>
      <w:r>
        <w:rPr>
          <w:rFonts w:ascii="Times New Roman" w:hAnsi="Times New Roman"/>
          <w:b/>
          <w:color w:val="000000"/>
          <w:sz w:val="24"/>
        </w:rPr>
        <w:t>Day One Background Know-How</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color w:val="000000"/>
        </w:rPr>
        <w:t>“</w:t>
      </w:r>
      <w:r>
        <w:rPr>
          <w:rFonts w:ascii="Times New Roman" w:hAnsi="Times New Roman"/>
          <w:b/>
          <w:color w:val="000000"/>
          <w:sz w:val="24"/>
        </w:rPr>
        <w:t>Day One Background Patents</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color w:val="000000"/>
        </w:rPr>
        <w:t>“</w:t>
      </w:r>
      <w:r>
        <w:rPr>
          <w:rFonts w:ascii="Times New Roman" w:hAnsi="Times New Roman"/>
          <w:b/>
          <w:color w:val="000000"/>
          <w:sz w:val="24"/>
        </w:rPr>
        <w:t>Day One Background Technology</w:t>
      </w:r>
      <w:r>
        <w:rPr>
          <w:color w:val="000000"/>
        </w:rPr>
        <w:t xml:space="preserve">” </w:t>
      </w:r>
      <w:r>
        <w:rPr>
          <w:rFonts w:ascii="Times New Roman" w:hAnsi="Times New Roman"/>
          <w:color w:val="000000"/>
          <w:sz w:val="24"/>
        </w:rPr>
        <w:t>means the Day One Background</w:t>
      </w:r>
      <w:r>
        <w:rPr>
          <w:color w:val="000000"/>
        </w:rPr>
        <w:t xml:space="preserve"> </w:t>
      </w:r>
      <w:r>
        <w:rPr>
          <w:rFonts w:ascii="Times New Roman" w:hAnsi="Times New Roman"/>
          <w:color w:val="000000"/>
          <w:sz w:val="24"/>
        </w:rPr>
        <w:t>Know-How and the Day One Background</w:t>
      </w:r>
      <w:r>
        <w:rPr>
          <w:color w:val="000000"/>
        </w:rPr>
        <w:t xml:space="preserve"> </w:t>
      </w:r>
      <w:r>
        <w:rPr>
          <w:rFonts w:ascii="Times New Roman" w:hAnsi="Times New Roman"/>
          <w:color w:val="000000"/>
          <w:sz w:val="24"/>
        </w:rPr>
        <w:t>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color w:val="000000"/>
        </w:rPr>
        <w:t>“</w:t>
      </w:r>
      <w:r>
        <w:rPr>
          <w:rFonts w:ascii="Times New Roman" w:hAnsi="Times New Roman"/>
          <w:b/>
          <w:color w:val="000000"/>
          <w:sz w:val="24"/>
        </w:rPr>
        <w:t>Day One Development Plan</w:t>
      </w:r>
      <w:r>
        <w:rPr>
          <w:color w:val="000000"/>
        </w:rPr>
        <w:t xml:space="preserve">” </w:t>
      </w:r>
      <w:r>
        <w:rPr>
          <w:rFonts w:ascii="Times New Roman" w:hAnsi="Times New Roman"/>
          <w:color w:val="000000"/>
          <w:sz w:val="24"/>
        </w:rPr>
        <w:t>has the meaning set forth in Section 4.4.1.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color w:val="000000"/>
        </w:rPr>
        <w:t>“</w:t>
      </w:r>
      <w:r>
        <w:rPr>
          <w:rFonts w:ascii="Times New Roman" w:hAnsi="Times New Roman"/>
          <w:b/>
          <w:color w:val="000000"/>
          <w:sz w:val="24"/>
        </w:rPr>
        <w:t>Day One Foreground Know-How</w:t>
      </w:r>
      <w:r>
        <w:rPr>
          <w:color w:val="000000"/>
        </w:rPr>
        <w:t xml:space="preserve">” </w:t>
      </w:r>
      <w:r>
        <w:rPr>
          <w:rFonts w:ascii="Times New Roman" w:hAnsi="Times New Roman"/>
          <w:color w:val="000000"/>
          <w:sz w:val="24"/>
        </w:rPr>
        <w:t xml:space="preserve">means any and all Foreground Know-How generated, developed, conceived or reduced to practice solely by or on behalf of Day One or its Affiliates.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color w:val="000000"/>
        </w:rPr>
        <w:t>“</w:t>
      </w:r>
      <w:r>
        <w:rPr>
          <w:rFonts w:ascii="Times New Roman" w:hAnsi="Times New Roman"/>
          <w:b/>
          <w:color w:val="000000"/>
          <w:sz w:val="24"/>
        </w:rPr>
        <w:t>Day One Foreground Patents</w:t>
      </w:r>
      <w:r>
        <w:rPr>
          <w:color w:val="000000"/>
        </w:rPr>
        <w:t xml:space="preserve">” </w:t>
      </w:r>
      <w:r>
        <w:rPr>
          <w:rFonts w:ascii="Times New Roman" w:hAnsi="Times New Roman"/>
          <w:color w:val="000000"/>
          <w:sz w:val="24"/>
        </w:rPr>
        <w:t>means any and all Patent Rights that claim any Day One Foreground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0" w:after="240"/>
        <w:jc w:val="both"/>
        <w:rPr/>
      </w:pPr>
      <w:r>
        <w:rPr>
          <w:color w:val="000000"/>
        </w:rPr>
        <w:t>“</w:t>
      </w:r>
      <w:r>
        <w:rPr>
          <w:rFonts w:ascii="Times New Roman" w:hAnsi="Times New Roman"/>
          <w:b/>
          <w:color w:val="000000"/>
          <w:sz w:val="24"/>
        </w:rPr>
        <w:t>Day One Indemnitee</w:t>
      </w:r>
      <w:r>
        <w:rPr>
          <w:color w:val="000000"/>
        </w:rPr>
        <w:t xml:space="preserve">” </w:t>
      </w:r>
      <w:r>
        <w:rPr>
          <w:rFonts w:ascii="Times New Roman" w:hAnsi="Times New Roman"/>
          <w:color w:val="000000"/>
          <w:sz w:val="24"/>
        </w:rPr>
        <w:t>has the meaning set forth in Section 10.2.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color w:val="000000"/>
        </w:rPr>
        <w:t>“</w:t>
      </w:r>
      <w:r>
        <w:rPr>
          <w:rFonts w:ascii="Times New Roman" w:hAnsi="Times New Roman"/>
          <w:b/>
          <w:color w:val="000000"/>
          <w:sz w:val="24"/>
        </w:rPr>
        <w:t>Day One Know-How</w:t>
      </w:r>
      <w:r>
        <w:rPr>
          <w:color w:val="000000"/>
        </w:rPr>
        <w:t xml:space="preserve">” </w:t>
      </w:r>
      <w:r>
        <w:rPr>
          <w:rFonts w:ascii="Times New Roman" w:hAnsi="Times New Roman"/>
          <w:color w:val="000000"/>
          <w:sz w:val="24"/>
        </w:rPr>
        <w:t>means any and all (a) Day One Foreground Know-How [*], and (b) Day One Background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color w:val="000000"/>
        </w:rPr>
        <w:t>“</w:t>
      </w:r>
      <w:r>
        <w:rPr>
          <w:rFonts w:ascii="Times New Roman" w:hAnsi="Times New Roman"/>
          <w:b/>
          <w:color w:val="000000"/>
          <w:sz w:val="24"/>
        </w:rPr>
        <w:t>Day One Patents</w:t>
      </w:r>
      <w:r>
        <w:rPr>
          <w:color w:val="000000"/>
        </w:rPr>
        <w:t xml:space="preserve">” </w:t>
      </w:r>
      <w:r>
        <w:rPr>
          <w:rFonts w:ascii="Times New Roman" w:hAnsi="Times New Roman"/>
          <w:color w:val="000000"/>
          <w:sz w:val="24"/>
        </w:rPr>
        <w:t xml:space="preserve">means any and all (a) Day One Foreground Patents [*], and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Day One Background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color w:val="000000"/>
        </w:rPr>
        <w:t>“</w:t>
      </w:r>
      <w:r>
        <w:rPr>
          <w:rFonts w:ascii="Times New Roman" w:hAnsi="Times New Roman"/>
          <w:b/>
          <w:color w:val="000000"/>
          <w:sz w:val="24"/>
        </w:rPr>
        <w:t>Day One Technology</w:t>
      </w:r>
      <w:r>
        <w:rPr>
          <w:color w:val="000000"/>
        </w:rPr>
        <w:t xml:space="preserve">” </w:t>
      </w:r>
      <w:r>
        <w:rPr>
          <w:rFonts w:ascii="Times New Roman" w:hAnsi="Times New Roman"/>
          <w:color w:val="000000"/>
          <w:sz w:val="24"/>
        </w:rPr>
        <w:t>means the Day One Patents and Day One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color w:val="000000"/>
        </w:rPr>
        <w:t>“</w:t>
      </w:r>
      <w:r>
        <w:rPr>
          <w:rFonts w:ascii="Times New Roman" w:hAnsi="Times New Roman"/>
          <w:b/>
          <w:color w:val="000000"/>
          <w:sz w:val="24"/>
        </w:rPr>
        <w:t>Day One Territory</w:t>
      </w:r>
      <w:r>
        <w:rPr>
          <w:color w:val="000000"/>
        </w:rPr>
        <w:t xml:space="preserve">” </w:t>
      </w:r>
      <w:r>
        <w:rPr>
          <w:rFonts w:ascii="Times New Roman" w:hAnsi="Times New Roman"/>
          <w:color w:val="000000"/>
          <w:sz w:val="24"/>
        </w:rPr>
        <w:t>means worldwide, excluding the MabCare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color w:val="000000"/>
        </w:rPr>
        <w:t>“</w:t>
      </w:r>
      <w:r>
        <w:rPr>
          <w:rFonts w:ascii="Times New Roman" w:hAnsi="Times New Roman"/>
          <w:b/>
          <w:color w:val="000000"/>
          <w:sz w:val="24"/>
        </w:rPr>
        <w:t>Develop</w:t>
      </w:r>
      <w:r>
        <w:rPr>
          <w:color w:val="000000"/>
        </w:rPr>
        <w:t xml:space="preserve">” </w:t>
      </w:r>
      <w:r>
        <w:rPr>
          <w:rFonts w:ascii="Times New Roman" w:hAnsi="Times New Roman"/>
          <w:color w:val="000000"/>
          <w:sz w:val="24"/>
        </w:rPr>
        <w:t xml:space="preserve">means any and all pre-clinical, non-clinical and clinical research and development activities for a compound or product, including research activities, modification and optimization activities, preclinical studies, Clinical Trials, toxicology, pharmacokinetic, pharmacodynamic, drug-drug interaction, safety, tolerability and pharmacological studies, supply of compound or product for use in the foregoing activities (including placebos and comparators), statistical analyses, the preparation and submission of INDs, MAAs and other Regulatory Submissions for the purpose of obtaining, registering and maintaining Regulatory Approval of such compound or product, as well all interactions with Regulatory Authorities with respect to the foregoing. For the avoidance of doubt, the right to Develop a compound or product will include the right to make, have made, use and import such compound or product for the purposes set forth above.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0" w:after="240"/>
        <w:jc w:val="both"/>
        <w:rPr/>
      </w:pPr>
      <w:r>
        <w:rPr>
          <w:color w:val="000000"/>
        </w:rPr>
        <w:t>“</w:t>
      </w:r>
      <w:r>
        <w:rPr>
          <w:rFonts w:ascii="Times New Roman" w:hAnsi="Times New Roman"/>
          <w:b/>
          <w:color w:val="000000"/>
          <w:sz w:val="24"/>
        </w:rPr>
        <w:t>Development/Commercial Milestone Event</w:t>
      </w:r>
      <w:r>
        <w:rPr>
          <w:color w:val="000000"/>
        </w:rPr>
        <w:t xml:space="preserve">” </w:t>
      </w:r>
      <w:r>
        <w:rPr>
          <w:rFonts w:ascii="Times New Roman" w:hAnsi="Times New Roman"/>
          <w:color w:val="000000"/>
          <w:sz w:val="24"/>
        </w:rPr>
        <w:t xml:space="preserve">has the meaning set forth in Section 6.2.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pPr>
      <w:r>
        <w:rPr>
          <w:color w:val="000000"/>
        </w:rPr>
        <w:t>“</w:t>
      </w:r>
      <w:r>
        <w:rPr>
          <w:rFonts w:ascii="Times New Roman" w:hAnsi="Times New Roman"/>
          <w:b/>
          <w:color w:val="000000"/>
          <w:sz w:val="24"/>
        </w:rPr>
        <w:t>Development/Commercial Milestone Payment</w:t>
      </w:r>
      <w:r>
        <w:rPr>
          <w:color w:val="000000"/>
        </w:rPr>
        <w:t xml:space="preserve">” </w:t>
      </w:r>
      <w:r>
        <w:rPr>
          <w:rFonts w:ascii="Times New Roman" w:hAnsi="Times New Roman"/>
          <w:color w:val="000000"/>
          <w:sz w:val="24"/>
        </w:rPr>
        <w:t xml:space="preserve">has the meaning set forth in Section 6.2.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0" w:after="240"/>
        <w:jc w:val="both"/>
        <w:rPr/>
      </w:pPr>
      <w:r>
        <w:rPr>
          <w:color w:val="000000"/>
        </w:rPr>
        <w:t>“</w:t>
      </w:r>
      <w:r>
        <w:rPr>
          <w:rFonts w:ascii="Times New Roman" w:hAnsi="Times New Roman"/>
          <w:b/>
          <w:color w:val="000000"/>
          <w:sz w:val="24"/>
        </w:rPr>
        <w:t>Development Dispute</w:t>
      </w:r>
      <w:r>
        <w:rPr>
          <w:color w:val="000000"/>
        </w:rPr>
        <w:t xml:space="preserve">” </w:t>
      </w:r>
      <w:r>
        <w:rPr>
          <w:rFonts w:ascii="Times New Roman" w:hAnsi="Times New Roman"/>
          <w:color w:val="000000"/>
          <w:sz w:val="24"/>
        </w:rPr>
        <w:t>has the meaning set forth in Section 3.3.1.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color w:val="000000"/>
        </w:rPr>
        <w:t>“</w:t>
      </w:r>
      <w:r>
        <w:rPr>
          <w:rFonts w:ascii="Times New Roman" w:hAnsi="Times New Roman"/>
          <w:b/>
          <w:color w:val="000000"/>
          <w:sz w:val="24"/>
        </w:rPr>
        <w:t>Development Plan</w:t>
      </w:r>
      <w:r>
        <w:rPr>
          <w:color w:val="000000"/>
        </w:rPr>
        <w:t xml:space="preserve">” </w:t>
      </w:r>
      <w:r>
        <w:rPr>
          <w:rFonts w:ascii="Times New Roman" w:hAnsi="Times New Roman"/>
          <w:color w:val="000000"/>
          <w:sz w:val="24"/>
        </w:rPr>
        <w:t>has the meaning set forth in Section 4.4.1.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0" w:after="240"/>
        <w:jc w:val="both"/>
        <w:rPr/>
      </w:pPr>
      <w:r>
        <w:rPr>
          <w:color w:val="000000"/>
        </w:rPr>
        <w:t>“</w:t>
      </w:r>
      <w:r>
        <w:rPr>
          <w:rFonts w:ascii="Times New Roman" w:hAnsi="Times New Roman"/>
          <w:b/>
          <w:color w:val="000000"/>
          <w:sz w:val="24"/>
        </w:rPr>
        <w:t>Directed To</w:t>
      </w:r>
      <w:r>
        <w:rPr>
          <w:color w:val="000000"/>
        </w:rPr>
        <w:t xml:space="preserve">” </w:t>
      </w:r>
      <w:r>
        <w:rPr>
          <w:rFonts w:ascii="Times New Roman" w:hAnsi="Times New Roman"/>
          <w:color w:val="000000"/>
          <w:sz w:val="24"/>
        </w:rPr>
        <w:t xml:space="preserve">means, with respect to an ADC and an antigen or other protein target, that the antibody component of such ADC binds selectively to such antigen or protein target with specificity.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color w:val="000000"/>
        </w:rPr>
        <w:t>“</w:t>
      </w:r>
      <w:r>
        <w:rPr>
          <w:rFonts w:ascii="Times New Roman" w:hAnsi="Times New Roman"/>
          <w:b/>
          <w:color w:val="000000"/>
          <w:sz w:val="24"/>
        </w:rPr>
        <w:t>Dispute</w:t>
      </w:r>
      <w:r>
        <w:rPr>
          <w:color w:val="000000"/>
        </w:rPr>
        <w:t xml:space="preserve">” </w:t>
      </w:r>
      <w:r>
        <w:rPr>
          <w:rFonts w:ascii="Times New Roman" w:hAnsi="Times New Roman"/>
          <w:color w:val="000000"/>
          <w:sz w:val="24"/>
        </w:rPr>
        <w:t xml:space="preserve">has the meaning set forth in Section 12.5.1.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color w:val="000000"/>
        </w:rPr>
        <w:t>“</w:t>
      </w:r>
      <w:r>
        <w:rPr>
          <w:rFonts w:ascii="Times New Roman" w:hAnsi="Times New Roman"/>
          <w:b/>
          <w:color w:val="000000"/>
          <w:sz w:val="24"/>
        </w:rPr>
        <w:t>Distributor</w:t>
      </w:r>
      <w:r>
        <w:rPr>
          <w:color w:val="000000"/>
        </w:rPr>
        <w:t xml:space="preserve">” </w:t>
      </w:r>
      <w:r>
        <w:rPr>
          <w:rFonts w:ascii="Times New Roman" w:hAnsi="Times New Roman"/>
          <w:color w:val="000000"/>
          <w:sz w:val="24"/>
        </w:rPr>
        <w:t>means any Third Party that purchases Licensed Product from a Party, its Affiliates or Sublicensees (or (sub)licensees in the case of MabCare) for resale in the Territory and that takes title to such Licensed Product. For clarity, a “Distributor” shall not be considered a Sublicensee (or (sub)licensees in the case of MabCare) for purposes of this Agreement even if (sub)licenses are granted to such Distributor for purposes of conducting its resale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color w:val="000000"/>
        </w:rPr>
        <w:t>“</w:t>
      </w:r>
      <w:r>
        <w:rPr>
          <w:rFonts w:ascii="Times New Roman" w:hAnsi="Times New Roman"/>
          <w:b/>
          <w:color w:val="000000"/>
          <w:sz w:val="24"/>
        </w:rPr>
        <w:t>DPA</w:t>
      </w:r>
      <w:r>
        <w:rPr>
          <w:color w:val="000000"/>
        </w:rPr>
        <w:t xml:space="preserve">” </w:t>
      </w:r>
      <w:r>
        <w:rPr>
          <w:rFonts w:ascii="Times New Roman" w:hAnsi="Times New Roman"/>
          <w:color w:val="000000"/>
          <w:sz w:val="24"/>
        </w:rPr>
        <w:t>has the meaning set forth in Section 9.3.1.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color w:val="000000"/>
        </w:rPr>
        <w:t>“</w:t>
      </w:r>
      <w:r>
        <w:rPr>
          <w:rFonts w:ascii="Times New Roman" w:hAnsi="Times New Roman"/>
          <w:b/>
          <w:color w:val="000000"/>
          <w:sz w:val="24"/>
        </w:rPr>
        <w:t>Electronic Delivery</w:t>
      </w:r>
      <w:r>
        <w:rPr>
          <w:color w:val="000000"/>
        </w:rPr>
        <w:t xml:space="preserve">” </w:t>
      </w:r>
      <w:r>
        <w:rPr>
          <w:rFonts w:ascii="Times New Roman" w:hAnsi="Times New Roman"/>
          <w:color w:val="000000"/>
          <w:sz w:val="24"/>
        </w:rPr>
        <w:t xml:space="preserve">has the meaning set forth in Section 12.15.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color w:val="000000"/>
        </w:rPr>
        <w:t>“</w:t>
      </w:r>
      <w:r>
        <w:rPr>
          <w:rFonts w:ascii="Times New Roman" w:hAnsi="Times New Roman"/>
          <w:b/>
          <w:color w:val="000000"/>
          <w:sz w:val="24"/>
        </w:rPr>
        <w:t>Enforcement Action</w:t>
      </w:r>
      <w:r>
        <w:rPr>
          <w:color w:val="000000"/>
        </w:rPr>
        <w:t xml:space="preserve">” </w:t>
      </w:r>
      <w:r>
        <w:rPr>
          <w:rFonts w:ascii="Times New Roman" w:hAnsi="Times New Roman"/>
          <w:color w:val="000000"/>
          <w:sz w:val="24"/>
        </w:rPr>
        <w:t xml:space="preserve">has the meaning set forth in Section 8.6.2.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0" w:after="240"/>
        <w:jc w:val="both"/>
        <w:rPr/>
      </w:pPr>
      <w:r>
        <w:rPr>
          <w:color w:val="000000"/>
        </w:rPr>
        <w:t>“</w:t>
      </w:r>
      <w:r>
        <w:rPr>
          <w:rFonts w:ascii="Times New Roman" w:hAnsi="Times New Roman"/>
          <w:b/>
          <w:color w:val="000000"/>
          <w:sz w:val="24"/>
        </w:rPr>
        <w:t>Europe Countries</w:t>
      </w:r>
      <w:r>
        <w:rPr>
          <w:color w:val="000000"/>
        </w:rPr>
        <w:t xml:space="preserve">” </w:t>
      </w:r>
      <w:r>
        <w:rPr>
          <w:rFonts w:ascii="Times New Roman" w:hAnsi="Times New Roman"/>
          <w:color w:val="000000"/>
          <w:sz w:val="24"/>
        </w:rPr>
        <w:t xml:space="preserve">means the United Kingdom, France, Germany, Spain and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Italy.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0" w:after="240"/>
        <w:jc w:val="both"/>
        <w:rPr/>
      </w:pPr>
      <w:r>
        <w:rPr>
          <w:color w:val="000000"/>
        </w:rPr>
        <w:t>“</w:t>
      </w:r>
      <w:r>
        <w:rPr>
          <w:rFonts w:ascii="Times New Roman" w:hAnsi="Times New Roman"/>
          <w:b/>
          <w:color w:val="000000"/>
          <w:sz w:val="24"/>
        </w:rPr>
        <w:t>European Union</w:t>
      </w:r>
      <w:r>
        <w:rPr>
          <w:color w:val="000000"/>
        </w:rPr>
        <w:t xml:space="preserve">” </w:t>
      </w:r>
      <w:r>
        <w:rPr>
          <w:rFonts w:ascii="Times New Roman" w:hAnsi="Times New Roman"/>
          <w:color w:val="000000"/>
          <w:sz w:val="24"/>
        </w:rPr>
        <w:t>or “</w:t>
      </w:r>
      <w:r>
        <w:rPr>
          <w:rFonts w:ascii="Times New Roman" w:hAnsi="Times New Roman"/>
          <w:b/>
          <w:color w:val="000000"/>
          <w:sz w:val="24"/>
        </w:rPr>
        <w:t>EU</w:t>
      </w:r>
      <w:r>
        <w:rPr>
          <w:color w:val="000000"/>
        </w:rPr>
        <w:t xml:space="preserve">” </w:t>
      </w:r>
      <w:r>
        <w:rPr>
          <w:rFonts w:ascii="Times New Roman" w:hAnsi="Times New Roman"/>
          <w:color w:val="000000"/>
          <w:sz w:val="24"/>
        </w:rPr>
        <w:t xml:space="preserve">means the member states of the European Union as they exist at the time of reference.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0" w:after="240"/>
        <w:jc w:val="both"/>
        <w:rPr/>
      </w:pPr>
      <w:r>
        <w:rPr>
          <w:color w:val="000000"/>
        </w:rPr>
        <w:t>“</w:t>
      </w:r>
      <w:r>
        <w:rPr>
          <w:rFonts w:ascii="Times New Roman" w:hAnsi="Times New Roman"/>
          <w:b/>
          <w:color w:val="000000"/>
          <w:sz w:val="24"/>
        </w:rPr>
        <w:t>Executive Officers</w:t>
      </w:r>
      <w:r>
        <w:rPr>
          <w:color w:val="000000"/>
        </w:rPr>
        <w:t xml:space="preserve">” </w:t>
      </w:r>
      <w:r>
        <w:rPr>
          <w:rFonts w:ascii="Times New Roman" w:hAnsi="Times New Roman"/>
          <w:color w:val="000000"/>
          <w:sz w:val="24"/>
        </w:rPr>
        <w:t>means a senior executive of a Party having corporate authority to make decisions regarding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0" w:after="240"/>
        <w:jc w:val="both"/>
        <w:rPr/>
      </w:pPr>
      <w:r>
        <w:rPr>
          <w:color w:val="000000"/>
        </w:rPr>
        <w:t>“</w:t>
      </w:r>
      <w:r>
        <w:rPr>
          <w:rFonts w:ascii="Times New Roman" w:hAnsi="Times New Roman"/>
          <w:b/>
          <w:color w:val="000000"/>
          <w:sz w:val="24"/>
        </w:rPr>
        <w:t>Existing Agreements</w:t>
      </w:r>
      <w:r>
        <w:rPr>
          <w:color w:val="000000"/>
        </w:rPr>
        <w:t xml:space="preserve">” </w:t>
      </w:r>
      <w:r>
        <w:rPr>
          <w:rFonts w:ascii="Times New Roman" w:hAnsi="Times New Roman"/>
          <w:color w:val="000000"/>
          <w:sz w:val="24"/>
        </w:rPr>
        <w:t xml:space="preserve">means the Abmart Agreement and Hyslink License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1.60</w:t>
      </w:r>
    </w:p>
    <w:p>
      <w:pPr>
        <w:pStyle w:val="TextBody"/>
        <w:bidi w:val="0"/>
        <w:spacing w:before="0" w:after="240"/>
        <w:jc w:val="both"/>
        <w:rPr/>
      </w:pPr>
      <w:r>
        <w:rPr>
          <w:color w:val="000000"/>
        </w:rPr>
        <w:t>“</w:t>
      </w:r>
      <w:r>
        <w:rPr>
          <w:rFonts w:ascii="Times New Roman" w:hAnsi="Times New Roman"/>
          <w:b/>
          <w:color w:val="000000"/>
          <w:sz w:val="24"/>
        </w:rPr>
        <w:t>Existing Inventory</w:t>
      </w:r>
      <w:r>
        <w:rPr>
          <w:color w:val="000000"/>
        </w:rPr>
        <w:t xml:space="preserve">” </w:t>
      </w:r>
      <w:r>
        <w:rPr>
          <w:rFonts w:ascii="Times New Roman" w:hAnsi="Times New Roman"/>
          <w:color w:val="000000"/>
          <w:sz w:val="24"/>
        </w:rPr>
        <w:t>has the meaning set forth in Section 4.1.3.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color w:val="000000"/>
        </w:rPr>
        <w:t>“</w:t>
      </w:r>
      <w:r>
        <w:rPr>
          <w:rFonts w:ascii="Times New Roman" w:hAnsi="Times New Roman"/>
          <w:b/>
          <w:color w:val="000000"/>
          <w:sz w:val="24"/>
        </w:rPr>
        <w:t>Expert</w:t>
      </w:r>
      <w:r>
        <w:rPr>
          <w:color w:val="000000"/>
        </w:rPr>
        <w:t xml:space="preserve">” </w:t>
      </w:r>
      <w:r>
        <w:rPr>
          <w:rFonts w:ascii="Times New Roman" w:hAnsi="Times New Roman"/>
          <w:color w:val="000000"/>
          <w:sz w:val="24"/>
        </w:rPr>
        <w:t>has the meaning set forth in Section 3.3.1.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color w:val="000000"/>
        </w:rPr>
        <w:t>“</w:t>
      </w:r>
      <w:r>
        <w:rPr>
          <w:rFonts w:ascii="Times New Roman" w:hAnsi="Times New Roman"/>
          <w:b/>
          <w:color w:val="000000"/>
          <w:sz w:val="24"/>
        </w:rPr>
        <w:t>FDA</w:t>
      </w:r>
      <w:r>
        <w:rPr>
          <w:color w:val="000000"/>
        </w:rPr>
        <w:t xml:space="preserve">” </w:t>
      </w:r>
      <w:r>
        <w:rPr>
          <w:rFonts w:ascii="Times New Roman" w:hAnsi="Times New Roman"/>
          <w:color w:val="000000"/>
          <w:sz w:val="24"/>
        </w:rPr>
        <w:t>means the United States Food and Drug Administration or any successor entity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color w:val="000000"/>
        </w:rPr>
        <w:t>“</w:t>
      </w:r>
      <w:r>
        <w:rPr>
          <w:rFonts w:ascii="Times New Roman" w:hAnsi="Times New Roman"/>
          <w:b/>
          <w:color w:val="000000"/>
          <w:sz w:val="24"/>
        </w:rPr>
        <w:t>FFDCA</w:t>
      </w:r>
      <w:r>
        <w:rPr>
          <w:color w:val="000000"/>
        </w:rPr>
        <w:t xml:space="preserve">” </w:t>
      </w:r>
      <w:r>
        <w:rPr>
          <w:rFonts w:ascii="Times New Roman" w:hAnsi="Times New Roman"/>
          <w:color w:val="000000"/>
          <w:sz w:val="24"/>
        </w:rPr>
        <w:t>means the United States Federal Food, Drug, and Cosmetic Act, 21 U.S.C. § 301 et seq., as may be amended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0" w:after="240"/>
        <w:jc w:val="both"/>
        <w:rPr/>
      </w:pPr>
      <w:r>
        <w:rPr>
          <w:color w:val="000000"/>
        </w:rPr>
        <w:t>“</w:t>
      </w:r>
      <w:r>
        <w:rPr>
          <w:rFonts w:ascii="Times New Roman" w:hAnsi="Times New Roman"/>
          <w:b/>
          <w:color w:val="000000"/>
          <w:sz w:val="24"/>
        </w:rPr>
        <w:t>Field</w:t>
      </w:r>
      <w:r>
        <w:rPr>
          <w:color w:val="000000"/>
        </w:rPr>
        <w:t xml:space="preserve">” </w:t>
      </w:r>
      <w:r>
        <w:rPr>
          <w:rFonts w:ascii="Times New Roman" w:hAnsi="Times New Roman"/>
          <w:color w:val="000000"/>
          <w:sz w:val="24"/>
        </w:rPr>
        <w:t>means all uses in humans.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1.65</w:t>
      </w:r>
    </w:p>
    <w:p>
      <w:pPr>
        <w:pStyle w:val="TextBody"/>
        <w:bidi w:val="0"/>
        <w:spacing w:before="0" w:after="240"/>
        <w:jc w:val="both"/>
        <w:rPr/>
      </w:pPr>
      <w:r>
        <w:rPr>
          <w:color w:val="000000"/>
        </w:rPr>
        <w:t>“</w:t>
      </w:r>
      <w:r>
        <w:rPr>
          <w:rFonts w:ascii="Times New Roman" w:hAnsi="Times New Roman"/>
          <w:b/>
          <w:color w:val="000000"/>
          <w:sz w:val="24"/>
        </w:rPr>
        <w:t>First</w:t>
      </w:r>
      <w:r>
        <w:rPr>
          <w:color w:val="000000"/>
        </w:rPr>
        <w:t xml:space="preserve"> </w:t>
      </w:r>
      <w:r>
        <w:rPr>
          <w:rFonts w:ascii="Times New Roman" w:hAnsi="Times New Roman"/>
          <w:b/>
          <w:color w:val="000000"/>
          <w:sz w:val="24"/>
        </w:rPr>
        <w:t>Commercial Sale</w:t>
      </w:r>
      <w:r>
        <w:rPr>
          <w:color w:val="000000"/>
        </w:rPr>
        <w:t xml:space="preserve">” </w:t>
      </w:r>
      <w:r>
        <w:rPr>
          <w:rFonts w:ascii="Times New Roman" w:hAnsi="Times New Roman"/>
          <w:color w:val="000000"/>
          <w:sz w:val="24"/>
        </w:rPr>
        <w:t xml:space="preserve">means, with respect to a Licensed Product, the first sale of such Licensed Product by or on behalf of Day One, its Affiliates, or Sublicensees to a Third Party for distribution, use or consumption in a country in the Territory after all Regulatory Approvals have been obtained for such Licensed Product in such country. Notwithstanding the foregoing, Licensed Product provided for: (a) research and Clinical Trial purposes prior to or in support of Regulatory Approval; (b) compassionate use, named patient sales, patient assistance programs, in each case, that are not intended for general use or sale of such Licensed Product without Regulatory Approval; (c) test marketing programs or other similar programs or studies, or for sample or promotional purposes (provided that the Licensed Product is not otherwise generally available for purchase in the applicable country, and are provided at no cost or below cost); or (d) early access programs that are not intended for general use or sale of such Licensed Product without Regulatory Approval, in each case ((a) – (d)), shall not constitute a First Commercial Sale of such Licensed Product. In addition, transfers of Licensed Product by and between Day One, its Affiliates or Sublicensees shall not constitute a First Commercial Sale.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1.66</w:t>
      </w:r>
    </w:p>
    <w:p>
      <w:pPr>
        <w:pStyle w:val="TextBody"/>
        <w:bidi w:val="0"/>
        <w:spacing w:before="0" w:after="240"/>
        <w:jc w:val="both"/>
        <w:rPr/>
      </w:pPr>
      <w:r>
        <w:rPr>
          <w:color w:val="000000"/>
        </w:rPr>
        <w:t>“</w:t>
      </w:r>
      <w:r>
        <w:rPr>
          <w:rFonts w:ascii="Times New Roman" w:hAnsi="Times New Roman"/>
          <w:b/>
          <w:color w:val="000000"/>
          <w:sz w:val="24"/>
        </w:rPr>
        <w:t>Force Majeure</w:t>
      </w:r>
      <w:r>
        <w:rPr>
          <w:color w:val="000000"/>
        </w:rPr>
        <w:t xml:space="preserve">” </w:t>
      </w:r>
      <w:r>
        <w:rPr>
          <w:rFonts w:ascii="Times New Roman" w:hAnsi="Times New Roman"/>
          <w:color w:val="000000"/>
          <w:sz w:val="24"/>
        </w:rPr>
        <w:t>has the meaning set forth in Section 12.6.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1.67</w:t>
      </w:r>
    </w:p>
    <w:p>
      <w:pPr>
        <w:pStyle w:val="TextBody"/>
        <w:bidi w:val="0"/>
        <w:spacing w:before="0" w:after="240"/>
        <w:jc w:val="both"/>
        <w:rPr/>
      </w:pPr>
      <w:r>
        <w:rPr>
          <w:color w:val="000000"/>
        </w:rPr>
        <w:t>“</w:t>
      </w:r>
      <w:r>
        <w:rPr>
          <w:rFonts w:ascii="Times New Roman" w:hAnsi="Times New Roman"/>
          <w:b/>
          <w:color w:val="000000"/>
          <w:sz w:val="24"/>
        </w:rPr>
        <w:t>Foreground Know-How</w:t>
      </w:r>
      <w:r>
        <w:rPr>
          <w:color w:val="000000"/>
        </w:rPr>
        <w:t xml:space="preserve">” </w:t>
      </w:r>
      <w:r>
        <w:rPr>
          <w:rFonts w:ascii="Times New Roman" w:hAnsi="Times New Roman"/>
          <w:color w:val="000000"/>
          <w:sz w:val="24"/>
        </w:rPr>
        <w:t>means any and all Know-How, whether or not patentable, that is generated, created, developed, conceived, reduced to practice or otherwise made during the Term (a) solely by or on behalf of a Party or any of its Affiliates or (b) jointly by or on behalf of MabCare or any of its Affiliates and Day One or any of its Affiliates, in each case ((a) and (b)) in the course of performing activities or exercising rights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1.68</w:t>
      </w:r>
    </w:p>
    <w:p>
      <w:pPr>
        <w:pStyle w:val="TextBody"/>
        <w:bidi w:val="0"/>
        <w:spacing w:before="0" w:after="240"/>
        <w:jc w:val="both"/>
        <w:rPr/>
      </w:pPr>
      <w:r>
        <w:rPr>
          <w:color w:val="000000"/>
        </w:rPr>
        <w:t>“</w:t>
      </w:r>
      <w:r>
        <w:rPr>
          <w:rFonts w:ascii="Times New Roman" w:hAnsi="Times New Roman"/>
          <w:b/>
          <w:color w:val="000000"/>
          <w:sz w:val="24"/>
        </w:rPr>
        <w:t>Foreground Patents</w:t>
      </w:r>
      <w:r>
        <w:rPr>
          <w:color w:val="000000"/>
        </w:rPr>
        <w:t xml:space="preserve">” </w:t>
      </w:r>
      <w:r>
        <w:rPr>
          <w:rFonts w:ascii="Times New Roman" w:hAnsi="Times New Roman"/>
          <w:color w:val="000000"/>
          <w:sz w:val="24"/>
        </w:rPr>
        <w:t xml:space="preserve">means any and all Patent Rights that claim Foreground Know-How.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Full Registrational Study</w:t>
      </w:r>
      <w:r>
        <w:rPr>
          <w:color w:val="000000"/>
        </w:rPr>
        <w:t xml:space="preserve">” </w:t>
      </w:r>
      <w:r>
        <w:rPr>
          <w:rFonts w:ascii="Times New Roman" w:hAnsi="Times New Roman"/>
          <w:color w:val="000000"/>
          <w:sz w:val="24"/>
        </w:rPr>
        <w:t>means a Clinical Trial of a product that is intended to (a) obtain sufficient efficacy and safety data in patients with the indication being studied to obtain Regulatory Approval of such product for such indication in the relevant country or jurisdiction, and (b) define contraindications, warnings, precautions and adverse reactions that are associated with such product in the dosage range to be prescribed for such indication, including the trials referred to in 21</w:t>
      </w:r>
      <w:r>
        <w:rPr>
          <w:color w:val="000000"/>
        </w:rPr>
        <w:t xml:space="preserve"> </w:t>
      </w:r>
      <w:r>
        <w:rPr>
          <w:rFonts w:ascii="Times New Roman" w:hAnsi="Times New Roman"/>
          <w:color w:val="000000"/>
          <w:sz w:val="24"/>
        </w:rPr>
        <w:t>C.F.R. §312.21(c), as amended, regardless of whether the sponsor of such Clinical Trial characterizes or refers to such Clinical Trial (e.g., as a “Phase 3,” “Phase 2b” or “Phase 2/3” Clinical Trial) in the applicable protocol, on clinicaltrials.gov, or in any other context.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1.70</w:t>
      </w:r>
    </w:p>
    <w:p>
      <w:pPr>
        <w:pStyle w:val="TextBody"/>
        <w:bidi w:val="0"/>
        <w:spacing w:before="0" w:after="240"/>
        <w:jc w:val="both"/>
        <w:rPr/>
      </w:pPr>
      <w:r>
        <w:rPr>
          <w:color w:val="000000"/>
        </w:rPr>
        <w:t>“</w:t>
      </w:r>
      <w:r>
        <w:rPr>
          <w:rFonts w:ascii="Times New Roman" w:hAnsi="Times New Roman"/>
          <w:b/>
          <w:color w:val="000000"/>
          <w:sz w:val="24"/>
        </w:rPr>
        <w:t>GAAP</w:t>
      </w:r>
      <w:r>
        <w:rPr>
          <w:color w:val="000000"/>
        </w:rPr>
        <w:t xml:space="preserve">” </w:t>
      </w:r>
      <w:r>
        <w:rPr>
          <w:rFonts w:ascii="Times New Roman" w:hAnsi="Times New Roman"/>
          <w:color w:val="000000"/>
          <w:sz w:val="24"/>
        </w:rPr>
        <w:t>means accounting principles generally accepted in the United States, consistently applied.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w:t>
      </w:r>
    </w:p>
    <w:p>
      <w:pPr>
        <w:pStyle w:val="TextBody"/>
        <w:bidi w:val="0"/>
        <w:spacing w:before="0" w:after="240"/>
        <w:jc w:val="both"/>
        <w:rPr/>
      </w:pPr>
      <w:r>
        <w:rPr>
          <w:color w:val="000000"/>
        </w:rPr>
        <w:t>“</w:t>
      </w:r>
      <w:r>
        <w:rPr>
          <w:rFonts w:ascii="Times New Roman" w:hAnsi="Times New Roman"/>
          <w:b/>
          <w:color w:val="000000"/>
          <w:sz w:val="24"/>
        </w:rPr>
        <w:t>GCP</w:t>
      </w:r>
      <w:r>
        <w:rPr>
          <w:color w:val="000000"/>
        </w:rPr>
        <w:t xml:space="preserve">” </w:t>
      </w:r>
      <w:r>
        <w:rPr>
          <w:rFonts w:ascii="Times New Roman" w:hAnsi="Times New Roman"/>
          <w:color w:val="000000"/>
          <w:sz w:val="24"/>
        </w:rPr>
        <w:t xml:space="preserve">means the applicable then-current standards for clinical activities for pharmaceuticals or biologicals, as set forth in the FFDCA and any regulations or guidance documents promulgated thereunder, as amended from time to time, together with, with respect to work performed in a country other than the United States, any similar standards of good clinical practice as are required by any Regulatory Authority in such country.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1.72</w:t>
      </w:r>
    </w:p>
    <w:p>
      <w:pPr>
        <w:pStyle w:val="TextBody"/>
        <w:bidi w:val="0"/>
        <w:spacing w:before="0" w:after="240"/>
        <w:jc w:val="both"/>
        <w:rPr/>
      </w:pPr>
      <w:r>
        <w:rPr>
          <w:color w:val="000000"/>
        </w:rPr>
        <w:t>“</w:t>
      </w:r>
      <w:r>
        <w:rPr>
          <w:rFonts w:ascii="Times New Roman" w:hAnsi="Times New Roman"/>
          <w:b/>
          <w:color w:val="000000"/>
          <w:sz w:val="24"/>
        </w:rPr>
        <w:t>Genomeditech Agreement</w:t>
      </w:r>
      <w:r>
        <w:rPr>
          <w:color w:val="000000"/>
        </w:rPr>
        <w:t xml:space="preserve">” </w:t>
      </w:r>
      <w:r>
        <w:rPr>
          <w:rFonts w:ascii="Times New Roman" w:hAnsi="Times New Roman"/>
          <w:color w:val="000000"/>
          <w:sz w:val="24"/>
        </w:rPr>
        <w:t>means the purchase agreement (together with the product manual) between Genomeditech (</w:t>
      </w:r>
      <w:r>
        <w:rPr>
          <w:rFonts w:eastAsia="Times New Roman"/>
          <w:color w:val="000000"/>
          <w:sz w:val="24"/>
        </w:rPr>
        <w:t>吉满生物科技（上海）有限公司</w:t>
      </w:r>
      <w:r>
        <w:rPr>
          <w:rFonts w:ascii="Times New Roman" w:hAnsi="Times New Roman"/>
          <w:color w:val="000000"/>
          <w:sz w:val="24"/>
        </w:rPr>
        <w:t>) (“</w:t>
      </w:r>
      <w:r>
        <w:rPr>
          <w:rFonts w:ascii="Times New Roman" w:hAnsi="Times New Roman"/>
          <w:b/>
          <w:color w:val="000000"/>
          <w:sz w:val="24"/>
        </w:rPr>
        <w:t>Genomeditech</w:t>
      </w:r>
      <w:r>
        <w:rPr>
          <w:color w:val="000000"/>
        </w:rPr>
        <w:t>”</w:t>
      </w:r>
      <w:r>
        <w:rPr>
          <w:rFonts w:ascii="Times New Roman" w:hAnsi="Times New Roman"/>
          <w:color w:val="000000"/>
          <w:sz w:val="24"/>
        </w:rPr>
        <w:t xml:space="preserve">) and MabCare, dated October 8, 2023.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1.73</w:t>
      </w:r>
    </w:p>
    <w:p>
      <w:pPr>
        <w:pStyle w:val="TextBody"/>
        <w:bidi w:val="0"/>
        <w:spacing w:before="0" w:after="240"/>
        <w:jc w:val="both"/>
        <w:rPr/>
      </w:pPr>
      <w:r>
        <w:rPr>
          <w:color w:val="000000"/>
        </w:rPr>
        <w:t>“</w:t>
      </w:r>
      <w:r>
        <w:rPr>
          <w:rFonts w:ascii="Times New Roman" w:hAnsi="Times New Roman"/>
          <w:b/>
          <w:color w:val="000000"/>
          <w:sz w:val="24"/>
        </w:rPr>
        <w:t>GLP</w:t>
      </w:r>
      <w:r>
        <w:rPr>
          <w:color w:val="000000"/>
        </w:rPr>
        <w:t xml:space="preserve">” </w:t>
      </w:r>
      <w:r>
        <w:rPr>
          <w:rFonts w:ascii="Times New Roman" w:hAnsi="Times New Roman"/>
          <w:color w:val="000000"/>
          <w:sz w:val="24"/>
        </w:rPr>
        <w:t xml:space="preserve">means the applicable then-current standards for laboratory activities for pharmaceuticals or biologicals, as set forth in the FFDCA and any regulations or guidance documents promulgated thereunder, as amended from time to time, together with, with respect to work performed in a country other than the United States, any similar standards of good laboratory practice as are required by any Regulatory Authority in such country.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1.74</w:t>
      </w:r>
    </w:p>
    <w:p>
      <w:pPr>
        <w:pStyle w:val="TextBody"/>
        <w:bidi w:val="0"/>
        <w:spacing w:before="0" w:after="240"/>
        <w:jc w:val="both"/>
        <w:rPr/>
      </w:pPr>
      <w:r>
        <w:rPr>
          <w:color w:val="000000"/>
        </w:rPr>
        <w:t>“</w:t>
      </w:r>
      <w:r>
        <w:rPr>
          <w:rFonts w:ascii="Times New Roman" w:hAnsi="Times New Roman"/>
          <w:b/>
          <w:color w:val="000000"/>
          <w:sz w:val="24"/>
        </w:rPr>
        <w:t>GMP</w:t>
      </w:r>
      <w:r>
        <w:rPr>
          <w:color w:val="000000"/>
        </w:rPr>
        <w:t xml:space="preserve">” </w:t>
      </w:r>
      <w:r>
        <w:rPr>
          <w:rFonts w:ascii="Times New Roman" w:hAnsi="Times New Roman"/>
          <w:color w:val="000000"/>
          <w:sz w:val="24"/>
        </w:rPr>
        <w:t xml:space="preserve">means the applicable then-current standards for conducting Manufacturing activities for pharmaceuticals or biologicals (or active pharmaceutical ingredients) as are required by any applicable Regulatory Authority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1.75</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color w:val="000000"/>
          <w:sz w:val="24"/>
        </w:rPr>
        <w:t>means any federal, state, national,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1.76</w:t>
      </w:r>
    </w:p>
    <w:p>
      <w:pPr>
        <w:pStyle w:val="TextBody"/>
        <w:bidi w:val="0"/>
        <w:spacing w:before="0" w:after="240"/>
        <w:jc w:val="both"/>
        <w:rPr/>
      </w:pPr>
      <w:r>
        <w:rPr>
          <w:color w:val="000000"/>
        </w:rPr>
        <w:t>“</w:t>
      </w:r>
      <w:r>
        <w:rPr>
          <w:rFonts w:ascii="Times New Roman" w:hAnsi="Times New Roman"/>
          <w:b/>
          <w:color w:val="000000"/>
          <w:sz w:val="24"/>
        </w:rPr>
        <w:t>Hyslink License Agreement</w:t>
      </w:r>
      <w:r>
        <w:rPr>
          <w:color w:val="000000"/>
        </w:rPr>
        <w:t xml:space="preserve">” </w:t>
      </w:r>
      <w:r>
        <w:rPr>
          <w:rFonts w:ascii="Times New Roman" w:hAnsi="Times New Roman"/>
          <w:color w:val="000000"/>
          <w:sz w:val="24"/>
        </w:rPr>
        <w:t>means that certain “Technology Exclusive License Agreement” by and between MabCare and Shanghai Huilian Biopharmaceutical Co., Ltd (“</w:t>
      </w:r>
      <w:r>
        <w:rPr>
          <w:rFonts w:ascii="Times New Roman" w:hAnsi="Times New Roman"/>
          <w:b/>
          <w:color w:val="000000"/>
          <w:sz w:val="24"/>
        </w:rPr>
        <w:t>Hyslink</w:t>
      </w:r>
      <w:r>
        <w:rPr>
          <w:color w:val="000000"/>
        </w:rPr>
        <w:t>”</w:t>
      </w:r>
      <w:r>
        <w:rPr>
          <w:rFonts w:ascii="Times New Roman" w:hAnsi="Times New Roman"/>
          <w:color w:val="000000"/>
          <w:sz w:val="24"/>
        </w:rPr>
        <w:t>) having an effective date of September 1, 2022, as may be amended as permitted herein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1.77</w:t>
      </w:r>
    </w:p>
    <w:p>
      <w:pPr>
        <w:pStyle w:val="TextBody"/>
        <w:bidi w:val="0"/>
        <w:spacing w:before="0" w:after="240"/>
        <w:jc w:val="both"/>
        <w:rPr/>
      </w:pPr>
      <w:r>
        <w:rPr>
          <w:color w:val="000000"/>
        </w:rPr>
        <w:t>“</w:t>
      </w:r>
      <w:r>
        <w:rPr>
          <w:rFonts w:ascii="Times New Roman" w:hAnsi="Times New Roman"/>
          <w:b/>
          <w:color w:val="000000"/>
          <w:sz w:val="24"/>
        </w:rPr>
        <w:t>Hyslink Licensed Patent</w:t>
      </w:r>
      <w:r>
        <w:rPr>
          <w:color w:val="000000"/>
        </w:rPr>
        <w:t xml:space="preserve">” </w:t>
      </w:r>
      <w:r>
        <w:rPr>
          <w:rFonts w:ascii="Times New Roman" w:hAnsi="Times New Roman"/>
          <w:color w:val="000000"/>
          <w:sz w:val="24"/>
        </w:rPr>
        <w:t>has the meaning set forth in Section 8.8.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1.78</w:t>
      </w:r>
    </w:p>
    <w:p>
      <w:pPr>
        <w:pStyle w:val="TextBody"/>
        <w:bidi w:val="0"/>
        <w:spacing w:before="0" w:after="240"/>
        <w:jc w:val="both"/>
        <w:rPr/>
      </w:pPr>
      <w:r>
        <w:rPr>
          <w:color w:val="000000"/>
        </w:rPr>
        <w:t>“</w:t>
      </w:r>
      <w:r>
        <w:rPr>
          <w:rFonts w:ascii="Times New Roman" w:hAnsi="Times New Roman"/>
          <w:b/>
          <w:color w:val="000000"/>
          <w:sz w:val="24"/>
        </w:rPr>
        <w:t>IAS/IFRS</w:t>
      </w:r>
      <w:r>
        <w:rPr>
          <w:color w:val="000000"/>
        </w:rPr>
        <w:t xml:space="preserve">” </w:t>
      </w:r>
      <w:r>
        <w:rPr>
          <w:rFonts w:ascii="Times New Roman" w:hAnsi="Times New Roman"/>
          <w:color w:val="000000"/>
          <w:sz w:val="24"/>
        </w:rPr>
        <w:t>means International Accounting Standards/International Financial Reporting Standards of the International Accounting Standards Board, consistently applied.</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1.79</w:t>
      </w:r>
    </w:p>
    <w:p>
      <w:pPr>
        <w:pStyle w:val="TextBody"/>
        <w:bidi w:val="0"/>
        <w:spacing w:before="0" w:after="240"/>
        <w:jc w:val="both"/>
        <w:rPr/>
      </w:pPr>
      <w:r>
        <w:rPr>
          <w:color w:val="000000"/>
        </w:rPr>
        <w:t>“</w:t>
      </w:r>
      <w:r>
        <w:rPr>
          <w:rFonts w:ascii="Times New Roman" w:hAnsi="Times New Roman"/>
          <w:b/>
          <w:color w:val="000000"/>
          <w:sz w:val="24"/>
        </w:rPr>
        <w:t>IND</w:t>
      </w:r>
      <w:r>
        <w:rPr>
          <w:color w:val="000000"/>
        </w:rPr>
        <w:t xml:space="preserve">” </w:t>
      </w:r>
      <w:r>
        <w:rPr>
          <w:rFonts w:ascii="Times New Roman" w:hAnsi="Times New Roman"/>
          <w:color w:val="000000"/>
          <w:sz w:val="24"/>
        </w:rPr>
        <w:t>means an investigational new drug application, clinical trial authorization application (“</w:t>
      </w:r>
      <w:r>
        <w:rPr>
          <w:rFonts w:ascii="Times New Roman" w:hAnsi="Times New Roman"/>
          <w:b/>
          <w:color w:val="000000"/>
          <w:sz w:val="24"/>
        </w:rPr>
        <w:t>CTA</w:t>
      </w:r>
      <w:r>
        <w:rPr>
          <w:color w:val="000000"/>
        </w:rPr>
        <w:t>”</w:t>
      </w:r>
      <w:r>
        <w:rPr>
          <w:rFonts w:ascii="Times New Roman" w:hAnsi="Times New Roman"/>
          <w:color w:val="000000"/>
          <w:sz w:val="24"/>
        </w:rPr>
        <w:t xml:space="preserve">), or similar application or submission (including any supplements of any of the foregoing) for approval to conduct Clinical Trials of a pharmaceutical or biological product filed with or submitted to a Regulatory Authority in conformance with the requirements of such Regulatory Authority.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1.80</w:t>
      </w:r>
    </w:p>
    <w:p>
      <w:pPr>
        <w:pStyle w:val="TextBody"/>
        <w:bidi w:val="0"/>
        <w:spacing w:before="0" w:after="240"/>
        <w:jc w:val="both"/>
        <w:rPr/>
      </w:pPr>
      <w:r>
        <w:rPr>
          <w:color w:val="000000"/>
        </w:rPr>
        <w:t>“</w:t>
      </w:r>
      <w:r>
        <w:rPr>
          <w:rFonts w:ascii="Times New Roman" w:hAnsi="Times New Roman"/>
          <w:b/>
          <w:color w:val="000000"/>
          <w:sz w:val="24"/>
        </w:rPr>
        <w:t>Indemnified Party</w:t>
      </w:r>
      <w:r>
        <w:rPr>
          <w:color w:val="000000"/>
        </w:rPr>
        <w:t xml:space="preserve">” </w:t>
      </w:r>
      <w:r>
        <w:rPr>
          <w:rFonts w:ascii="Times New Roman" w:hAnsi="Times New Roman"/>
          <w:color w:val="000000"/>
          <w:sz w:val="24"/>
        </w:rPr>
        <w:t>has the meaning set forth in Section 10.3.1.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1.81</w:t>
      </w:r>
    </w:p>
    <w:p>
      <w:pPr>
        <w:pStyle w:val="TextBody"/>
        <w:bidi w:val="0"/>
        <w:spacing w:before="0" w:after="240"/>
        <w:jc w:val="both"/>
        <w:rPr/>
      </w:pPr>
      <w:r>
        <w:rPr>
          <w:color w:val="000000"/>
        </w:rPr>
        <w:t>“</w:t>
      </w:r>
      <w:r>
        <w:rPr>
          <w:rFonts w:ascii="Times New Roman" w:hAnsi="Times New Roman"/>
          <w:b/>
          <w:color w:val="000000"/>
          <w:sz w:val="24"/>
        </w:rPr>
        <w:t>Indemnifying Party</w:t>
      </w:r>
      <w:r>
        <w:rPr>
          <w:color w:val="000000"/>
        </w:rPr>
        <w:t xml:space="preserve">” </w:t>
      </w:r>
      <w:r>
        <w:rPr>
          <w:rFonts w:ascii="Times New Roman" w:hAnsi="Times New Roman"/>
          <w:color w:val="000000"/>
          <w:sz w:val="24"/>
        </w:rPr>
        <w:t xml:space="preserve">has the meaning set forth in Section 10.3.1.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1.82</w:t>
      </w:r>
    </w:p>
    <w:p>
      <w:pPr>
        <w:pStyle w:val="TextBody"/>
        <w:bidi w:val="0"/>
        <w:spacing w:before="0" w:after="240"/>
        <w:jc w:val="both"/>
        <w:rPr/>
      </w:pPr>
      <w:r>
        <w:rPr>
          <w:color w:val="000000"/>
        </w:rPr>
        <w:t>“</w:t>
      </w:r>
      <w:r>
        <w:rPr>
          <w:rFonts w:ascii="Times New Roman" w:hAnsi="Times New Roman"/>
          <w:b/>
          <w:color w:val="000000"/>
          <w:sz w:val="24"/>
        </w:rPr>
        <w:t>Indication</w:t>
      </w:r>
      <w:r>
        <w:rPr>
          <w:color w:val="000000"/>
        </w:rPr>
        <w:t xml:space="preserve">” </w:t>
      </w:r>
      <w:r>
        <w:rPr>
          <w:rFonts w:ascii="Times New Roman" w:hAnsi="Times New Roman"/>
          <w:color w:val="000000"/>
          <w:sz w:val="24"/>
        </w:rPr>
        <w:t>means any separate and distinct disease or medical condition in humans.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w:t>
      </w:r>
    </w:p>
    <w:p>
      <w:pPr>
        <w:pStyle w:val="TextBody"/>
        <w:bidi w:val="0"/>
        <w:spacing w:before="0" w:after="240"/>
        <w:jc w:val="both"/>
        <w:rPr/>
      </w:pPr>
      <w:r>
        <w:rPr>
          <w:color w:val="000000"/>
        </w:rPr>
        <w:t>“</w:t>
      </w:r>
      <w:r>
        <w:rPr>
          <w:rFonts w:ascii="Times New Roman" w:hAnsi="Times New Roman"/>
          <w:b/>
          <w:color w:val="000000"/>
          <w:sz w:val="24"/>
        </w:rPr>
        <w:t>Initial Dose Escalation Study</w:t>
      </w:r>
      <w:r>
        <w:rPr>
          <w:color w:val="000000"/>
        </w:rPr>
        <w:t xml:space="preserve">” </w:t>
      </w:r>
      <w:r>
        <w:rPr>
          <w:rFonts w:ascii="Times New Roman" w:hAnsi="Times New Roman"/>
          <w:color w:val="000000"/>
          <w:sz w:val="24"/>
        </w:rPr>
        <w:t>means the first portion of a Clinical Trial of a product that is intended to evaluate potential doses of such product by introducing progressively higher doses of such product into small cohorts of patients (or healthy subjects) to assess its safety, metabolism, pharmacokinetic properties, or clinical pharmacology.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1.84</w:t>
      </w:r>
    </w:p>
    <w:p>
      <w:pPr>
        <w:pStyle w:val="TextBody"/>
        <w:bidi w:val="0"/>
        <w:spacing w:before="0" w:after="240"/>
        <w:jc w:val="both"/>
        <w:rPr/>
      </w:pPr>
      <w:r>
        <w:rPr>
          <w:color w:val="000000"/>
        </w:rPr>
        <w:t>“</w:t>
      </w:r>
      <w:r>
        <w:rPr>
          <w:rFonts w:ascii="Times New Roman" w:hAnsi="Times New Roman"/>
          <w:b/>
          <w:color w:val="000000"/>
          <w:sz w:val="24"/>
        </w:rPr>
        <w:t>Initial Registrational or Randomized Study</w:t>
      </w:r>
      <w:r>
        <w:rPr>
          <w:color w:val="000000"/>
        </w:rPr>
        <w:t xml:space="preserve">” </w:t>
      </w:r>
      <w:r>
        <w:rPr>
          <w:rFonts w:ascii="Times New Roman" w:hAnsi="Times New Roman"/>
          <w:color w:val="000000"/>
          <w:sz w:val="24"/>
        </w:rPr>
        <w:t>means a Clinical Trial of a product that is intended to (a) obtain sufficient efficacy and safety data in patients via a single-arm or randomized trial with the indication being studied which is confirmed in writing with the relevant Regulatory Authority to support accelerated (including conditional or other analogous) Regulatory Approval for such indication or (b) provide additional efficacy and safety data via a randomized trial to support continued development of the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Initiation</w:t>
      </w:r>
      <w:r>
        <w:rPr>
          <w:color w:val="000000"/>
        </w:rPr>
        <w:t xml:space="preserve">” </w:t>
      </w:r>
      <w:r>
        <w:rPr>
          <w:rFonts w:ascii="Times New Roman" w:hAnsi="Times New Roman"/>
          <w:color w:val="000000"/>
          <w:sz w:val="24"/>
        </w:rPr>
        <w:t xml:space="preserve">means, with respect to a Clinical Trial, </w:t>
      </w:r>
      <w:bookmarkStart w:id="37" w:name="ole_link25"/>
      <w:bookmarkStart w:id="38" w:name="ole_link24"/>
      <w:bookmarkEnd w:id="37"/>
      <w:bookmarkEnd w:id="38"/>
      <w:r>
        <w:rPr>
          <w:rFonts w:ascii="Times New Roman" w:hAnsi="Times New Roman"/>
          <w:color w:val="000000"/>
          <w:sz w:val="24"/>
        </w:rPr>
        <w:t xml:space="preserve">the first dosing of the first patient in such Clinical Trial.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1.86</w:t>
      </w:r>
    </w:p>
    <w:p>
      <w:pPr>
        <w:pStyle w:val="TextBody"/>
        <w:bidi w:val="0"/>
        <w:spacing w:before="0" w:after="240"/>
        <w:jc w:val="both"/>
        <w:rPr/>
      </w:pPr>
      <w:r>
        <w:rPr>
          <w:color w:val="000000"/>
        </w:rPr>
        <w:t>“</w:t>
      </w:r>
      <w:r>
        <w:rPr>
          <w:rFonts w:ascii="Times New Roman" w:hAnsi="Times New Roman"/>
          <w:b/>
          <w:color w:val="000000"/>
          <w:sz w:val="24"/>
        </w:rPr>
        <w:t>Insolvent Event</w:t>
      </w:r>
      <w:r>
        <w:rPr>
          <w:color w:val="000000"/>
        </w:rPr>
        <w:t xml:space="preserve">” </w:t>
      </w:r>
      <w:r>
        <w:rPr>
          <w:rFonts w:ascii="Times New Roman" w:hAnsi="Times New Roman"/>
          <w:color w:val="000000"/>
          <w:sz w:val="24"/>
        </w:rPr>
        <w:t>has the meaning set forth in Section 11.4.1.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1.87</w:t>
      </w:r>
    </w:p>
    <w:p>
      <w:pPr>
        <w:pStyle w:val="TextBody"/>
        <w:bidi w:val="0"/>
        <w:spacing w:before="0" w:after="240"/>
        <w:jc w:val="both"/>
        <w:rPr/>
      </w:pPr>
      <w:r>
        <w:rPr>
          <w:color w:val="000000"/>
        </w:rPr>
        <w:t>“</w:t>
      </w:r>
      <w:r>
        <w:rPr>
          <w:rFonts w:ascii="Times New Roman" w:hAnsi="Times New Roman"/>
          <w:b/>
          <w:color w:val="000000"/>
          <w:sz w:val="24"/>
        </w:rPr>
        <w:t>Joint Foreground Know-How</w:t>
      </w:r>
      <w:r>
        <w:rPr>
          <w:color w:val="000000"/>
        </w:rPr>
        <w:t xml:space="preserve">” </w:t>
      </w:r>
      <w:r>
        <w:rPr>
          <w:rFonts w:ascii="Times New Roman" w:hAnsi="Times New Roman"/>
          <w:color w:val="000000"/>
          <w:sz w:val="24"/>
        </w:rPr>
        <w:t>means any and all Foreground Know-How that is generated, developed, conceived or reduced to practice jointly by or on behalf of MabCare or any of its Affiliates and Day One or any of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1.88</w:t>
      </w:r>
    </w:p>
    <w:p>
      <w:pPr>
        <w:pStyle w:val="TextBody"/>
        <w:bidi w:val="0"/>
        <w:spacing w:before="0" w:after="240"/>
        <w:jc w:val="both"/>
        <w:rPr/>
      </w:pPr>
      <w:r>
        <w:rPr>
          <w:color w:val="000000"/>
        </w:rPr>
        <w:t>“</w:t>
      </w:r>
      <w:r>
        <w:rPr>
          <w:rFonts w:ascii="Times New Roman" w:hAnsi="Times New Roman"/>
          <w:b/>
          <w:color w:val="000000"/>
          <w:sz w:val="24"/>
        </w:rPr>
        <w:t>Joint Foreground Patents</w:t>
      </w:r>
      <w:r>
        <w:rPr>
          <w:color w:val="000000"/>
        </w:rPr>
        <w:t xml:space="preserve">” </w:t>
      </w:r>
      <w:r>
        <w:rPr>
          <w:rFonts w:ascii="Times New Roman" w:hAnsi="Times New Roman"/>
          <w:color w:val="000000"/>
          <w:sz w:val="24"/>
        </w:rPr>
        <w:t>means any and all Patent Rights that claim Joint Foreground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1.89</w:t>
      </w:r>
    </w:p>
    <w:p>
      <w:pPr>
        <w:pStyle w:val="TextBody"/>
        <w:bidi w:val="0"/>
        <w:spacing w:before="0" w:after="240"/>
        <w:jc w:val="both"/>
        <w:rPr/>
      </w:pPr>
      <w:r>
        <w:rPr>
          <w:color w:val="000000"/>
        </w:rPr>
        <w:t>“</w:t>
      </w:r>
      <w:r>
        <w:rPr>
          <w:rFonts w:ascii="Times New Roman" w:hAnsi="Times New Roman"/>
          <w:b/>
          <w:color w:val="000000"/>
          <w:sz w:val="24"/>
        </w:rPr>
        <w:t>Joint Foreground IP</w:t>
      </w:r>
      <w:r>
        <w:rPr>
          <w:color w:val="000000"/>
        </w:rPr>
        <w:t xml:space="preserve">” </w:t>
      </w:r>
      <w:r>
        <w:rPr>
          <w:rFonts w:ascii="Times New Roman" w:hAnsi="Times New Roman"/>
          <w:color w:val="000000"/>
          <w:sz w:val="24"/>
        </w:rPr>
        <w:t>means the Joint Foreground Know-How and Joint Foreground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1.90</w:t>
      </w:r>
    </w:p>
    <w:p>
      <w:pPr>
        <w:pStyle w:val="TextBody"/>
        <w:bidi w:val="0"/>
        <w:spacing w:before="0" w:after="240"/>
        <w:jc w:val="both"/>
        <w:rPr/>
      </w:pPr>
      <w:r>
        <w:rPr>
          <w:color w:val="000000"/>
        </w:rPr>
        <w:t>“</w:t>
      </w:r>
      <w:r>
        <w:rPr>
          <w:rFonts w:ascii="Times New Roman" w:hAnsi="Times New Roman"/>
          <w:b/>
          <w:color w:val="000000"/>
          <w:sz w:val="24"/>
        </w:rPr>
        <w:t>JSC</w:t>
      </w:r>
      <w:r>
        <w:rPr>
          <w:color w:val="000000"/>
        </w:rPr>
        <w:t xml:space="preserve">” </w:t>
      </w:r>
      <w:r>
        <w:rPr>
          <w:rFonts w:ascii="Times New Roman" w:hAnsi="Times New Roman"/>
          <w:color w:val="000000"/>
          <w:sz w:val="24"/>
        </w:rPr>
        <w:t xml:space="preserve">has the meaning set forth in Section 3.1.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w:t>
      </w:r>
    </w:p>
    <w:p>
      <w:pPr>
        <w:pStyle w:val="TextBody"/>
        <w:bidi w:val="0"/>
        <w:spacing w:before="0" w:after="240"/>
        <w:jc w:val="both"/>
        <w:rPr/>
      </w:pPr>
      <w:r>
        <w:rPr>
          <w:color w:val="000000"/>
        </w:rPr>
        <w:t>“</w:t>
      </w:r>
      <w:r>
        <w:rPr>
          <w:rFonts w:ascii="Times New Roman" w:hAnsi="Times New Roman"/>
          <w:b/>
          <w:color w:val="000000"/>
          <w:sz w:val="24"/>
        </w:rPr>
        <w:t>Knowledge</w:t>
      </w:r>
      <w:r>
        <w:rPr>
          <w:color w:val="00000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1.92</w:t>
      </w:r>
    </w:p>
    <w:p>
      <w:pPr>
        <w:pStyle w:val="TextBody"/>
        <w:bidi w:val="0"/>
        <w:spacing w:before="0" w:after="240"/>
        <w:jc w:val="both"/>
        <w:rPr/>
      </w:pPr>
      <w:r>
        <w:rPr>
          <w:color w:val="000000"/>
        </w:rPr>
        <w:t>“</w:t>
      </w:r>
      <w:r>
        <w:rPr>
          <w:rFonts w:ascii="Times New Roman" w:hAnsi="Times New Roman"/>
          <w:b/>
          <w:color w:val="000000"/>
          <w:sz w:val="24"/>
        </w:rPr>
        <w:t>Know-How</w:t>
      </w:r>
      <w:r>
        <w:rPr>
          <w:color w:val="000000"/>
        </w:rPr>
        <w:t xml:space="preserve">” </w:t>
      </w:r>
      <w:r>
        <w:rPr>
          <w:rFonts w:ascii="Times New Roman" w:hAnsi="Times New Roman"/>
          <w:color w:val="000000"/>
          <w:sz w:val="24"/>
        </w:rPr>
        <w:t xml:space="preserve">means any proprietary or non-public scientific or technical information, inventions, discoveries, results and data of any type whatsoever, in any tangible or intangible form, including inventions, discoveries, databases, safety information, practices, methods, instructions, techniques, processes, drawings, documentation, specifications,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formulations, formulae, knowledge, know-how, trade secrets, skill, experience, test data and other information and technology applicable to formulations, compositions or products or to their manufacture, development, registration, use, marketing or sale or to methods of assaying or testing them, including pharmacological, pharmaceutical, medicinal chemistry, biological, chemical, biochemical, toxicological and clinical test data, physical and analytical, safety, quality control data, manufacturing, and stability data, studies and procedures, and manufacturing process and development information, results and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1.93</w:t>
      </w:r>
    </w:p>
    <w:p>
      <w:pPr>
        <w:pStyle w:val="TextBody"/>
        <w:bidi w:val="0"/>
        <w:spacing w:before="0" w:after="240"/>
        <w:jc w:val="both"/>
        <w:rPr/>
      </w:pPr>
      <w:r>
        <w:rPr>
          <w:color w:val="000000"/>
        </w:rPr>
        <w:t>“</w:t>
      </w:r>
      <w:r>
        <w:rPr>
          <w:rFonts w:ascii="Times New Roman" w:hAnsi="Times New Roman"/>
          <w:b/>
          <w:color w:val="000000"/>
          <w:sz w:val="24"/>
        </w:rPr>
        <w:t>Licensed Compound</w:t>
      </w:r>
      <w:r>
        <w:rPr>
          <w:color w:val="000000"/>
        </w:rPr>
        <w:t xml:space="preserve">” </w:t>
      </w:r>
      <w:r>
        <w:rPr>
          <w:rFonts w:ascii="Times New Roman" w:hAnsi="Times New Roman"/>
          <w:color w:val="000000"/>
          <w:sz w:val="24"/>
        </w:rPr>
        <w:t>means any ADC Directed To PTK7 Controlled by MabCare or its Affiliates as of the Effective Date or during the Term, including CB-002, but excluding, for clarity, any such ADC in an Acquirer Program of MabCare’s Acquirer.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1.94</w:t>
      </w:r>
    </w:p>
    <w:p>
      <w:pPr>
        <w:pStyle w:val="TextBody"/>
        <w:bidi w:val="0"/>
        <w:spacing w:before="0" w:after="240"/>
        <w:jc w:val="both"/>
        <w:rPr/>
      </w:pPr>
      <w:r>
        <w:rPr>
          <w:color w:val="000000"/>
        </w:rPr>
        <w:t>“</w:t>
      </w:r>
      <w:r>
        <w:rPr>
          <w:rFonts w:ascii="Times New Roman" w:hAnsi="Times New Roman"/>
          <w:b/>
          <w:color w:val="000000"/>
          <w:sz w:val="24"/>
        </w:rPr>
        <w:t>Licensed Product</w:t>
      </w:r>
      <w:r>
        <w:rPr>
          <w:color w:val="000000"/>
        </w:rPr>
        <w:t xml:space="preserve">” </w:t>
      </w:r>
      <w:r>
        <w:rPr>
          <w:rFonts w:ascii="Times New Roman" w:hAnsi="Times New Roman"/>
          <w:color w:val="000000"/>
          <w:sz w:val="24"/>
        </w:rPr>
        <w:t>means any product containing or comprising a Licensed Compound (alone or in the form of a Combination Product) in all forms, presentations, formulations, methods of administration and dosage forms.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1.95</w:t>
      </w:r>
    </w:p>
    <w:p>
      <w:pPr>
        <w:pStyle w:val="TextBody"/>
        <w:bidi w:val="0"/>
        <w:spacing w:before="0" w:after="240"/>
        <w:jc w:val="both"/>
        <w:rPr/>
      </w:pPr>
      <w:r>
        <w:rPr>
          <w:color w:val="000000"/>
        </w:rPr>
        <w:t>“</w:t>
      </w:r>
      <w:r>
        <w:rPr>
          <w:rFonts w:ascii="Times New Roman" w:hAnsi="Times New Roman"/>
          <w:b/>
          <w:color w:val="000000"/>
          <w:sz w:val="24"/>
        </w:rPr>
        <w:t>Linker</w:t>
      </w:r>
      <w:r>
        <w:rPr>
          <w:color w:val="000000"/>
        </w:rPr>
        <w:t xml:space="preserve">” </w:t>
      </w:r>
      <w:r>
        <w:rPr>
          <w:rFonts w:ascii="Times New Roman" w:hAnsi="Times New Roman"/>
          <w:color w:val="000000"/>
          <w:sz w:val="24"/>
        </w:rPr>
        <w:t>means a chemical composition or method for attaching a Payload to an antibody.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1.96</w:t>
      </w:r>
    </w:p>
    <w:p>
      <w:pPr>
        <w:pStyle w:val="TextBody"/>
        <w:bidi w:val="0"/>
        <w:spacing w:before="0" w:after="240"/>
        <w:jc w:val="both"/>
        <w:rPr/>
      </w:pPr>
      <w:r>
        <w:rPr>
          <w:color w:val="000000"/>
        </w:rPr>
        <w:t>“</w:t>
      </w:r>
      <w:r>
        <w:rPr>
          <w:rFonts w:ascii="Times New Roman" w:hAnsi="Times New Roman"/>
          <w:b/>
          <w:color w:val="000000"/>
          <w:sz w:val="24"/>
        </w:rPr>
        <w:t>Losses</w:t>
      </w:r>
      <w:r>
        <w:rPr>
          <w:color w:val="000000"/>
        </w:rPr>
        <w:t xml:space="preserve">” </w:t>
      </w:r>
      <w:r>
        <w:rPr>
          <w:rFonts w:ascii="Times New Roman" w:hAnsi="Times New Roman"/>
          <w:color w:val="000000"/>
          <w:sz w:val="24"/>
        </w:rPr>
        <w:t xml:space="preserve">has the meaning set forth in Section 10.1.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1.97</w:t>
      </w:r>
    </w:p>
    <w:p>
      <w:pPr>
        <w:pStyle w:val="TextBody"/>
        <w:bidi w:val="0"/>
        <w:spacing w:before="0" w:after="240"/>
        <w:jc w:val="both"/>
        <w:rPr/>
      </w:pPr>
      <w:r>
        <w:rPr>
          <w:color w:val="000000"/>
        </w:rPr>
        <w:t>“</w:t>
      </w:r>
      <w:r>
        <w:rPr>
          <w:rFonts w:ascii="Times New Roman" w:hAnsi="Times New Roman"/>
          <w:b/>
          <w:color w:val="000000"/>
          <w:sz w:val="24"/>
        </w:rPr>
        <w:t>MabCare Development Plan</w:t>
      </w:r>
      <w:r>
        <w:rPr>
          <w:color w:val="000000"/>
        </w:rPr>
        <w:t xml:space="preserve">” </w:t>
      </w:r>
      <w:r>
        <w:rPr>
          <w:rFonts w:ascii="Times New Roman" w:hAnsi="Times New Roman"/>
          <w:color w:val="000000"/>
          <w:sz w:val="24"/>
        </w:rPr>
        <w:t>has the meaning set forth in Section 4.4.1.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1.98</w:t>
      </w:r>
    </w:p>
    <w:p>
      <w:pPr>
        <w:pStyle w:val="TextBody"/>
        <w:bidi w:val="0"/>
        <w:spacing w:before="0" w:after="240"/>
        <w:jc w:val="both"/>
        <w:rPr/>
      </w:pPr>
      <w:r>
        <w:rPr>
          <w:color w:val="000000"/>
        </w:rPr>
        <w:t>“</w:t>
      </w:r>
      <w:r>
        <w:rPr>
          <w:rFonts w:ascii="Times New Roman" w:hAnsi="Times New Roman"/>
          <w:b/>
          <w:color w:val="000000"/>
          <w:sz w:val="24"/>
        </w:rPr>
        <w:t>MabCare Foreground Know-How</w:t>
      </w:r>
      <w:r>
        <w:rPr>
          <w:color w:val="000000"/>
        </w:rPr>
        <w:t xml:space="preserve">” </w:t>
      </w:r>
      <w:r>
        <w:rPr>
          <w:rFonts w:ascii="Times New Roman" w:hAnsi="Times New Roman"/>
          <w:color w:val="000000"/>
          <w:sz w:val="24"/>
        </w:rPr>
        <w:t>means any and all Foreground Know-How generated, developed, conceived or reduced to practice solely by on behalf of MabCare or its Affiliates other than improvements solely with respect to Day One Background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1.99</w:t>
      </w:r>
    </w:p>
    <w:p>
      <w:pPr>
        <w:pStyle w:val="TextBody"/>
        <w:bidi w:val="0"/>
        <w:spacing w:before="0" w:after="240"/>
        <w:jc w:val="both"/>
        <w:rPr/>
      </w:pPr>
      <w:r>
        <w:rPr>
          <w:color w:val="000000"/>
        </w:rPr>
        <w:t>“</w:t>
      </w:r>
      <w:r>
        <w:rPr>
          <w:rFonts w:ascii="Times New Roman" w:hAnsi="Times New Roman"/>
          <w:b/>
          <w:color w:val="000000"/>
          <w:sz w:val="24"/>
        </w:rPr>
        <w:t>MabCare Foreground Patents</w:t>
      </w:r>
      <w:r>
        <w:rPr>
          <w:color w:val="000000"/>
        </w:rPr>
        <w:t xml:space="preserve">” </w:t>
      </w:r>
      <w:r>
        <w:rPr>
          <w:rFonts w:ascii="Times New Roman" w:hAnsi="Times New Roman"/>
          <w:color w:val="000000"/>
          <w:sz w:val="24"/>
        </w:rPr>
        <w:t>means any and all Patent Rights that claim MabCare Foreground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1.100</w:t>
      </w:r>
    </w:p>
    <w:p>
      <w:pPr>
        <w:pStyle w:val="TextBody"/>
        <w:bidi w:val="0"/>
        <w:spacing w:before="0" w:after="240"/>
        <w:jc w:val="both"/>
        <w:rPr/>
      </w:pPr>
      <w:r>
        <w:rPr>
          <w:color w:val="000000"/>
        </w:rPr>
        <w:t>“</w:t>
      </w:r>
      <w:r>
        <w:rPr>
          <w:rFonts w:ascii="Times New Roman" w:hAnsi="Times New Roman"/>
          <w:b/>
          <w:color w:val="000000"/>
          <w:sz w:val="24"/>
        </w:rPr>
        <w:t>MabCare Indemnitee</w:t>
      </w:r>
      <w:r>
        <w:rPr>
          <w:color w:val="000000"/>
        </w:rPr>
        <w:t xml:space="preserve">” </w:t>
      </w:r>
      <w:r>
        <w:rPr>
          <w:rFonts w:ascii="Times New Roman" w:hAnsi="Times New Roman"/>
          <w:color w:val="000000"/>
          <w:sz w:val="24"/>
        </w:rPr>
        <w:t xml:space="preserve">has the meaning set forth in Section 10.1.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1.101</w:t>
      </w:r>
    </w:p>
    <w:p>
      <w:pPr>
        <w:pStyle w:val="TextBody"/>
        <w:bidi w:val="0"/>
        <w:spacing w:before="0" w:after="240"/>
        <w:jc w:val="both"/>
        <w:rPr/>
      </w:pPr>
      <w:r>
        <w:rPr>
          <w:color w:val="000000"/>
        </w:rPr>
        <w:t>“</w:t>
      </w:r>
      <w:r>
        <w:rPr>
          <w:rFonts w:ascii="Times New Roman" w:hAnsi="Times New Roman"/>
          <w:b/>
          <w:color w:val="000000"/>
          <w:sz w:val="24"/>
        </w:rPr>
        <w:t>MabCare Know-How</w:t>
      </w:r>
      <w:r>
        <w:rPr>
          <w:color w:val="000000"/>
        </w:rPr>
        <w:t xml:space="preserve">” </w:t>
      </w:r>
      <w:r>
        <w:rPr>
          <w:rFonts w:ascii="Times New Roman" w:hAnsi="Times New Roman"/>
          <w:color w:val="000000"/>
          <w:sz w:val="24"/>
        </w:rPr>
        <w:t xml:space="preserve">means any and all Know-How Controlled by MabCare or any of its Affiliates as of the Effective Date or during the Term that is necessary or reasonably useful to Develop, Manufacture, Commercialize or otherwise exploit the Licensed Compounds and Licensed Products in accordance with the terms of this Agreement. The MabCare Know-How includes the MabCare Foreground Know-How.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1.102</w:t>
      </w:r>
    </w:p>
    <w:p>
      <w:pPr>
        <w:pStyle w:val="TextBody"/>
        <w:bidi w:val="0"/>
        <w:spacing w:before="0" w:after="240"/>
        <w:jc w:val="both"/>
        <w:rPr/>
      </w:pPr>
      <w:r>
        <w:rPr>
          <w:color w:val="000000"/>
        </w:rPr>
        <w:t>“</w:t>
      </w:r>
      <w:r>
        <w:rPr>
          <w:rFonts w:ascii="Times New Roman" w:hAnsi="Times New Roman"/>
          <w:b/>
          <w:color w:val="000000"/>
          <w:sz w:val="24"/>
        </w:rPr>
        <w:t>MabCare Manufacturing Agreements</w:t>
      </w:r>
      <w:r>
        <w:rPr>
          <w:color w:val="000000"/>
        </w:rPr>
        <w:t xml:space="preserve">” </w:t>
      </w:r>
      <w:r>
        <w:rPr>
          <w:rFonts w:ascii="Times New Roman" w:hAnsi="Times New Roman"/>
          <w:color w:val="000000"/>
          <w:sz w:val="24"/>
        </w:rPr>
        <w:t>means the (a) QuaCell Agreement, (b) Technology Development (Payload-Linker GMP Manufacturing) Agreement by and between MabCare and ChemExpress, dated September 21, 2023, and (c) Master Services Agreement by and between MabCare and Intellective Biologics (together with any Work Order), dated June 30, 2023, with the work order dated June 30, 2023.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1.103</w:t>
      </w:r>
    </w:p>
    <w:p>
      <w:pPr>
        <w:pStyle w:val="TextBody"/>
        <w:bidi w:val="0"/>
        <w:spacing w:before="0" w:after="240"/>
        <w:jc w:val="both"/>
        <w:rPr/>
      </w:pPr>
      <w:r>
        <w:rPr>
          <w:color w:val="000000"/>
        </w:rPr>
        <w:t>“</w:t>
      </w:r>
      <w:r>
        <w:rPr>
          <w:rFonts w:ascii="Times New Roman" w:hAnsi="Times New Roman"/>
          <w:b/>
          <w:color w:val="000000"/>
          <w:sz w:val="24"/>
        </w:rPr>
        <w:t>MabCare Materials</w:t>
      </w:r>
      <w:r>
        <w:rPr>
          <w:color w:val="000000"/>
        </w:rPr>
        <w:t xml:space="preserve">” </w:t>
      </w:r>
      <w:r>
        <w:rPr>
          <w:rFonts w:ascii="Times New Roman" w:hAnsi="Times New Roman"/>
          <w:color w:val="000000"/>
          <w:sz w:val="24"/>
        </w:rPr>
        <w:t>means the cell line used by MabCare for the Manufacture of CB-002 and listed in Schedule 1.103.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1.104</w:t>
      </w:r>
    </w:p>
    <w:p>
      <w:pPr>
        <w:pStyle w:val="TextBody"/>
        <w:bidi w:val="0"/>
        <w:spacing w:before="0" w:after="240"/>
        <w:jc w:val="both"/>
        <w:rPr/>
      </w:pPr>
      <w:r>
        <w:rPr>
          <w:color w:val="000000"/>
        </w:rPr>
        <w:t>“</w:t>
      </w:r>
      <w:r>
        <w:rPr>
          <w:rFonts w:ascii="Times New Roman" w:hAnsi="Times New Roman"/>
          <w:b/>
          <w:color w:val="000000"/>
          <w:sz w:val="24"/>
        </w:rPr>
        <w:t>MabCare Patents</w:t>
      </w:r>
      <w:r>
        <w:rPr>
          <w:color w:val="000000"/>
        </w:rPr>
        <w:t xml:space="preserve">” </w:t>
      </w:r>
      <w:r>
        <w:rPr>
          <w:rFonts w:ascii="Times New Roman" w:hAnsi="Times New Roman"/>
          <w:color w:val="000000"/>
          <w:sz w:val="24"/>
        </w:rPr>
        <w:t xml:space="preserve">means any and all Patent Rights Controlled by MabCare or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any of its Affiliates as of the Effective Date or during the Term that are necessary to Develop, Manufacture, Commercialize or otherwise exploit the Licensed Compounds and Licensed Products in accordance with the terms of this Agreement. The MabCare Patents include the MabCare Foreground Patents in the Day One Territory. The MabCare Patents existing as of the Effective Date are listed on Schedule 1.104 hereto. During the Term, MabCare will update Schedule 1.104 upon the reasonable request of Day One.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1.105</w:t>
      </w:r>
    </w:p>
    <w:p>
      <w:pPr>
        <w:pStyle w:val="TextBody"/>
        <w:bidi w:val="0"/>
        <w:spacing w:before="0" w:after="240"/>
        <w:jc w:val="both"/>
        <w:rPr/>
      </w:pPr>
      <w:r>
        <w:rPr>
          <w:color w:val="000000"/>
        </w:rPr>
        <w:t>“</w:t>
      </w:r>
      <w:r>
        <w:rPr>
          <w:rFonts w:ascii="Times New Roman" w:hAnsi="Times New Roman"/>
          <w:b/>
          <w:color w:val="000000"/>
          <w:sz w:val="24"/>
        </w:rPr>
        <w:t>MabCare PCT</w:t>
      </w:r>
      <w:r>
        <w:rPr>
          <w:color w:val="000000"/>
        </w:rPr>
        <w:t xml:space="preserve">” </w:t>
      </w:r>
      <w:r>
        <w:rPr>
          <w:rFonts w:ascii="Times New Roman" w:hAnsi="Times New Roman"/>
          <w:color w:val="000000"/>
          <w:sz w:val="24"/>
        </w:rPr>
        <w:t>has the meaning set forth in Section 8.2.1.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1.106</w:t>
      </w:r>
    </w:p>
    <w:p>
      <w:pPr>
        <w:pStyle w:val="TextBody"/>
        <w:bidi w:val="0"/>
        <w:spacing w:before="0" w:after="240"/>
        <w:jc w:val="both"/>
        <w:rPr/>
      </w:pPr>
      <w:r>
        <w:rPr>
          <w:color w:val="000000"/>
        </w:rPr>
        <w:t>“</w:t>
      </w:r>
      <w:r>
        <w:rPr>
          <w:rFonts w:ascii="Times New Roman" w:hAnsi="Times New Roman"/>
          <w:b/>
          <w:color w:val="000000"/>
          <w:sz w:val="24"/>
        </w:rPr>
        <w:t>MabCare Platform</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1.107</w:t>
      </w:r>
    </w:p>
    <w:p>
      <w:pPr>
        <w:pStyle w:val="TextBody"/>
        <w:bidi w:val="0"/>
        <w:spacing w:before="0" w:after="240"/>
        <w:jc w:val="both"/>
        <w:rPr/>
      </w:pPr>
      <w:r>
        <w:rPr>
          <w:color w:val="000000"/>
        </w:rPr>
        <w:t>“</w:t>
      </w:r>
      <w:r>
        <w:rPr>
          <w:rFonts w:ascii="Times New Roman" w:hAnsi="Times New Roman"/>
          <w:b/>
          <w:color w:val="000000"/>
          <w:sz w:val="24"/>
        </w:rPr>
        <w:t>MabCare</w:t>
      </w:r>
      <w:r>
        <w:rPr>
          <w:color w:val="000000"/>
        </w:rPr>
        <w:t xml:space="preserve"> </w:t>
      </w:r>
      <w:r>
        <w:rPr>
          <w:rFonts w:ascii="Times New Roman" w:hAnsi="Times New Roman"/>
          <w:b/>
          <w:color w:val="000000"/>
          <w:sz w:val="24"/>
        </w:rPr>
        <w:t>Technology</w:t>
      </w:r>
      <w:r>
        <w:rPr>
          <w:color w:val="000000"/>
        </w:rPr>
        <w:t xml:space="preserve">” </w:t>
      </w:r>
      <w:r>
        <w:rPr>
          <w:rFonts w:ascii="Times New Roman" w:hAnsi="Times New Roman"/>
          <w:color w:val="000000"/>
          <w:sz w:val="24"/>
        </w:rPr>
        <w:t>means the MabCare Know-How and MabCare Patents, including any MabCare Know-How within and MabCare Patent Rights Covering the MabCare Materials.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1.108</w:t>
      </w:r>
    </w:p>
    <w:p>
      <w:pPr>
        <w:pStyle w:val="TextBody"/>
        <w:bidi w:val="0"/>
        <w:spacing w:before="0" w:after="240"/>
        <w:jc w:val="both"/>
        <w:rPr/>
      </w:pPr>
      <w:r>
        <w:rPr>
          <w:color w:val="000000"/>
        </w:rPr>
        <w:t>“</w:t>
      </w:r>
      <w:r>
        <w:rPr>
          <w:rFonts w:ascii="Times New Roman" w:hAnsi="Times New Roman"/>
          <w:b/>
          <w:color w:val="000000"/>
          <w:sz w:val="24"/>
        </w:rPr>
        <w:t>MabCare Territory</w:t>
      </w:r>
      <w:r>
        <w:rPr>
          <w:color w:val="000000"/>
        </w:rPr>
        <w:t xml:space="preserve">” </w:t>
      </w:r>
      <w:r>
        <w:rPr>
          <w:rFonts w:ascii="Times New Roman" w:hAnsi="Times New Roman"/>
          <w:color w:val="000000"/>
          <w:sz w:val="24"/>
        </w:rPr>
        <w:t>means Mainland China, the Hong Kong Special Administrative Region (SAR), the Macau Special Administrative Region (SAR) and Taiwan.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1.109</w:t>
      </w:r>
    </w:p>
    <w:p>
      <w:pPr>
        <w:pStyle w:val="TextBody"/>
        <w:bidi w:val="0"/>
        <w:spacing w:before="0" w:after="240"/>
        <w:jc w:val="both"/>
        <w:rPr/>
      </w:pPr>
      <w:r>
        <w:rPr>
          <w:color w:val="000000"/>
        </w:rPr>
        <w:t>“</w:t>
      </w:r>
      <w:r>
        <w:rPr>
          <w:rFonts w:ascii="Times New Roman" w:hAnsi="Times New Roman"/>
          <w:b/>
          <w:color w:val="000000"/>
          <w:sz w:val="24"/>
        </w:rPr>
        <w:t>Major Markets</w:t>
      </w:r>
      <w:r>
        <w:rPr>
          <w:color w:val="000000"/>
        </w:rPr>
        <w:t xml:space="preserve">” </w:t>
      </w:r>
      <w:r>
        <w:rPr>
          <w:rFonts w:ascii="Times New Roman" w:hAnsi="Times New Roman"/>
          <w:color w:val="000000"/>
          <w:sz w:val="24"/>
        </w:rPr>
        <w:t>has the meaning set forth in Section 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0" w:after="240"/>
        <w:jc w:val="both"/>
        <w:rPr/>
      </w:pPr>
      <w:r>
        <w:rPr>
          <w:color w:val="000000"/>
        </w:rPr>
        <w:t>“</w:t>
      </w:r>
      <w:r>
        <w:rPr>
          <w:rFonts w:ascii="Times New Roman" w:hAnsi="Times New Roman"/>
          <w:b/>
          <w:color w:val="000000"/>
          <w:sz w:val="24"/>
        </w:rPr>
        <w:t>Manufacture</w:t>
      </w:r>
      <w:r>
        <w:rPr>
          <w:color w:val="000000"/>
        </w:rPr>
        <w:t xml:space="preserve">” </w:t>
      </w:r>
      <w:r>
        <w:rPr>
          <w:rFonts w:ascii="Times New Roman" w:hAnsi="Times New Roman"/>
          <w:color w:val="000000"/>
          <w:sz w:val="24"/>
        </w:rPr>
        <w:t>means all activities in connection with the manufacture of a compound or product, including the processing, formulating, testing (including quality control, quality assurance and lot release testing), bulk packaging, filling, finishing, packaging, labeling, inspecting, receiving, storage, release, shipping and delivery, sourcing of materials, process qualification, validation and optimization, and stability testing of such compound or product. For the avoidance of doubt, the right to Manufacture a product will include the right to make, have made, use and import such compound or product for the purposes set forth above. “</w:t>
      </w:r>
      <w:r>
        <w:rPr>
          <w:rFonts w:ascii="Times New Roman" w:hAnsi="Times New Roman"/>
          <w:b/>
          <w:color w:val="000000"/>
          <w:sz w:val="24"/>
        </w:rPr>
        <w:t>Manufacturing</w:t>
      </w:r>
      <w:r>
        <w:rPr>
          <w:color w:val="000000"/>
        </w:rPr>
        <w:t xml:space="preserve">” </w:t>
      </w:r>
      <w:r>
        <w:rPr>
          <w:rFonts w:ascii="Times New Roman" w:hAnsi="Times New Roman"/>
          <w:color w:val="000000"/>
          <w:sz w:val="24"/>
        </w:rPr>
        <w:t>and “</w:t>
      </w:r>
      <w:r>
        <w:rPr>
          <w:rFonts w:ascii="Times New Roman" w:hAnsi="Times New Roman"/>
          <w:b/>
          <w:color w:val="000000"/>
          <w:sz w:val="24"/>
        </w:rPr>
        <w:t>Manufactured</w:t>
      </w:r>
      <w:r>
        <w:rPr>
          <w:color w:val="000000"/>
        </w:rPr>
        <w:t xml:space="preserve">” </w:t>
      </w:r>
      <w:r>
        <w:rPr>
          <w:rFonts w:ascii="Times New Roman" w:hAnsi="Times New Roman"/>
          <w:color w:val="000000"/>
          <w:sz w:val="24"/>
        </w:rPr>
        <w:t>have a corresponding meaning.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0" w:after="240"/>
        <w:jc w:val="both"/>
        <w:rPr/>
      </w:pPr>
      <w:r>
        <w:rPr>
          <w:color w:val="000000"/>
        </w:rPr>
        <w:t>“</w:t>
      </w:r>
      <w:r>
        <w:rPr>
          <w:rFonts w:ascii="Times New Roman" w:hAnsi="Times New Roman"/>
          <w:b/>
          <w:color w:val="000000"/>
          <w:sz w:val="24"/>
        </w:rPr>
        <w:t>Manufacturing Technology Transfer</w:t>
      </w:r>
      <w:r>
        <w:rPr>
          <w:color w:val="000000"/>
        </w:rPr>
        <w:t xml:space="preserve">” </w:t>
      </w:r>
      <w:r>
        <w:rPr>
          <w:rFonts w:ascii="Times New Roman" w:hAnsi="Times New Roman"/>
          <w:color w:val="000000"/>
          <w:sz w:val="24"/>
        </w:rPr>
        <w:t>has the meaning set forth in Section 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1.112</w:t>
      </w:r>
    </w:p>
    <w:p>
      <w:pPr>
        <w:pStyle w:val="TextBody"/>
        <w:bidi w:val="0"/>
        <w:spacing w:before="0" w:after="240"/>
        <w:jc w:val="both"/>
        <w:rPr/>
      </w:pPr>
      <w:r>
        <w:rPr>
          <w:color w:val="000000"/>
        </w:rPr>
        <w:t>“</w:t>
      </w:r>
      <w:r>
        <w:rPr>
          <w:rFonts w:ascii="Times New Roman" w:hAnsi="Times New Roman"/>
          <w:b/>
          <w:color w:val="000000"/>
          <w:sz w:val="24"/>
        </w:rPr>
        <w:t>Manufacturing Technology Transfer Budget</w:t>
      </w:r>
      <w:r>
        <w:rPr>
          <w:color w:val="000000"/>
        </w:rPr>
        <w:t xml:space="preserve">” </w:t>
      </w:r>
      <w:r>
        <w:rPr>
          <w:rFonts w:ascii="Times New Roman" w:hAnsi="Times New Roman"/>
          <w:color w:val="000000"/>
          <w:sz w:val="24"/>
        </w:rPr>
        <w:t>has the meaning set forth in Section 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1.113</w:t>
      </w:r>
    </w:p>
    <w:p>
      <w:pPr>
        <w:pStyle w:val="TextBody"/>
        <w:bidi w:val="0"/>
        <w:spacing w:before="0" w:after="240"/>
        <w:jc w:val="both"/>
        <w:rPr/>
      </w:pPr>
      <w:r>
        <w:rPr>
          <w:color w:val="000000"/>
        </w:rPr>
        <w:t>“</w:t>
      </w:r>
      <w:r>
        <w:rPr>
          <w:rFonts w:ascii="Times New Roman" w:hAnsi="Times New Roman"/>
          <w:b/>
          <w:color w:val="000000"/>
          <w:sz w:val="24"/>
        </w:rPr>
        <w:t>Manufacturing Technology Transfer Plan</w:t>
      </w:r>
      <w:r>
        <w:rPr>
          <w:color w:val="000000"/>
        </w:rPr>
        <w:t xml:space="preserve">” </w:t>
      </w:r>
      <w:r>
        <w:rPr>
          <w:rFonts w:ascii="Times New Roman" w:hAnsi="Times New Roman"/>
          <w:color w:val="000000"/>
          <w:sz w:val="24"/>
        </w:rPr>
        <w:t xml:space="preserve">has the meaning set forth in Section 5.3.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1.114</w:t>
      </w:r>
    </w:p>
    <w:p>
      <w:pPr>
        <w:pStyle w:val="TextBody"/>
        <w:bidi w:val="0"/>
        <w:spacing w:before="0" w:after="240"/>
        <w:jc w:val="both"/>
        <w:rPr/>
      </w:pPr>
      <w:r>
        <w:rPr>
          <w:color w:val="000000"/>
        </w:rPr>
        <w:t>“</w:t>
      </w:r>
      <w:r>
        <w:rPr>
          <w:rFonts w:ascii="Times New Roman" w:hAnsi="Times New Roman"/>
          <w:b/>
          <w:color w:val="000000"/>
          <w:sz w:val="24"/>
        </w:rPr>
        <w:t>Marketing Authorization Application</w:t>
      </w:r>
      <w:r>
        <w:rPr>
          <w:color w:val="000000"/>
        </w:rPr>
        <w:t xml:space="preserve">” </w:t>
      </w:r>
      <w:r>
        <w:rPr>
          <w:rFonts w:ascii="Times New Roman" w:hAnsi="Times New Roman"/>
          <w:color w:val="000000"/>
          <w:sz w:val="24"/>
        </w:rPr>
        <w:t>or “</w:t>
      </w:r>
      <w:r>
        <w:rPr>
          <w:rFonts w:ascii="Times New Roman" w:hAnsi="Times New Roman"/>
          <w:b/>
          <w:color w:val="000000"/>
          <w:sz w:val="24"/>
        </w:rPr>
        <w:t>MAA</w:t>
      </w:r>
      <w:r>
        <w:rPr>
          <w:color w:val="000000"/>
        </w:rPr>
        <w:t xml:space="preserve">” </w:t>
      </w:r>
      <w:r>
        <w:rPr>
          <w:rFonts w:ascii="Times New Roman" w:hAnsi="Times New Roman"/>
          <w:color w:val="000000"/>
          <w:sz w:val="24"/>
        </w:rPr>
        <w:t xml:space="preserve">means, with respect to a product, a Biologics License Application, as described in the United States Public Health Service Act, or any equivalent thereto in any country outside of the U.S., filed with the applicable Regulatory Approval in support of approval to market such product in the applicable country or jurisdiction, including any amendments and supplements thereto.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1.115</w:t>
      </w:r>
    </w:p>
    <w:p>
      <w:pPr>
        <w:pStyle w:val="TextBody"/>
        <w:bidi w:val="0"/>
        <w:spacing w:before="0" w:after="240"/>
        <w:jc w:val="both"/>
        <w:rPr/>
      </w:pPr>
      <w:r>
        <w:rPr>
          <w:color w:val="000000"/>
        </w:rPr>
        <w:t>“</w:t>
      </w:r>
      <w:r>
        <w:rPr>
          <w:rFonts w:ascii="Times New Roman" w:hAnsi="Times New Roman"/>
          <w:b/>
          <w:color w:val="000000"/>
          <w:sz w:val="24"/>
        </w:rPr>
        <w:t>Material Development Issue</w:t>
      </w:r>
      <w:r>
        <w:rPr>
          <w:color w:val="000000"/>
        </w:rPr>
        <w:t xml:space="preserve">” </w:t>
      </w:r>
      <w:r>
        <w:rPr>
          <w:rFonts w:ascii="Times New Roman" w:hAnsi="Times New Roman"/>
          <w:color w:val="000000"/>
          <w:sz w:val="24"/>
        </w:rPr>
        <w:t>has the meaning set forth in Section 4.4.1.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1.117</w:t>
      </w:r>
    </w:p>
    <w:p>
      <w:pPr>
        <w:pStyle w:val="TextBody"/>
        <w:bidi w:val="0"/>
        <w:spacing w:before="0" w:after="240"/>
        <w:jc w:val="both"/>
        <w:rPr/>
      </w:pPr>
      <w:r>
        <w:rPr>
          <w:color w:val="000000"/>
        </w:rPr>
        <w:t>“</w:t>
      </w:r>
      <w:r>
        <w:rPr>
          <w:rFonts w:ascii="Times New Roman" w:hAnsi="Times New Roman"/>
          <w:b/>
          <w:color w:val="000000"/>
          <w:sz w:val="24"/>
        </w:rPr>
        <w:t>Negotiation Period</w:t>
      </w:r>
      <w:r>
        <w:rPr>
          <w:color w:val="000000"/>
        </w:rPr>
        <w:t xml:space="preserve">” </w:t>
      </w:r>
      <w:r>
        <w:rPr>
          <w:rFonts w:ascii="Times New Roman" w:hAnsi="Times New Roman"/>
          <w:color w:val="000000"/>
          <w:sz w:val="24"/>
        </w:rPr>
        <w:t>has the meaning set forth in Section 2.3.2(b).</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1.118</w:t>
      </w:r>
    </w:p>
    <w:p>
      <w:pPr>
        <w:pStyle w:val="TextBody"/>
        <w:bidi w:val="0"/>
        <w:spacing w:before="0" w:after="240"/>
        <w:jc w:val="both"/>
        <w:rPr/>
      </w:pPr>
      <w:r>
        <w:rPr>
          <w:color w:val="000000"/>
        </w:rPr>
        <w:t>“</w:t>
      </w:r>
      <w:r>
        <w:rPr>
          <w:rFonts w:ascii="Times New Roman" w:hAnsi="Times New Roman"/>
          <w:b/>
          <w:color w:val="000000"/>
          <w:sz w:val="24"/>
        </w:rPr>
        <w:t>Net Sales</w:t>
      </w:r>
      <w:r>
        <w:rPr>
          <w:color w:val="000000"/>
        </w:rPr>
        <w:t xml:space="preserve">” </w:t>
      </w:r>
      <w:r>
        <w:rPr>
          <w:rFonts w:ascii="Times New Roman" w:hAnsi="Times New Roman"/>
          <w:color w:val="000000"/>
          <w:sz w:val="24"/>
        </w:rPr>
        <w:t>means, with respect to a Licensed Product, the gross amount invoiced by Day One, its Affiliates or Sublicensees (each a “</w:t>
      </w:r>
      <w:r>
        <w:rPr>
          <w:rFonts w:ascii="Times New Roman" w:hAnsi="Times New Roman"/>
          <w:b/>
          <w:color w:val="000000"/>
          <w:sz w:val="24"/>
        </w:rPr>
        <w:t>Selling Party</w:t>
      </w:r>
      <w:r>
        <w:rPr>
          <w:color w:val="000000"/>
        </w:rPr>
        <w:t>”</w:t>
      </w:r>
      <w:r>
        <w:rPr>
          <w:rFonts w:ascii="Times New Roman" w:hAnsi="Times New Roman"/>
          <w:color w:val="000000"/>
          <w:sz w:val="24"/>
        </w:rPr>
        <w:t>) to Third Parties (including Distributors of Day One, its Affiliates or Sublicensees) for such Licensed Product in the Territory, less (to the extent such deduction is not already reflected in the amount invoiced):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1.118.7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Net Sales shall be determined from [*] Transfers of Licensed Product between or among Day One, its Affiliates and Sublicensees for subsequent resale shall not be included in Net Sales, but the subsequent end sale shall be included in Net Sales. Net Sales shall not include Licensed Product provided for: (a) research and Clinical Trial purposes prior to or in support of Regulatory Approval; (b) compassionate use, named patient sales, patient assistance programs, in each case, that are not intended for general use or sale of such Licensed Product without Regulatory Approval; (c) test marketing programs or other similar programs or studies, or for sample or promotional purposes (provided that the Licensed Product is not otherwise generally available for purchase in the applicable country, and are provided at no cost or below cost); or (d) early access programs that are not intended for general use or sale of such Licensed Product without Regulatory Approval.</w:t>
      </w:r>
    </w:p>
    <w:p>
      <w:pPr>
        <w:pStyle w:val="TextBody"/>
        <w:bidi w:val="0"/>
        <w:spacing w:before="0" w:after="240"/>
        <w:jc w:val="both"/>
        <w:rPr>
          <w:rFonts w:ascii="Times New Roman" w:hAnsi="Times New Roman"/>
          <w:sz w:val="20"/>
        </w:rPr>
      </w:pPr>
      <w:r>
        <w:rPr>
          <w:rFonts w:ascii="Times New Roman" w:hAnsi="Times New Roman"/>
          <w:color w:val="000000"/>
          <w:sz w:val="24"/>
        </w:rPr>
        <w:t>If any Licensed Product is sold as part of a Combination Product, then Net Sales for such Licensed Product shall be determined by multiplying the net sales of the Combination Product [*] (the “</w:t>
      </w:r>
      <w:r>
        <w:rPr>
          <w:rFonts w:ascii="Times New Roman" w:hAnsi="Times New Roman"/>
          <w:b/>
          <w:color w:val="000000"/>
          <w:sz w:val="24"/>
        </w:rPr>
        <w:t>Other Product(s)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weighted average sale price of a Licensed Product when sold separately in finished form can be determined but the weighted average sale price of the Other Product(s) cannot be determined, then Net Sales for such Combination Product shall be calculated by multiplying the net sales of such Combination Product (as calculated in accordance with analogous criteria as set forth above for the “Net Sales” definition) by the fraction A / C where A is the weighted average sale price of such Licensed Product when sold separately in finished form and C is the weighted average sale price of the Combination Product.</w:t>
      </w:r>
    </w:p>
    <w:p>
      <w:pPr>
        <w:pStyle w:val="TextBody"/>
        <w:bidi w:val="0"/>
        <w:spacing w:before="0" w:after="240"/>
        <w:jc w:val="both"/>
        <w:rPr>
          <w:rFonts w:ascii="Times New Roman" w:hAnsi="Times New Roman"/>
          <w:sz w:val="20"/>
        </w:rPr>
      </w:pPr>
      <w:r>
        <w:rPr>
          <w:rFonts w:ascii="Times New Roman" w:hAnsi="Times New Roman"/>
          <w:color w:val="000000"/>
          <w:sz w:val="24"/>
        </w:rPr>
        <w:t>If the weighted average sale price of the Other Product(s) can be determined but the weighted average sale price of the Licensed Product when sold separately in finished form cannot be determined, Net Sales for such Combination Product shall be calculated by multiplying the net sales of such Combination Product (as calculated in accordance with analogous criteria as set forth above for the “Net Sales” definition) by the following formula: one (1) minus B / C where B is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weighted average sale price of the Other Product(s) and C is the weighted average sale price of the Combination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weighted average sale price of both a Licensed Product and the Other Product(s) cannot be determined, then Net Sales for such Combination Product shall be mutually agreed by the Parties in good faith, which determination shall reasonably reflect the fair market value of the contribution of such Licensed Product and Other Product(s) in such Combination Product to the total fair market value of such Combination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1.119</w:t>
      </w:r>
    </w:p>
    <w:p>
      <w:pPr>
        <w:pStyle w:val="TextBody"/>
        <w:bidi w:val="0"/>
        <w:spacing w:before="0" w:after="240"/>
        <w:jc w:val="both"/>
        <w:rPr/>
      </w:pPr>
      <w:r>
        <w:rPr>
          <w:color w:val="000000"/>
        </w:rPr>
        <w:t>“</w:t>
      </w:r>
      <w:r>
        <w:rPr>
          <w:rFonts w:ascii="Times New Roman" w:hAnsi="Times New Roman"/>
          <w:b/>
          <w:color w:val="000000"/>
          <w:sz w:val="24"/>
        </w:rPr>
        <w:t>Patent Challenge</w:t>
      </w:r>
      <w:r>
        <w:rPr>
          <w:color w:val="000000"/>
        </w:rPr>
        <w:t xml:space="preserve">” </w:t>
      </w:r>
      <w:r>
        <w:rPr>
          <w:rFonts w:ascii="Times New Roman" w:hAnsi="Times New Roman"/>
          <w:color w:val="000000"/>
          <w:sz w:val="24"/>
        </w:rPr>
        <w:t>has the meaning set forth in Section 11.5.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w:t>
      </w:r>
    </w:p>
    <w:p>
      <w:pPr>
        <w:pStyle w:val="TextBody"/>
        <w:bidi w:val="0"/>
        <w:spacing w:before="0" w:after="240"/>
        <w:jc w:val="both"/>
        <w:rPr/>
      </w:pPr>
      <w:r>
        <w:rPr>
          <w:color w:val="000000"/>
        </w:rPr>
        <w:t>“</w:t>
      </w:r>
      <w:r>
        <w:rPr>
          <w:rFonts w:ascii="Times New Roman" w:hAnsi="Times New Roman"/>
          <w:b/>
          <w:color w:val="000000"/>
          <w:sz w:val="24"/>
        </w:rPr>
        <w:t>Patent Rights</w:t>
      </w:r>
      <w:r>
        <w:rPr>
          <w:color w:val="000000"/>
        </w:rPr>
        <w:t xml:space="preserve">” </w:t>
      </w:r>
      <w:r>
        <w:rPr>
          <w:rFonts w:ascii="Times New Roman" w:hAnsi="Times New Roman"/>
          <w:color w:val="000000"/>
          <w:sz w:val="24"/>
        </w:rPr>
        <w:t>means all patents and patent applications (including any certificates of invention, supplementary protection certificates and applications therefor, applications for certificates of invention and priority rights) in any country or other jurisdiction, including all international applications, provisional applications, substitutions, continuations, continuations-in-part, continued prosecution applications, including requests for continued examination, divisional applications and renewals, and all letters, patents or certificates of invention granted thereon, and all reissues, reexaminations, term extensions, term adjustments, term restorations, renewals, substitutions, confirmations, registrations, revalidations, revisions and additions of or to any of the foregoing, in each case, in any country or other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1.122</w:t>
      </w:r>
    </w:p>
    <w:p>
      <w:pPr>
        <w:pStyle w:val="TextBody"/>
        <w:bidi w:val="0"/>
        <w:spacing w:before="0" w:after="240"/>
        <w:jc w:val="both"/>
        <w:rPr/>
      </w:pPr>
      <w:r>
        <w:rPr>
          <w:color w:val="000000"/>
        </w:rPr>
        <w:t>“</w:t>
      </w:r>
      <w:r>
        <w:rPr>
          <w:rFonts w:ascii="Times New Roman" w:hAnsi="Times New Roman"/>
          <w:b/>
          <w:color w:val="000000"/>
          <w:sz w:val="24"/>
        </w:rPr>
        <w:t>Patent Term Extension</w:t>
      </w:r>
      <w:r>
        <w:rPr>
          <w:color w:val="000000"/>
        </w:rPr>
        <w:t xml:space="preserve">” </w:t>
      </w:r>
      <w:r>
        <w:rPr>
          <w:rFonts w:ascii="Times New Roman" w:hAnsi="Times New Roman"/>
          <w:color w:val="000000"/>
          <w:sz w:val="24"/>
        </w:rPr>
        <w:t xml:space="preserve">has the meaning set forth in Section 8.3.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1.123</w:t>
      </w:r>
    </w:p>
    <w:p>
      <w:pPr>
        <w:pStyle w:val="TextBody"/>
        <w:bidi w:val="0"/>
        <w:spacing w:before="0" w:after="240"/>
        <w:jc w:val="both"/>
        <w:rPr/>
      </w:pPr>
      <w:r>
        <w:rPr>
          <w:color w:val="000000"/>
        </w:rPr>
        <w:t>“</w:t>
      </w:r>
      <w:r>
        <w:rPr>
          <w:rFonts w:ascii="Times New Roman" w:hAnsi="Times New Roman"/>
          <w:b/>
          <w:color w:val="000000"/>
          <w:sz w:val="24"/>
        </w:rPr>
        <w:t>Payload</w:t>
      </w:r>
      <w:r>
        <w:rPr>
          <w:color w:val="000000"/>
        </w:rPr>
        <w:t xml:space="preserve">” </w:t>
      </w:r>
      <w:r>
        <w:rPr>
          <w:rFonts w:ascii="Times New Roman" w:hAnsi="Times New Roman"/>
          <w:color w:val="000000"/>
          <w:sz w:val="24"/>
        </w:rPr>
        <w:t xml:space="preserve">means a molecule engineered or intended to or that does kill or otherwise modulate a tumor cell for therapeutic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1.124</w:t>
      </w:r>
    </w:p>
    <w:p>
      <w:pPr>
        <w:pStyle w:val="TextBody"/>
        <w:bidi w:val="0"/>
        <w:spacing w:before="0" w:after="240"/>
        <w:jc w:val="both"/>
        <w:rPr/>
      </w:pPr>
      <w:r>
        <w:rPr>
          <w:color w:val="000000"/>
        </w:rPr>
        <w:t>“</w:t>
      </w:r>
      <w:r>
        <w:rPr>
          <w:rFonts w:ascii="Times New Roman" w:hAnsi="Times New Roman"/>
          <w:b/>
          <w:color w:val="000000"/>
          <w:sz w:val="24"/>
        </w:rPr>
        <w:t>Permitted Purpose</w:t>
      </w:r>
      <w:r>
        <w:rPr>
          <w:color w:val="000000"/>
        </w:rPr>
        <w:t xml:space="preserve">” </w:t>
      </w:r>
      <w:r>
        <w:rPr>
          <w:rFonts w:ascii="Times New Roman" w:hAnsi="Times New Roman"/>
          <w:color w:val="000000"/>
          <w:sz w:val="24"/>
        </w:rPr>
        <w:t>has the meaning set forth in Section 5.4.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1.125</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any individual, corporation, company, partnership, association, joint-stock company, trust, unincorporated organization or governmental or political subdivision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1.126</w:t>
      </w:r>
    </w:p>
    <w:p>
      <w:pPr>
        <w:pStyle w:val="TextBody"/>
        <w:bidi w:val="0"/>
        <w:spacing w:before="0" w:after="240"/>
        <w:jc w:val="both"/>
        <w:rPr/>
      </w:pPr>
      <w:r>
        <w:rPr>
          <w:color w:val="000000"/>
        </w:rPr>
        <w:t>“</w:t>
      </w:r>
      <w:r>
        <w:rPr>
          <w:rFonts w:ascii="Times New Roman" w:hAnsi="Times New Roman"/>
          <w:b/>
          <w:color w:val="000000"/>
          <w:sz w:val="24"/>
        </w:rPr>
        <w:t>Pharmacovigilance Agreement</w:t>
      </w:r>
      <w:r>
        <w:rPr>
          <w:color w:val="000000"/>
        </w:rPr>
        <w:t xml:space="preserve">” </w:t>
      </w:r>
      <w:r>
        <w:rPr>
          <w:rFonts w:ascii="Times New Roman" w:hAnsi="Times New Roman"/>
          <w:color w:val="000000"/>
          <w:sz w:val="24"/>
        </w:rPr>
        <w:t>has the meaning set forth in Section 4.6.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1.127</w:t>
      </w:r>
    </w:p>
    <w:p>
      <w:pPr>
        <w:pStyle w:val="TextBody"/>
        <w:bidi w:val="0"/>
        <w:spacing w:before="0" w:after="240"/>
        <w:jc w:val="both"/>
        <w:rPr/>
      </w:pPr>
      <w:r>
        <w:rPr>
          <w:color w:val="000000"/>
        </w:rPr>
        <w:t>“</w:t>
      </w:r>
      <w:r>
        <w:rPr>
          <w:rFonts w:ascii="Times New Roman" w:hAnsi="Times New Roman"/>
          <w:b/>
          <w:color w:val="000000"/>
          <w:sz w:val="24"/>
        </w:rPr>
        <w:t>Pricing and Reimbursement Approval</w:t>
      </w:r>
      <w:r>
        <w:rPr>
          <w:color w:val="000000"/>
        </w:rPr>
        <w:t xml:space="preserve">” </w:t>
      </w:r>
      <w:r>
        <w:rPr>
          <w:rFonts w:ascii="Times New Roman" w:hAnsi="Times New Roman"/>
          <w:color w:val="000000"/>
          <w:sz w:val="24"/>
        </w:rPr>
        <w:t>means, in any country where a Governmental Authority, in connection with Regulatory Approval, authorizes reimbursement for, or approves or determines pricing for, pharmaceutical products, receipt (or, if required to make such authorization, approval or determination effective, publication) of such reimbursement authorization or pricing approval or determination (as the case may be).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1.128</w:t>
      </w:r>
    </w:p>
    <w:p>
      <w:pPr>
        <w:pStyle w:val="TextBody"/>
        <w:bidi w:val="0"/>
        <w:spacing w:before="0" w:after="240"/>
        <w:jc w:val="both"/>
        <w:rPr/>
      </w:pPr>
      <w:r>
        <w:rPr>
          <w:color w:val="000000"/>
        </w:rPr>
        <w:t>“</w:t>
      </w:r>
      <w:r>
        <w:rPr>
          <w:rFonts w:ascii="Times New Roman" w:hAnsi="Times New Roman"/>
          <w:b/>
          <w:color w:val="000000"/>
          <w:sz w:val="24"/>
        </w:rPr>
        <w:t>Personal Data</w:t>
      </w:r>
      <w:r>
        <w:rPr>
          <w:color w:val="000000"/>
        </w:rPr>
        <w:t xml:space="preserve">” </w:t>
      </w:r>
      <w:r>
        <w:rPr>
          <w:rFonts w:ascii="Times New Roman" w:hAnsi="Times New Roman"/>
          <w:color w:val="000000"/>
          <w:sz w:val="24"/>
        </w:rPr>
        <w:t xml:space="preserve">has the meaning set forth in Section 9.3.1.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1.129</w:t>
      </w:r>
    </w:p>
    <w:p>
      <w:pPr>
        <w:pStyle w:val="TextBody"/>
        <w:bidi w:val="0"/>
        <w:spacing w:before="0" w:after="240"/>
        <w:jc w:val="both"/>
        <w:rPr/>
      </w:pPr>
      <w:r>
        <w:rPr>
          <w:color w:val="000000"/>
        </w:rPr>
        <w:t>“</w:t>
      </w:r>
      <w:r>
        <w:rPr>
          <w:rFonts w:ascii="Times New Roman" w:hAnsi="Times New Roman"/>
          <w:b/>
          <w:color w:val="000000"/>
          <w:sz w:val="24"/>
        </w:rPr>
        <w:t>Product Trademarks</w:t>
      </w:r>
      <w:r>
        <w:rPr>
          <w:color w:val="000000"/>
        </w:rPr>
        <w:t xml:space="preserve">” </w:t>
      </w:r>
      <w:r>
        <w:rPr>
          <w:rFonts w:ascii="Times New Roman" w:hAnsi="Times New Roman"/>
          <w:color w:val="000000"/>
          <w:sz w:val="24"/>
        </w:rPr>
        <w:t>has the meaning set forth in Section 8.10.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1.130</w:t>
      </w:r>
    </w:p>
    <w:p>
      <w:pPr>
        <w:pStyle w:val="TextBody"/>
        <w:bidi w:val="0"/>
        <w:spacing w:before="0" w:after="240"/>
        <w:jc w:val="both"/>
        <w:rPr/>
      </w:pPr>
      <w:r>
        <w:rPr>
          <w:color w:val="000000"/>
        </w:rPr>
        <w:t>“</w:t>
      </w:r>
      <w:r>
        <w:rPr>
          <w:rFonts w:ascii="Times New Roman" w:hAnsi="Times New Roman"/>
          <w:b/>
          <w:color w:val="000000"/>
          <w:sz w:val="24"/>
        </w:rPr>
        <w:t>Proposed</w:t>
      </w:r>
      <w:r>
        <w:rPr>
          <w:color w:val="000000"/>
        </w:rPr>
        <w:t xml:space="preserve"> </w:t>
      </w:r>
      <w:r>
        <w:rPr>
          <w:rFonts w:ascii="Times New Roman" w:hAnsi="Times New Roman"/>
          <w:b/>
          <w:color w:val="000000"/>
          <w:sz w:val="24"/>
        </w:rPr>
        <w:t>Publication</w:t>
      </w:r>
      <w:r>
        <w:rPr>
          <w:color w:val="000000"/>
        </w:rPr>
        <w:t xml:space="preserve">” </w:t>
      </w:r>
      <w:r>
        <w:rPr>
          <w:rFonts w:ascii="Times New Roman" w:hAnsi="Times New Roman"/>
          <w:color w:val="000000"/>
          <w:sz w:val="24"/>
        </w:rPr>
        <w:t xml:space="preserve">has the meaning set forth in Section 7.6.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1.131</w:t>
      </w:r>
    </w:p>
    <w:p>
      <w:pPr>
        <w:pStyle w:val="TextBody"/>
        <w:bidi w:val="0"/>
        <w:spacing w:before="0" w:after="240"/>
        <w:jc w:val="both"/>
        <w:rPr/>
      </w:pPr>
      <w:r>
        <w:rPr>
          <w:color w:val="000000"/>
        </w:rPr>
        <w:t>“</w:t>
      </w:r>
      <w:r>
        <w:rPr>
          <w:rFonts w:ascii="Times New Roman" w:hAnsi="Times New Roman"/>
          <w:b/>
          <w:color w:val="000000"/>
          <w:sz w:val="24"/>
        </w:rPr>
        <w:t>Prosecute and Maintain</w:t>
      </w:r>
      <w:r>
        <w:rPr>
          <w:color w:val="000000"/>
        </w:rPr>
        <w:t xml:space="preserve">” </w:t>
      </w:r>
      <w:r>
        <w:rPr>
          <w:rFonts w:ascii="Times New Roman" w:hAnsi="Times New Roman"/>
          <w:color w:val="000000"/>
          <w:sz w:val="24"/>
        </w:rPr>
        <w:t xml:space="preserve">means activities directed to: (a) preparing, filing and prosecuting Patent Rights; (b) managing any interference, opposition, re-issue, reexamination, supplemental examination, invalidation proceedings (including </w:t>
      </w:r>
      <w:r>
        <w:rPr>
          <w:rFonts w:ascii="Times New Roman" w:hAnsi="Times New Roman"/>
          <w:i/>
          <w:color w:val="000000"/>
          <w:sz w:val="24"/>
        </w:rPr>
        <w:t>inter partes</w:t>
      </w:r>
      <w:r>
        <w:rPr>
          <w:color w:val="000000"/>
        </w:rPr>
        <w:t xml:space="preserve"> </w:t>
      </w:r>
      <w:r>
        <w:rPr>
          <w:rFonts w:ascii="Times New Roman" w:hAnsi="Times New Roman"/>
          <w:color w:val="000000"/>
          <w:sz w:val="24"/>
        </w:rPr>
        <w:t>or post-grant review proceedings), revocation, nullification or cancellation proceeding relating to the foregoing; and (c) settling any interference, opposition, reexamination, invalidation, revocation, nullification or cancellation proceeding, but excluding the defense of challenges to Patent Rights as a declaratory judgment action or as a counterclaim in an infringement proceeding.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1.132</w:t>
      </w:r>
    </w:p>
    <w:p>
      <w:pPr>
        <w:pStyle w:val="TextBody"/>
        <w:bidi w:val="0"/>
        <w:spacing w:before="0" w:after="240"/>
        <w:jc w:val="both"/>
        <w:rPr/>
      </w:pPr>
      <w:r>
        <w:rPr>
          <w:color w:val="000000"/>
        </w:rPr>
        <w:t>“</w:t>
      </w:r>
      <w:r>
        <w:rPr>
          <w:rFonts w:ascii="Times New Roman" w:hAnsi="Times New Roman"/>
          <w:b/>
          <w:color w:val="000000"/>
          <w:sz w:val="24"/>
        </w:rPr>
        <w:t>QuaCell Agreement</w:t>
      </w:r>
      <w:r>
        <w:rPr>
          <w:color w:val="000000"/>
        </w:rPr>
        <w:t xml:space="preserve">” </w:t>
      </w:r>
      <w:r>
        <w:rPr>
          <w:rFonts w:ascii="Times New Roman" w:hAnsi="Times New Roman"/>
          <w:color w:val="000000"/>
          <w:sz w:val="24"/>
        </w:rPr>
        <w:t>means the Non-Exclusive Material License Agreement on QuaCell CHO-K1Q Cell Line, by and between QuaCell Biotechnology, Co. Ltd (“</w:t>
      </w:r>
      <w:r>
        <w:rPr>
          <w:rFonts w:ascii="Times New Roman" w:hAnsi="Times New Roman"/>
          <w:b/>
          <w:color w:val="000000"/>
          <w:sz w:val="24"/>
        </w:rPr>
        <w:t>QuaCell</w:t>
      </w:r>
      <w:r>
        <w:rPr>
          <w:color w:val="000000"/>
        </w:rPr>
        <w:t>”</w:t>
      </w:r>
      <w:r>
        <w:rPr>
          <w:rFonts w:ascii="Times New Roman" w:hAnsi="Times New Roman"/>
          <w:color w:val="000000"/>
          <w:sz w:val="24"/>
        </w:rPr>
        <w:t>) and MabCare, dated March 1, 2024.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1.133</w:t>
      </w:r>
    </w:p>
    <w:p>
      <w:pPr>
        <w:pStyle w:val="TextBody"/>
        <w:bidi w:val="0"/>
        <w:spacing w:before="0" w:after="240"/>
        <w:jc w:val="both"/>
        <w:rPr/>
      </w:pPr>
      <w:r>
        <w:rPr>
          <w:color w:val="000000"/>
        </w:rPr>
        <w:t>“</w:t>
      </w:r>
      <w:r>
        <w:rPr>
          <w:rFonts w:ascii="Times New Roman" w:hAnsi="Times New Roman"/>
          <w:b/>
          <w:color w:val="000000"/>
          <w:sz w:val="24"/>
        </w:rPr>
        <w:t>Qualified Sublicensee</w:t>
      </w:r>
      <w:r>
        <w:rPr>
          <w:color w:val="00000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1.134</w:t>
      </w:r>
    </w:p>
    <w:p>
      <w:pPr>
        <w:pStyle w:val="TextBody"/>
        <w:bidi w:val="0"/>
        <w:spacing w:before="0" w:after="240"/>
        <w:jc w:val="both"/>
        <w:rPr/>
      </w:pPr>
      <w:r>
        <w:rPr>
          <w:color w:val="000000"/>
        </w:rPr>
        <w:t>“</w:t>
      </w:r>
      <w:r>
        <w:rPr>
          <w:rFonts w:ascii="Times New Roman" w:hAnsi="Times New Roman"/>
          <w:b/>
          <w:color w:val="000000"/>
          <w:sz w:val="24"/>
        </w:rPr>
        <w:t>Regulatory Approval</w:t>
      </w:r>
      <w:r>
        <w:rPr>
          <w:color w:val="000000"/>
        </w:rPr>
        <w:t xml:space="preserve">” </w:t>
      </w:r>
      <w:r>
        <w:rPr>
          <w:rFonts w:ascii="Times New Roman" w:hAnsi="Times New Roman"/>
          <w:color w:val="000000"/>
          <w:sz w:val="24"/>
        </w:rPr>
        <w:t xml:space="preserve">means, with respect to a given product and a given country or other jurisdiction, any and all approvals (including MAA approval or accelerated approval), licenses, registrations, or authorizations of any Regulatory Authority necessary to Commercialize such product in such country or other jurisdiction, including, where necessary for Commercialization, Pricing and Reimbursement Approval(s). For clarity, Pricing and Reimbursement Approval shall not be necessary in the United States to achieve “Regulatory Approval” for purposes of Section 6.2.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1.135</w:t>
      </w:r>
    </w:p>
    <w:p>
      <w:pPr>
        <w:pStyle w:val="TextBody"/>
        <w:bidi w:val="0"/>
        <w:spacing w:before="0" w:after="240"/>
        <w:jc w:val="both"/>
        <w:rPr/>
      </w:pPr>
      <w:r>
        <w:rPr>
          <w:color w:val="000000"/>
        </w:rPr>
        <w:t>“</w:t>
      </w:r>
      <w:r>
        <w:rPr>
          <w:rFonts w:ascii="Times New Roman" w:hAnsi="Times New Roman"/>
          <w:b/>
          <w:color w:val="000000"/>
          <w:sz w:val="24"/>
        </w:rPr>
        <w:t>Regulatory Authority</w:t>
      </w:r>
      <w:r>
        <w:rPr>
          <w:color w:val="000000"/>
        </w:rPr>
        <w:t xml:space="preserve">” </w:t>
      </w:r>
      <w:r>
        <w:rPr>
          <w:rFonts w:ascii="Times New Roman" w:hAnsi="Times New Roman"/>
          <w:color w:val="000000"/>
          <w:sz w:val="24"/>
        </w:rPr>
        <w:t>means any applicable Governmental Authority with authority over the distribution, importation, exportation, manufacture, production, use, storage, transport, clinical testing or sale of a pharmaceutical or biological product, including any Governmental Authority having the authority to grant Regulatory Approval or Pricing and Reimbursement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1.136</w:t>
      </w:r>
    </w:p>
    <w:p>
      <w:pPr>
        <w:pStyle w:val="TextBody"/>
        <w:bidi w:val="0"/>
        <w:spacing w:before="0" w:after="240"/>
        <w:jc w:val="both"/>
        <w:rPr/>
      </w:pPr>
      <w:r>
        <w:rPr>
          <w:color w:val="000000"/>
        </w:rPr>
        <w:t>“</w:t>
      </w:r>
      <w:r>
        <w:rPr>
          <w:rFonts w:ascii="Times New Roman" w:hAnsi="Times New Roman"/>
          <w:b/>
          <w:color w:val="000000"/>
          <w:sz w:val="24"/>
        </w:rPr>
        <w:t>Regulatory Exclusivity”</w:t>
      </w:r>
      <w:r>
        <w:rPr>
          <w:color w:val="000000"/>
        </w:rPr>
        <w:t xml:space="preserve"> </w:t>
      </w:r>
      <w:r>
        <w:rPr>
          <w:rFonts w:ascii="Times New Roman" w:hAnsi="Times New Roman"/>
          <w:color w:val="000000"/>
          <w:sz w:val="24"/>
        </w:rPr>
        <w:t xml:space="preserve">means, with respect to a Licensed Product and a country, a period of exclusivity (other than Patent Rights exclusivity) granted or afforded by Applicable Laws or by a Regulatory Authority in such country that prevents the Regulatory Approval or marketing of any Biosimilar Product of such Licensed Product in such country.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1.137</w:t>
      </w:r>
    </w:p>
    <w:p>
      <w:pPr>
        <w:pStyle w:val="TextBody"/>
        <w:bidi w:val="0"/>
        <w:spacing w:before="0" w:after="240"/>
        <w:jc w:val="both"/>
        <w:rPr/>
      </w:pPr>
      <w:r>
        <w:rPr>
          <w:color w:val="000000"/>
        </w:rPr>
        <w:t>“</w:t>
      </w:r>
      <w:r>
        <w:rPr>
          <w:rFonts w:ascii="Times New Roman" w:hAnsi="Times New Roman"/>
          <w:b/>
          <w:color w:val="000000"/>
          <w:sz w:val="24"/>
        </w:rPr>
        <w:t>Regulatory Materials</w:t>
      </w:r>
      <w:r>
        <w:rPr>
          <w:color w:val="000000"/>
        </w:rPr>
        <w:t xml:space="preserve">” </w:t>
      </w:r>
      <w:r>
        <w:rPr>
          <w:rFonts w:ascii="Times New Roman" w:hAnsi="Times New Roman"/>
          <w:color w:val="000000"/>
          <w:sz w:val="24"/>
        </w:rPr>
        <w:t xml:space="preserve">means all (a) applications (including all INDs, MAAs and applications for Pricing and Reimbursement Approval), registrations, licenses, authorizations and approvals (including Regulatory Approvals and Pricing and Reimbursement Approvals),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(c) supplements or changes to any of the foregoing, and (d) clinical and other data, including Clinical Trial data, contained or relied upon in any of the foregoing.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1.138</w:t>
      </w:r>
    </w:p>
    <w:p>
      <w:pPr>
        <w:pStyle w:val="TextBody"/>
        <w:bidi w:val="0"/>
        <w:spacing w:before="0" w:after="240"/>
        <w:jc w:val="both"/>
        <w:rPr/>
      </w:pPr>
      <w:r>
        <w:rPr>
          <w:color w:val="000000"/>
        </w:rPr>
        <w:t>“</w:t>
      </w:r>
      <w:r>
        <w:rPr>
          <w:rFonts w:ascii="Times New Roman" w:hAnsi="Times New Roman"/>
          <w:b/>
          <w:color w:val="000000"/>
          <w:sz w:val="24"/>
        </w:rPr>
        <w:t>Regulatory Submissions</w:t>
      </w:r>
      <w:r>
        <w:rPr>
          <w:color w:val="000000"/>
        </w:rPr>
        <w:t xml:space="preserve">” </w:t>
      </w:r>
      <w:r>
        <w:rPr>
          <w:rFonts w:ascii="Times New Roman" w:hAnsi="Times New Roman"/>
          <w:color w:val="000000"/>
          <w:sz w:val="24"/>
        </w:rPr>
        <w:t xml:space="preserve">means all Regulatory Materials submitted to a Regulatory Authority in support of the Development, Manufacture or Commercialization of a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1.139</w:t>
      </w:r>
    </w:p>
    <w:p>
      <w:pPr>
        <w:pStyle w:val="TextBody"/>
        <w:bidi w:val="0"/>
        <w:spacing w:before="0" w:after="240"/>
        <w:jc w:val="both"/>
        <w:rPr/>
      </w:pPr>
      <w:r>
        <w:rPr>
          <w:color w:val="000000"/>
        </w:rPr>
        <w:t>“</w:t>
      </w:r>
      <w:r>
        <w:rPr>
          <w:rFonts w:ascii="Times New Roman" w:hAnsi="Times New Roman"/>
          <w:b/>
          <w:color w:val="000000"/>
          <w:sz w:val="24"/>
        </w:rPr>
        <w:t>Remedial Action</w:t>
      </w:r>
      <w:r>
        <w:rPr>
          <w:color w:val="000000"/>
        </w:rPr>
        <w:t xml:space="preserve">” </w:t>
      </w:r>
      <w:r>
        <w:rPr>
          <w:rFonts w:ascii="Times New Roman" w:hAnsi="Times New Roman"/>
          <w:color w:val="000000"/>
          <w:sz w:val="24"/>
        </w:rPr>
        <w:t>has the meaning set forth in Section 4.7.</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1.140</w:t>
      </w:r>
    </w:p>
    <w:p>
      <w:pPr>
        <w:pStyle w:val="TextBody"/>
        <w:bidi w:val="0"/>
        <w:spacing w:before="0" w:after="240"/>
        <w:jc w:val="both"/>
        <w:rPr/>
      </w:pPr>
      <w:r>
        <w:rPr>
          <w:color w:val="000000"/>
        </w:rPr>
        <w:t>“</w:t>
      </w:r>
      <w:r>
        <w:rPr>
          <w:rFonts w:ascii="Times New Roman" w:hAnsi="Times New Roman"/>
          <w:b/>
          <w:color w:val="000000"/>
          <w:sz w:val="24"/>
        </w:rPr>
        <w:t>Required Filings</w:t>
      </w:r>
      <w:r>
        <w:rPr>
          <w:color w:val="000000"/>
        </w:rPr>
        <w:t xml:space="preserve">” </w:t>
      </w:r>
      <w:r>
        <w:rPr>
          <w:rFonts w:ascii="Times New Roman" w:hAnsi="Times New Roman"/>
          <w:color w:val="000000"/>
          <w:sz w:val="24"/>
        </w:rPr>
        <w:t>has the meaning set forth in Section 12.19.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1.141</w:t>
      </w:r>
    </w:p>
    <w:p>
      <w:pPr>
        <w:pStyle w:val="TextBody"/>
        <w:bidi w:val="0"/>
        <w:spacing w:before="0" w:after="240"/>
        <w:jc w:val="both"/>
        <w:rPr/>
      </w:pPr>
      <w:r>
        <w:rPr>
          <w:color w:val="000000"/>
        </w:rPr>
        <w:t>“</w:t>
      </w:r>
      <w:r>
        <w:rPr>
          <w:rFonts w:ascii="Times New Roman" w:hAnsi="Times New Roman"/>
          <w:b/>
          <w:color w:val="000000"/>
          <w:sz w:val="24"/>
        </w:rPr>
        <w:t>Reversion License</w:t>
      </w:r>
      <w:r>
        <w:rPr>
          <w:color w:val="000000"/>
        </w:rPr>
        <w:t xml:space="preserve">” </w:t>
      </w:r>
      <w:r>
        <w:rPr>
          <w:rFonts w:ascii="Times New Roman" w:hAnsi="Times New Roman"/>
          <w:color w:val="000000"/>
          <w:sz w:val="24"/>
        </w:rPr>
        <w:t>has the meaning set forth in Section 11.9.2.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1.142</w:t>
      </w:r>
    </w:p>
    <w:p>
      <w:pPr>
        <w:pStyle w:val="TextBody"/>
        <w:bidi w:val="0"/>
        <w:spacing w:before="0" w:after="240"/>
        <w:jc w:val="both"/>
        <w:rPr/>
      </w:pPr>
      <w:r>
        <w:rPr>
          <w:color w:val="000000"/>
        </w:rPr>
        <w:t>“</w:t>
      </w:r>
      <w:r>
        <w:rPr>
          <w:rFonts w:ascii="Times New Roman" w:hAnsi="Times New Roman"/>
          <w:b/>
          <w:color w:val="000000"/>
          <w:sz w:val="24"/>
        </w:rPr>
        <w:t>Reversion Product</w:t>
      </w:r>
      <w:r>
        <w:rPr>
          <w:color w:val="000000"/>
        </w:rPr>
        <w:t xml:space="preserve">” </w:t>
      </w:r>
      <w:r>
        <w:rPr>
          <w:rFonts w:ascii="Times New Roman" w:hAnsi="Times New Roman"/>
          <w:color w:val="000000"/>
          <w:sz w:val="24"/>
        </w:rPr>
        <w:t xml:space="preserve">has the meaning set forth in Section 11.9.2.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1.143</w:t>
      </w:r>
    </w:p>
    <w:p>
      <w:pPr>
        <w:pStyle w:val="TextBody"/>
        <w:bidi w:val="0"/>
        <w:spacing w:before="0" w:after="240"/>
        <w:jc w:val="both"/>
        <w:rPr/>
      </w:pPr>
      <w:r>
        <w:rPr>
          <w:color w:val="000000"/>
        </w:rPr>
        <w:t>“</w:t>
      </w:r>
      <w:r>
        <w:rPr>
          <w:rFonts w:ascii="Times New Roman" w:hAnsi="Times New Roman"/>
          <w:b/>
          <w:color w:val="000000"/>
          <w:sz w:val="24"/>
        </w:rPr>
        <w:t>Review Period</w:t>
      </w:r>
      <w:r>
        <w:rPr>
          <w:color w:val="000000"/>
        </w:rPr>
        <w:t xml:space="preserve">” </w:t>
      </w:r>
      <w:r>
        <w:rPr>
          <w:rFonts w:ascii="Times New Roman" w:hAnsi="Times New Roman"/>
          <w:color w:val="000000"/>
          <w:sz w:val="24"/>
        </w:rPr>
        <w:t xml:space="preserve">has the meaning set forth in Section 7.6.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1.144</w:t>
      </w:r>
    </w:p>
    <w:p>
      <w:pPr>
        <w:pStyle w:val="TextBody"/>
        <w:bidi w:val="0"/>
        <w:spacing w:before="0" w:after="240"/>
        <w:jc w:val="both"/>
        <w:rPr/>
      </w:pPr>
      <w:r>
        <w:rPr>
          <w:color w:val="000000"/>
        </w:rPr>
        <w:t>“</w:t>
      </w:r>
      <w:r>
        <w:rPr>
          <w:rFonts w:ascii="Times New Roman" w:hAnsi="Times New Roman"/>
          <w:b/>
          <w:color w:val="000000"/>
          <w:sz w:val="24"/>
        </w:rPr>
        <w:t>ROFN Notice</w:t>
      </w:r>
      <w:r>
        <w:rPr>
          <w:color w:val="000000"/>
        </w:rPr>
        <w:t xml:space="preserve">” </w:t>
      </w:r>
      <w:r>
        <w:rPr>
          <w:rFonts w:ascii="Times New Roman" w:hAnsi="Times New Roman"/>
          <w:color w:val="000000"/>
          <w:sz w:val="24"/>
        </w:rPr>
        <w:t>has the meaning set forth in Section 2.3.2(b).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1.145</w:t>
      </w:r>
    </w:p>
    <w:p>
      <w:pPr>
        <w:pStyle w:val="TextBody"/>
        <w:bidi w:val="0"/>
        <w:spacing w:before="0" w:after="240"/>
        <w:jc w:val="both"/>
        <w:rPr/>
      </w:pPr>
      <w:r>
        <w:rPr>
          <w:color w:val="000000"/>
        </w:rPr>
        <w:t>“</w:t>
      </w:r>
      <w:r>
        <w:rPr>
          <w:rFonts w:ascii="Times New Roman" w:hAnsi="Times New Roman"/>
          <w:b/>
          <w:color w:val="000000"/>
          <w:sz w:val="24"/>
        </w:rPr>
        <w:t>ROFN Decline</w:t>
      </w:r>
      <w:r>
        <w:rPr>
          <w:color w:val="000000"/>
        </w:rPr>
        <w:t xml:space="preserve">” </w:t>
      </w:r>
      <w:r>
        <w:rPr>
          <w:rFonts w:ascii="Times New Roman" w:hAnsi="Times New Roman"/>
          <w:color w:val="000000"/>
          <w:sz w:val="24"/>
        </w:rPr>
        <w:t>has the meaning set forth in Section 2.3.2(b).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1.146</w:t>
      </w:r>
    </w:p>
    <w:p>
      <w:pPr>
        <w:pStyle w:val="TextBody"/>
        <w:bidi w:val="0"/>
        <w:spacing w:before="0" w:after="240"/>
        <w:jc w:val="both"/>
        <w:rPr/>
      </w:pPr>
      <w:r>
        <w:rPr>
          <w:color w:val="000000"/>
        </w:rPr>
        <w:t>“</w:t>
      </w:r>
      <w:r>
        <w:rPr>
          <w:rFonts w:ascii="Times New Roman" w:hAnsi="Times New Roman"/>
          <w:b/>
          <w:color w:val="000000"/>
          <w:sz w:val="24"/>
        </w:rPr>
        <w:t>Royalty Term</w:t>
      </w:r>
      <w:r>
        <w:rPr>
          <w:color w:val="000000"/>
        </w:rPr>
        <w:t xml:space="preserve">” </w:t>
      </w:r>
      <w:r>
        <w:rPr>
          <w:rFonts w:ascii="Times New Roman" w:hAnsi="Times New Roman"/>
          <w:color w:val="000000"/>
          <w:sz w:val="24"/>
        </w:rPr>
        <w:t>means, on a Licensed Product-by-Licensed Product and country-by-country basis, the period beginning on the date of the First Commercial Sale of such Licensed Product in such country and ending upon the date of the latest of (a) the expiration of the last Valid Claim of the MabCare Patents or Joint Foreground Patents that Cover (i) the composition of matter of such Licensed Product in such country, or (ii) method of use of such Licensed Product for an Indication set forth on the approved product labeling for such Licensed Product in such country, (b) the tenth (10</w:t>
      </w:r>
      <w:r>
        <w:rPr>
          <w:rFonts w:ascii="Times New Roman" w:hAnsi="Times New Roman"/>
          <w:color w:val="000000"/>
          <w:sz w:val="16"/>
        </w:rPr>
        <w:t>th</w:t>
      </w:r>
      <w:r>
        <w:rPr>
          <w:rFonts w:ascii="Times New Roman" w:hAnsi="Times New Roman"/>
          <w:color w:val="000000"/>
          <w:sz w:val="24"/>
        </w:rPr>
        <w:t>) anniversary of the date of the First Commercial Sale of such Licensed Product in such country, and (c) termination or expiration of Regulatory Exclusivity for such Licensed Product in such country.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1.147</w:t>
      </w:r>
    </w:p>
    <w:p>
      <w:pPr>
        <w:pStyle w:val="TextBody"/>
        <w:bidi w:val="0"/>
        <w:spacing w:before="0" w:after="240"/>
        <w:jc w:val="both"/>
        <w:rPr/>
      </w:pPr>
      <w:r>
        <w:rPr>
          <w:color w:val="000000"/>
        </w:rPr>
        <w:t>“</w:t>
      </w:r>
      <w:r>
        <w:rPr>
          <w:rFonts w:ascii="Times New Roman" w:hAnsi="Times New Roman"/>
          <w:b/>
          <w:color w:val="000000"/>
          <w:sz w:val="24"/>
        </w:rPr>
        <w:t>Sales Milestone Event</w:t>
      </w:r>
      <w:r>
        <w:rPr>
          <w:color w:val="000000"/>
        </w:rPr>
        <w:t xml:space="preserve">” </w:t>
      </w:r>
      <w:r>
        <w:rPr>
          <w:rFonts w:ascii="Times New Roman" w:hAnsi="Times New Roman"/>
          <w:color w:val="000000"/>
          <w:sz w:val="24"/>
        </w:rPr>
        <w:t xml:space="preserve">has the meaning set forth in Section 6.3.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1.148</w:t>
      </w:r>
    </w:p>
    <w:p>
      <w:pPr>
        <w:pStyle w:val="TextBody"/>
        <w:bidi w:val="0"/>
        <w:spacing w:before="0" w:after="240"/>
        <w:jc w:val="both"/>
        <w:rPr/>
      </w:pPr>
      <w:r>
        <w:rPr>
          <w:color w:val="000000"/>
        </w:rPr>
        <w:t>“</w:t>
      </w:r>
      <w:r>
        <w:rPr>
          <w:rFonts w:ascii="Times New Roman" w:hAnsi="Times New Roman"/>
          <w:b/>
          <w:color w:val="000000"/>
          <w:sz w:val="24"/>
        </w:rPr>
        <w:t>Sales Milestone Payment</w:t>
      </w:r>
      <w:r>
        <w:rPr>
          <w:color w:val="000000"/>
        </w:rPr>
        <w:t xml:space="preserve">” </w:t>
      </w:r>
      <w:r>
        <w:rPr>
          <w:rFonts w:ascii="Times New Roman" w:hAnsi="Times New Roman"/>
          <w:color w:val="000000"/>
          <w:sz w:val="24"/>
        </w:rPr>
        <w:t xml:space="preserve">has the meaning set forth in Section 6.3.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1.149</w:t>
      </w:r>
    </w:p>
    <w:p>
      <w:pPr>
        <w:pStyle w:val="TextBody"/>
        <w:bidi w:val="0"/>
        <w:spacing w:before="0" w:after="240"/>
        <w:jc w:val="both"/>
        <w:rPr/>
      </w:pPr>
      <w:r>
        <w:rPr>
          <w:color w:val="000000"/>
        </w:rPr>
        <w:t>“</w:t>
      </w:r>
      <w:r>
        <w:rPr>
          <w:rFonts w:ascii="Times New Roman" w:hAnsi="Times New Roman"/>
          <w:b/>
          <w:color w:val="000000"/>
          <w:sz w:val="24"/>
        </w:rPr>
        <w:t>Securities Regulations</w:t>
      </w:r>
      <w:r>
        <w:rPr>
          <w:color w:val="000000"/>
        </w:rPr>
        <w:t xml:space="preserve">” </w:t>
      </w:r>
      <w:r>
        <w:rPr>
          <w:rFonts w:ascii="Times New Roman" w:hAnsi="Times New Roman"/>
          <w:color w:val="000000"/>
          <w:sz w:val="24"/>
        </w:rPr>
        <w:t>has the meaning set forth in Section 7.5.2.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1.150</w:t>
      </w:r>
    </w:p>
    <w:p>
      <w:pPr>
        <w:pStyle w:val="TextBody"/>
        <w:bidi w:val="0"/>
        <w:spacing w:before="0" w:after="240"/>
        <w:jc w:val="both"/>
        <w:rPr/>
      </w:pPr>
      <w:r>
        <w:rPr>
          <w:color w:val="000000"/>
        </w:rPr>
        <w:t>“</w:t>
      </w:r>
      <w:r>
        <w:rPr>
          <w:rFonts w:ascii="Times New Roman" w:hAnsi="Times New Roman"/>
          <w:b/>
          <w:color w:val="000000"/>
          <w:sz w:val="24"/>
        </w:rPr>
        <w:t>Securities Regulator</w:t>
      </w:r>
      <w:r>
        <w:rPr>
          <w:color w:val="000000"/>
        </w:rPr>
        <w:t xml:space="preserve">” </w:t>
      </w:r>
      <w:r>
        <w:rPr>
          <w:rFonts w:ascii="Times New Roman" w:hAnsi="Times New Roman"/>
          <w:color w:val="000000"/>
          <w:sz w:val="24"/>
        </w:rPr>
        <w:t>has the meaning set forth in Section 7.5.2.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1.151</w:t>
      </w:r>
    </w:p>
    <w:p>
      <w:pPr>
        <w:pStyle w:val="TextBody"/>
        <w:bidi w:val="0"/>
        <w:spacing w:before="0" w:after="240"/>
        <w:jc w:val="both"/>
        <w:rPr/>
      </w:pPr>
      <w:r>
        <w:rPr>
          <w:color w:val="000000"/>
        </w:rPr>
        <w:t>“</w:t>
      </w:r>
      <w:r>
        <w:rPr>
          <w:rFonts w:ascii="Times New Roman" w:hAnsi="Times New Roman"/>
          <w:b/>
          <w:color w:val="000000"/>
          <w:sz w:val="24"/>
        </w:rPr>
        <w:t>Segregate</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1.152</w:t>
      </w:r>
    </w:p>
    <w:p>
      <w:pPr>
        <w:pStyle w:val="TextBody"/>
        <w:bidi w:val="0"/>
        <w:spacing w:before="0" w:after="240"/>
        <w:jc w:val="both"/>
        <w:rPr/>
      </w:pPr>
      <w:r>
        <w:rPr>
          <w:color w:val="000000"/>
        </w:rPr>
        <w:t>“</w:t>
      </w:r>
      <w:r>
        <w:rPr>
          <w:rFonts w:ascii="Times New Roman" w:hAnsi="Times New Roman"/>
          <w:b/>
          <w:color w:val="000000"/>
          <w:sz w:val="24"/>
        </w:rPr>
        <w:t>SIAC</w:t>
      </w:r>
      <w:r>
        <w:rPr>
          <w:color w:val="000000"/>
        </w:rPr>
        <w:t xml:space="preserve">” </w:t>
      </w:r>
      <w:r>
        <w:rPr>
          <w:rFonts w:ascii="Times New Roman" w:hAnsi="Times New Roman"/>
          <w:color w:val="000000"/>
          <w:sz w:val="24"/>
        </w:rPr>
        <w:t>has the meaning set forth in Section 12.5.2.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1.153</w:t>
      </w:r>
    </w:p>
    <w:p>
      <w:pPr>
        <w:pStyle w:val="TextBody"/>
        <w:bidi w:val="0"/>
        <w:spacing w:before="0" w:after="240"/>
        <w:jc w:val="both"/>
        <w:rPr/>
      </w:pPr>
      <w:r>
        <w:rPr>
          <w:color w:val="000000"/>
        </w:rPr>
        <w:t>“</w:t>
      </w:r>
      <w:r>
        <w:rPr>
          <w:rFonts w:ascii="Times New Roman" w:hAnsi="Times New Roman"/>
          <w:b/>
          <w:color w:val="000000"/>
          <w:sz w:val="24"/>
        </w:rPr>
        <w:t>Simon Two-Stage Design Dose Expansion Study</w:t>
      </w:r>
      <w:r>
        <w:rPr>
          <w:color w:val="000000"/>
        </w:rPr>
        <w:t xml:space="preserve">” </w:t>
      </w:r>
      <w:r>
        <w:rPr>
          <w:rFonts w:ascii="Times New Roman" w:hAnsi="Times New Roman"/>
          <w:color w:val="000000"/>
          <w:sz w:val="24"/>
        </w:rPr>
        <w:t>means a portion of a Clinical Trial of a product that (a) introduces into patients solely the recommended dose(s) of such product, as determined by a recommended dose study of such product, and (b) employs at least two (2) concurrently accruing patient cohorts, where each cohort is intended to assess a different aspect of such product such as its safety, metabolism, pharmacokinetic properties, clinical pharmacology, or antitumor activity.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1.154</w:t>
      </w:r>
    </w:p>
    <w:p>
      <w:pPr>
        <w:pStyle w:val="TextBody"/>
        <w:bidi w:val="0"/>
        <w:spacing w:before="0" w:after="240"/>
        <w:jc w:val="both"/>
        <w:rPr/>
      </w:pPr>
      <w:r>
        <w:rPr>
          <w:color w:val="000000"/>
        </w:rPr>
        <w:t>“</w:t>
      </w:r>
      <w:r>
        <w:rPr>
          <w:rFonts w:ascii="Times New Roman" w:hAnsi="Times New Roman"/>
          <w:b/>
          <w:color w:val="000000"/>
          <w:sz w:val="24"/>
        </w:rPr>
        <w:t>Skipped Development/Commercial</w:t>
      </w:r>
      <w:r>
        <w:rPr>
          <w:color w:val="000000"/>
        </w:rPr>
        <w:t xml:space="preserve"> </w:t>
      </w:r>
      <w:r>
        <w:rPr>
          <w:rFonts w:ascii="Times New Roman" w:hAnsi="Times New Roman"/>
          <w:b/>
          <w:color w:val="000000"/>
          <w:sz w:val="24"/>
        </w:rPr>
        <w:t>Milestone</w:t>
      </w:r>
      <w:r>
        <w:rPr>
          <w:color w:val="000000"/>
        </w:rPr>
        <w:t xml:space="preserve">” </w:t>
      </w:r>
      <w:r>
        <w:rPr>
          <w:rFonts w:ascii="Times New Roman" w:hAnsi="Times New Roman"/>
          <w:color w:val="000000"/>
          <w:sz w:val="24"/>
        </w:rPr>
        <w:t>has the meaning set forth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1.155</w:t>
      </w:r>
    </w:p>
    <w:p>
      <w:pPr>
        <w:pStyle w:val="TextBody"/>
        <w:bidi w:val="0"/>
        <w:spacing w:before="0" w:after="240"/>
        <w:jc w:val="both"/>
        <w:rPr/>
      </w:pPr>
      <w:r>
        <w:rPr>
          <w:color w:val="000000"/>
        </w:rPr>
        <w:t>“</w:t>
      </w:r>
      <w:r>
        <w:rPr>
          <w:rFonts w:ascii="Times New Roman" w:hAnsi="Times New Roman"/>
          <w:b/>
          <w:color w:val="000000"/>
          <w:sz w:val="24"/>
        </w:rPr>
        <w:t>Specified Patent Right</w:t>
      </w:r>
      <w:r>
        <w:rPr>
          <w:color w:val="000000"/>
        </w:rPr>
        <w:t xml:space="preserve">” </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1.156</w:t>
      </w:r>
    </w:p>
    <w:p>
      <w:pPr>
        <w:pStyle w:val="TextBody"/>
        <w:bidi w:val="0"/>
        <w:spacing w:before="0" w:after="240"/>
        <w:jc w:val="both"/>
        <w:rPr/>
      </w:pPr>
      <w:r>
        <w:rPr>
          <w:color w:val="000000"/>
        </w:rPr>
        <w:t>“</w:t>
      </w:r>
      <w:r>
        <w:rPr>
          <w:rFonts w:ascii="Times New Roman" w:hAnsi="Times New Roman"/>
          <w:b/>
          <w:color w:val="000000"/>
          <w:sz w:val="24"/>
        </w:rPr>
        <w:t>Specific Patent Right Costs</w:t>
      </w:r>
      <w:r>
        <w:rPr>
          <w:color w:val="000000"/>
        </w:rPr>
        <w:t xml:space="preserve">” </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1.157</w:t>
      </w:r>
    </w:p>
    <w:p>
      <w:pPr>
        <w:pStyle w:val="TextBody"/>
        <w:bidi w:val="0"/>
        <w:spacing w:before="0" w:after="240"/>
        <w:jc w:val="both"/>
        <w:rPr/>
      </w:pPr>
      <w:r>
        <w:rPr>
          <w:color w:val="000000"/>
        </w:rPr>
        <w:t>“</w:t>
      </w:r>
      <w:r>
        <w:rPr>
          <w:rFonts w:ascii="Times New Roman" w:hAnsi="Times New Roman"/>
          <w:b/>
          <w:color w:val="000000"/>
          <w:sz w:val="24"/>
        </w:rPr>
        <w:t>Specific Patent Right Payments</w:t>
      </w:r>
      <w:r>
        <w:rPr>
          <w:color w:val="000000"/>
        </w:rPr>
        <w:t xml:space="preserve">” </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1.158</w:t>
      </w:r>
    </w:p>
    <w:p>
      <w:pPr>
        <w:pStyle w:val="TextBody"/>
        <w:bidi w:val="0"/>
        <w:spacing w:before="0" w:after="240"/>
        <w:jc w:val="both"/>
        <w:rPr/>
      </w:pPr>
      <w:r>
        <w:rPr>
          <w:color w:val="000000"/>
        </w:rPr>
        <w:t>“</w:t>
      </w:r>
      <w:r>
        <w:rPr>
          <w:rFonts w:ascii="Times New Roman" w:hAnsi="Times New Roman"/>
          <w:b/>
          <w:color w:val="000000"/>
          <w:sz w:val="24"/>
        </w:rPr>
        <w:t>Subcontractor</w:t>
      </w:r>
      <w:r>
        <w:rPr>
          <w:color w:val="000000"/>
        </w:rPr>
        <w:t xml:space="preserve">” </w:t>
      </w:r>
      <w:r>
        <w:rPr>
          <w:rFonts w:ascii="Times New Roman" w:hAnsi="Times New Roman"/>
          <w:color w:val="000000"/>
          <w:sz w:val="24"/>
        </w:rPr>
        <w:t xml:space="preserve">has the meaning set forth in Section 2.4.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1.159</w:t>
      </w:r>
    </w:p>
    <w:p>
      <w:pPr>
        <w:pStyle w:val="TextBody"/>
        <w:bidi w:val="0"/>
        <w:spacing w:before="0" w:after="240"/>
        <w:jc w:val="both"/>
        <w:rPr/>
      </w:pPr>
      <w:r>
        <w:rPr>
          <w:color w:val="000000"/>
        </w:rPr>
        <w:t>“</w:t>
      </w:r>
      <w:r>
        <w:rPr>
          <w:rFonts w:ascii="Times New Roman" w:hAnsi="Times New Roman"/>
          <w:b/>
          <w:color w:val="000000"/>
          <w:sz w:val="24"/>
        </w:rPr>
        <w:t>Sublicense</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1.160</w:t>
      </w:r>
    </w:p>
    <w:p>
      <w:pPr>
        <w:pStyle w:val="TextBody"/>
        <w:bidi w:val="0"/>
        <w:spacing w:before="0" w:after="240"/>
        <w:jc w:val="both"/>
        <w:rPr/>
      </w:pPr>
      <w:r>
        <w:rPr>
          <w:color w:val="000000"/>
        </w:rPr>
        <w:t>“</w:t>
      </w:r>
      <w:r>
        <w:rPr>
          <w:rFonts w:ascii="Times New Roman" w:hAnsi="Times New Roman"/>
          <w:b/>
          <w:color w:val="000000"/>
          <w:sz w:val="24"/>
        </w:rPr>
        <w:t>Sublicensee</w:t>
      </w:r>
      <w:r>
        <w:rPr>
          <w:color w:val="000000"/>
        </w:rPr>
        <w:t xml:space="preserve">” </w:t>
      </w:r>
      <w:r>
        <w:rPr>
          <w:rFonts w:ascii="Times New Roman" w:hAnsi="Times New Roman"/>
          <w:color w:val="000000"/>
          <w:sz w:val="24"/>
        </w:rPr>
        <w:t xml:space="preserve">has the meaning set forth in Section 2.3.1.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1.161</w:t>
      </w:r>
    </w:p>
    <w:p>
      <w:pPr>
        <w:pStyle w:val="TextBody"/>
        <w:bidi w:val="0"/>
        <w:spacing w:before="0" w:after="240"/>
        <w:jc w:val="both"/>
        <w:rPr/>
      </w:pPr>
      <w:r>
        <w:rPr>
          <w:color w:val="000000"/>
        </w:rPr>
        <w:t>“</w:t>
      </w:r>
      <w:r>
        <w:rPr>
          <w:rFonts w:ascii="Times New Roman" w:hAnsi="Times New Roman"/>
          <w:b/>
          <w:color w:val="000000"/>
          <w:sz w:val="24"/>
        </w:rPr>
        <w:t>Sublicensing Income</w:t>
      </w:r>
      <w:r>
        <w:rPr>
          <w:color w:val="000000"/>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1.162</w:t>
      </w:r>
    </w:p>
    <w:p>
      <w:pPr>
        <w:pStyle w:val="TextBody"/>
        <w:bidi w:val="0"/>
        <w:spacing w:before="0" w:after="240"/>
        <w:jc w:val="both"/>
        <w:rPr/>
      </w:pPr>
      <w:r>
        <w:rPr>
          <w:color w:val="000000"/>
        </w:rPr>
        <w:t>“</w:t>
      </w:r>
      <w:r>
        <w:rPr>
          <w:rFonts w:ascii="Times New Roman" w:hAnsi="Times New Roman"/>
          <w:b/>
          <w:color w:val="000000"/>
          <w:sz w:val="24"/>
        </w:rPr>
        <w:t>Substitution Clinical Trial</w:t>
      </w:r>
      <w:r>
        <w:rPr>
          <w:color w:val="000000"/>
        </w:rPr>
        <w:t xml:space="preserve">” </w:t>
      </w:r>
      <w:r>
        <w:rPr>
          <w:rFonts w:ascii="Times New Roman" w:hAnsi="Times New Roman"/>
          <w:color w:val="000000"/>
          <w:sz w:val="24"/>
        </w:rPr>
        <w:t>has the meaning set forth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1.163</w:t>
      </w:r>
    </w:p>
    <w:p>
      <w:pPr>
        <w:pStyle w:val="TextBody"/>
        <w:bidi w:val="0"/>
        <w:spacing w:before="0" w:after="240"/>
        <w:jc w:val="both"/>
        <w:rPr/>
      </w:pPr>
      <w:r>
        <w:rPr>
          <w:color w:val="000000"/>
        </w:rPr>
        <w:t>“</w:t>
      </w:r>
      <w:r>
        <w:rPr>
          <w:rFonts w:ascii="Times New Roman" w:hAnsi="Times New Roman"/>
          <w:b/>
          <w:color w:val="000000"/>
          <w:sz w:val="24"/>
        </w:rPr>
        <w:t>Technology Transfer</w:t>
      </w:r>
      <w:r>
        <w:rPr>
          <w:color w:val="000000"/>
        </w:rPr>
        <w:t xml:space="preserve">” </w:t>
      </w:r>
      <w:r>
        <w:rPr>
          <w:rFonts w:ascii="Times New Roman" w:hAnsi="Times New Roman"/>
          <w:color w:val="000000"/>
          <w:sz w:val="24"/>
        </w:rPr>
        <w:t>has the meaning set forth in Section 4.1.1.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1.164</w:t>
      </w:r>
    </w:p>
    <w:p>
      <w:pPr>
        <w:pStyle w:val="TextBody"/>
        <w:bidi w:val="0"/>
        <w:spacing w:before="0" w:after="240"/>
        <w:jc w:val="both"/>
        <w:rPr/>
      </w:pP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has the meaning set forth in Section 11.1.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1.165</w:t>
      </w:r>
    </w:p>
    <w:p>
      <w:pPr>
        <w:pStyle w:val="TextBody"/>
        <w:bidi w:val="0"/>
        <w:spacing w:before="0" w:after="240"/>
        <w:jc w:val="both"/>
        <w:rPr/>
      </w:pPr>
      <w:r>
        <w:rPr>
          <w:color w:val="000000"/>
        </w:rPr>
        <w:t>“</w:t>
      </w:r>
      <w:r>
        <w:rPr>
          <w:rFonts w:ascii="Times New Roman" w:hAnsi="Times New Roman"/>
          <w:b/>
          <w:color w:val="000000"/>
          <w:sz w:val="24"/>
        </w:rPr>
        <w:t>Territory</w:t>
      </w:r>
      <w:r>
        <w:rPr>
          <w:color w:val="000000"/>
        </w:rPr>
        <w:t xml:space="preserve">” </w:t>
      </w:r>
      <w:r>
        <w:rPr>
          <w:rFonts w:ascii="Times New Roman" w:hAnsi="Times New Roman"/>
          <w:color w:val="000000"/>
          <w:sz w:val="24"/>
        </w:rPr>
        <w:t>means, with respect to Day One, the Day One Territory, and with respect to MabCare, the MabCare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1.166</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color w:val="000000"/>
          <w:sz w:val="24"/>
        </w:rPr>
        <w:t>means any Person, other than a Party or an Affiliate of a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1.167</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b/>
          <w:color w:val="000000"/>
          <w:sz w:val="24"/>
        </w:rPr>
        <w:t>Claim</w:t>
      </w:r>
      <w:r>
        <w:rPr>
          <w:color w:val="000000"/>
        </w:rPr>
        <w:t xml:space="preserve">” </w:t>
      </w:r>
      <w:r>
        <w:rPr>
          <w:rFonts w:ascii="Times New Roman" w:hAnsi="Times New Roman"/>
          <w:color w:val="000000"/>
          <w:sz w:val="24"/>
        </w:rPr>
        <w:t xml:space="preserve">has the meaning set forth in Section 10.1.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1.168</w:t>
      </w:r>
    </w:p>
    <w:p>
      <w:pPr>
        <w:pStyle w:val="TextBody"/>
        <w:bidi w:val="0"/>
        <w:spacing w:before="0" w:after="240"/>
        <w:jc w:val="both"/>
        <w:rPr/>
      </w:pPr>
      <w:r>
        <w:rPr>
          <w:color w:val="000000"/>
        </w:rPr>
        <w:t>“</w:t>
      </w:r>
      <w:r>
        <w:rPr>
          <w:rFonts w:ascii="Times New Roman" w:hAnsi="Times New Roman"/>
          <w:b/>
          <w:color w:val="000000"/>
          <w:sz w:val="24"/>
        </w:rPr>
        <w:t>Third Party Infringement Claim</w:t>
      </w:r>
      <w:r>
        <w:rPr>
          <w:color w:val="000000"/>
        </w:rPr>
        <w:t xml:space="preserve">” </w:t>
      </w:r>
      <w:r>
        <w:rPr>
          <w:rFonts w:ascii="Times New Roman" w:hAnsi="Times New Roman"/>
          <w:color w:val="000000"/>
          <w:sz w:val="24"/>
        </w:rPr>
        <w:t>has the meaning set forth in Section 8.7.1.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1.169</w:t>
      </w:r>
    </w:p>
    <w:p>
      <w:pPr>
        <w:pStyle w:val="TextBody"/>
        <w:bidi w:val="0"/>
        <w:spacing w:before="0" w:after="240"/>
        <w:jc w:val="both"/>
        <w:rPr/>
      </w:pPr>
      <w:r>
        <w:rPr>
          <w:color w:val="000000"/>
        </w:rPr>
        <w:t>“</w:t>
      </w:r>
      <w:r>
        <w:rPr>
          <w:rFonts w:ascii="Times New Roman" w:hAnsi="Times New Roman"/>
          <w:b/>
          <w:color w:val="000000"/>
          <w:sz w:val="24"/>
        </w:rPr>
        <w:t>Third Party Payments</w:t>
      </w:r>
      <w:r>
        <w:rPr>
          <w:color w:val="000000"/>
        </w:rPr>
        <w:t xml:space="preserve">” </w:t>
      </w:r>
      <w:r>
        <w:rPr>
          <w:rFonts w:ascii="Times New Roman" w:hAnsi="Times New Roman"/>
          <w:color w:val="000000"/>
          <w:sz w:val="24"/>
        </w:rPr>
        <w:t>has the meaning set forth in Section 6.4.2.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1.170</w:t>
      </w:r>
    </w:p>
    <w:p>
      <w:pPr>
        <w:pStyle w:val="TextBody"/>
        <w:bidi w:val="0"/>
        <w:spacing w:before="0" w:after="240"/>
        <w:jc w:val="both"/>
        <w:rPr/>
      </w:pPr>
      <w:r>
        <w:rPr>
          <w:color w:val="000000"/>
        </w:rPr>
        <w:t>“</w:t>
      </w:r>
      <w:r>
        <w:rPr>
          <w:rFonts w:ascii="Times New Roman" w:hAnsi="Times New Roman"/>
          <w:b/>
          <w:color w:val="000000"/>
          <w:sz w:val="24"/>
        </w:rPr>
        <w:t>Transferred Regulatory Materials</w:t>
      </w:r>
      <w:r>
        <w:rPr>
          <w:color w:val="000000"/>
        </w:rPr>
        <w:t xml:space="preserve">” </w:t>
      </w:r>
      <w:r>
        <w:rPr>
          <w:rFonts w:ascii="Times New Roman" w:hAnsi="Times New Roman"/>
          <w:color w:val="000000"/>
          <w:sz w:val="24"/>
        </w:rPr>
        <w:t>has the meaning set forth in Section 4.1.2.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1.171</w:t>
      </w:r>
    </w:p>
    <w:p>
      <w:pPr>
        <w:pStyle w:val="TextBody"/>
        <w:bidi w:val="0"/>
        <w:spacing w:before="0" w:after="240"/>
        <w:jc w:val="both"/>
        <w:rPr/>
      </w:pPr>
      <w:r>
        <w:rPr>
          <w:color w:val="000000"/>
        </w:rPr>
        <w:t>“</w:t>
      </w:r>
      <w:r>
        <w:rPr>
          <w:rFonts w:ascii="Times New Roman" w:hAnsi="Times New Roman"/>
          <w:b/>
          <w:color w:val="000000"/>
          <w:sz w:val="24"/>
        </w:rPr>
        <w:t>United States</w:t>
      </w:r>
      <w:r>
        <w:rPr>
          <w:color w:val="000000"/>
        </w:rPr>
        <w:t xml:space="preserve">” </w:t>
      </w:r>
      <w:r>
        <w:rPr>
          <w:rFonts w:ascii="Times New Roman" w:hAnsi="Times New Roman"/>
          <w:color w:val="000000"/>
          <w:sz w:val="24"/>
        </w:rPr>
        <w:t>or “</w:t>
      </w:r>
      <w:r>
        <w:rPr>
          <w:rFonts w:ascii="Times New Roman" w:hAnsi="Times New Roman"/>
          <w:b/>
          <w:color w:val="000000"/>
          <w:sz w:val="24"/>
        </w:rPr>
        <w:t>U.S.</w:t>
      </w:r>
      <w:r>
        <w:rPr>
          <w:color w:val="000000"/>
        </w:rPr>
        <w:t xml:space="preserve">” </w:t>
      </w:r>
      <w:r>
        <w:rPr>
          <w:rFonts w:ascii="Times New Roman" w:hAnsi="Times New Roman"/>
          <w:color w:val="000000"/>
          <w:sz w:val="24"/>
        </w:rPr>
        <w:t>means the United States of America and its territories and possessions.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1.172</w:t>
      </w:r>
    </w:p>
    <w:p>
      <w:pPr>
        <w:pStyle w:val="TextBody"/>
        <w:bidi w:val="0"/>
        <w:spacing w:before="0" w:after="240"/>
        <w:jc w:val="both"/>
        <w:rPr/>
      </w:pPr>
      <w:r>
        <w:rPr>
          <w:color w:val="000000"/>
        </w:rPr>
        <w:t>“</w:t>
      </w:r>
      <w:r>
        <w:rPr>
          <w:rFonts w:ascii="Times New Roman" w:hAnsi="Times New Roman"/>
          <w:b/>
          <w:color w:val="000000"/>
          <w:sz w:val="24"/>
        </w:rPr>
        <w:t>Upfront Fee</w:t>
      </w:r>
      <w:r>
        <w:rPr>
          <w:color w:val="000000"/>
        </w:rPr>
        <w:t xml:space="preserve">” </w:t>
      </w:r>
      <w:r>
        <w:rPr>
          <w:rFonts w:ascii="Times New Roman" w:hAnsi="Times New Roman"/>
          <w:color w:val="000000"/>
          <w:sz w:val="24"/>
        </w:rPr>
        <w:t>has the meaning set forth in Section 6.1.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1.173</w:t>
      </w:r>
    </w:p>
    <w:p>
      <w:pPr>
        <w:pStyle w:val="TextBody"/>
        <w:bidi w:val="0"/>
        <w:spacing w:before="0" w:after="240"/>
        <w:jc w:val="both"/>
        <w:rPr/>
      </w:pPr>
      <w:r>
        <w:rPr>
          <w:color w:val="000000"/>
        </w:rPr>
        <w:t>“</w:t>
      </w:r>
      <w:r>
        <w:rPr>
          <w:rFonts w:ascii="Times New Roman" w:hAnsi="Times New Roman"/>
          <w:b/>
          <w:color w:val="000000"/>
          <w:sz w:val="24"/>
        </w:rPr>
        <w:t>U.S. Bankruptcy Code</w:t>
      </w:r>
      <w:r>
        <w:rPr>
          <w:color w:val="000000"/>
        </w:rPr>
        <w:t xml:space="preserve">” </w:t>
      </w:r>
      <w:r>
        <w:rPr>
          <w:rFonts w:ascii="Times New Roman" w:hAnsi="Times New Roman"/>
          <w:color w:val="000000"/>
          <w:sz w:val="24"/>
        </w:rPr>
        <w:t xml:space="preserve">has the meaning set forth in Section 11.4.2.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1.174</w:t>
      </w:r>
    </w:p>
    <w:p>
      <w:pPr>
        <w:pStyle w:val="TextBody"/>
        <w:bidi w:val="0"/>
        <w:spacing w:before="0" w:after="240"/>
        <w:jc w:val="both"/>
        <w:rPr/>
      </w:pPr>
      <w:r>
        <w:rPr>
          <w:color w:val="000000"/>
        </w:rPr>
        <w:t>“</w:t>
      </w:r>
      <w:r>
        <w:rPr>
          <w:rFonts w:ascii="Times New Roman" w:hAnsi="Times New Roman"/>
          <w:b/>
          <w:color w:val="000000"/>
          <w:sz w:val="24"/>
        </w:rPr>
        <w:t>USD</w:t>
      </w:r>
      <w:r>
        <w:rPr>
          <w:color w:val="000000"/>
        </w:rPr>
        <w:t xml:space="preserve">” </w:t>
      </w:r>
      <w:r>
        <w:rPr>
          <w:rFonts w:ascii="Times New Roman" w:hAnsi="Times New Roman"/>
          <w:color w:val="000000"/>
          <w:sz w:val="24"/>
        </w:rPr>
        <w:t>or “</w:t>
      </w:r>
      <w:r>
        <w:rPr>
          <w:rFonts w:ascii="Times New Roman" w:hAnsi="Times New Roman"/>
          <w:b/>
          <w:color w:val="000000"/>
          <w:sz w:val="24"/>
        </w:rPr>
        <w:t>Dollars</w:t>
      </w:r>
      <w:r>
        <w:rPr>
          <w:color w:val="000000"/>
        </w:rPr>
        <w:t xml:space="preserve">” </w:t>
      </w:r>
      <w:r>
        <w:rPr>
          <w:rFonts w:ascii="Times New Roman" w:hAnsi="Times New Roman"/>
          <w:color w:val="000000"/>
          <w:sz w:val="24"/>
        </w:rPr>
        <w:t>means United States dollars.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1.175</w:t>
      </w:r>
    </w:p>
    <w:p>
      <w:pPr>
        <w:pStyle w:val="TextBody"/>
        <w:bidi w:val="0"/>
        <w:spacing w:before="0" w:after="240"/>
        <w:jc w:val="both"/>
        <w:rPr/>
      </w:pPr>
      <w:r>
        <w:rPr>
          <w:color w:val="000000"/>
        </w:rPr>
        <w:t>“</w:t>
      </w:r>
      <w:r>
        <w:rPr>
          <w:rFonts w:ascii="Times New Roman" w:hAnsi="Times New Roman"/>
          <w:b/>
          <w:color w:val="000000"/>
          <w:sz w:val="24"/>
        </w:rPr>
        <w:t>Valid Claim</w:t>
      </w:r>
      <w:r>
        <w:rPr>
          <w:color w:val="000000"/>
        </w:rPr>
        <w:t xml:space="preserve">” </w:t>
      </w:r>
      <w:r>
        <w:rPr>
          <w:rFonts w:ascii="Times New Roman" w:hAnsi="Times New Roman"/>
          <w:color w:val="000000"/>
          <w:sz w:val="24"/>
        </w:rPr>
        <w:t xml:space="preserve">means a claim (a) in an issued and unexpired Patent that has not been held unenforceable, unpatentable or invalid by a decision of a court or other governmental agency of competent jurisdiction, and which has not been admitted as invalid or unenforceable through abandonment, reissue, disclaimer or otherwise, such holding or decision being final and unappealable or unappealed within the time allowed for appeal; or (b) in a pending Patent application </w:t>
      </w:r>
      <w:r>
        <w:rPr>
          <w:rFonts w:ascii="Times New Roman" w:hAnsi="Times New Roman"/>
          <w:i/>
          <w:color w:val="000000"/>
          <w:sz w:val="24"/>
        </w:rPr>
        <w:t>provided, however</w:t>
      </w:r>
      <w:r>
        <w:rPr>
          <w:rFonts w:ascii="Times New Roman" w:hAnsi="Times New Roman"/>
          <w:color w:val="000000"/>
          <w:sz w:val="24"/>
        </w:rPr>
        <w:t>, that a pending claim of a patent application shall cease to be a Valid Claim if such pending claim does not issue within seven (7) years after the filing date of the patent application from which it arose, unless and until such pending claim has issued thereafter, and satisfies subsection (a) of this definition.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1.176</w:t>
      </w:r>
    </w:p>
    <w:p>
      <w:pPr>
        <w:pStyle w:val="TextBody"/>
        <w:bidi w:val="0"/>
        <w:spacing w:before="0" w:after="240"/>
        <w:jc w:val="both"/>
        <w:rPr/>
      </w:pPr>
      <w:r>
        <w:rPr>
          <w:color w:val="000000"/>
        </w:rPr>
        <w:t>“</w:t>
      </w:r>
      <w:r>
        <w:rPr>
          <w:rFonts w:ascii="Times New Roman" w:hAnsi="Times New Roman"/>
          <w:b/>
          <w:color w:val="000000"/>
          <w:sz w:val="24"/>
        </w:rPr>
        <w:t>VAT</w:t>
      </w:r>
      <w:r>
        <w:rPr>
          <w:color w:val="000000"/>
        </w:rPr>
        <w:t xml:space="preserve">” </w:t>
      </w:r>
      <w:r>
        <w:rPr>
          <w:rFonts w:ascii="Times New Roman" w:hAnsi="Times New Roman"/>
          <w:color w:val="000000"/>
          <w:sz w:val="24"/>
        </w:rPr>
        <w:t xml:space="preserve">has the meaning set forth in Section 6.11.3.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1.177</w:t>
      </w:r>
    </w:p>
    <w:p>
      <w:pPr>
        <w:pStyle w:val="TextBody"/>
        <w:bidi w:val="0"/>
        <w:spacing w:before="0" w:after="240"/>
        <w:jc w:val="both"/>
        <w:rPr/>
      </w:pPr>
      <w:r>
        <w:rPr>
          <w:color w:val="000000"/>
        </w:rPr>
        <w:t>“</w:t>
      </w:r>
      <w:r>
        <w:rPr>
          <w:rFonts w:ascii="Times New Roman" w:hAnsi="Times New Roman"/>
          <w:b/>
          <w:color w:val="000000"/>
          <w:sz w:val="24"/>
        </w:rPr>
        <w:t>Withholding Taxes</w:t>
      </w:r>
      <w:r>
        <w:rPr>
          <w:color w:val="000000"/>
        </w:rPr>
        <w:t xml:space="preserve">” </w:t>
      </w:r>
      <w:r>
        <w:rPr>
          <w:rFonts w:ascii="Times New Roman" w:hAnsi="Times New Roman"/>
          <w:color w:val="000000"/>
          <w:sz w:val="24"/>
        </w:rPr>
        <w:t xml:space="preserve">has the meaning set forth in Section 6.11.1.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LICENSE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Exclusive License to Day One</w:t>
      </w:r>
      <w:r>
        <w:rPr>
          <w:rFonts w:ascii="Times New Roman" w:hAnsi="Times New Roman"/>
          <w:color w:val="000000"/>
          <w:sz w:val="24"/>
        </w:rPr>
        <w:t>.</w:t>
      </w:r>
      <w:r>
        <w:rPr>
          <w:color w:val="000000"/>
        </w:rPr>
        <w:t xml:space="preserve"> </w:t>
      </w:r>
      <w:r>
        <w:rPr>
          <w:rFonts w:ascii="Times New Roman" w:hAnsi="Times New Roman"/>
          <w:color w:val="000000"/>
          <w:sz w:val="24"/>
        </w:rPr>
        <w:t>Subject to the terms and conditions of this Agreement, MabCare, on behalf of itself and its Affiliates, hereby grants to Day One an exclusive (even as to MabCare and its Affiliates), non-transferable (except in accordance with Section 12.1), royalty-bearing license, with the right to grant sublicenses through multiple tiers in accordance with Section 2.3.1, under the MabCare Technology and MabCare’s interest in the Joint Foreground IP to make, have made, use, import, offer for sale, sell, Develop, Manufacture, Commercialize and otherwise exploit Licensed Compounds and Licensed Products in the Field in the Day One Territory in accordance with the terms of this Agreement. Notwithstanding any other provision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License to MabCare</w:t>
      </w:r>
      <w:r>
        <w:rPr>
          <w:rFonts w:ascii="Times New Roman" w:hAnsi="Times New Roman"/>
          <w:color w:val="000000"/>
          <w:sz w:val="24"/>
        </w:rPr>
        <w:t>. Subject to the terms and conditions of this Agreement, Day One, on behalf of itself and its Affiliates, hereby grants to MabCare an exclusive (even as to Day One and its Affiliates), non-transferable (except in accordance with Section 12.1), royalty-free license, with the right to grant sublicenses (solely in accordance with Section 2.3.2), under the Day One Technology and Day One’s interest in the Joint Foreground IP, to make, have made, use, import, offer for sale, sell, Develop, Manufacture, Commercialize and otherwise exploit CB-002 and CB-002 Products in the Field in the MabCare Territory in accordance with the terms of this Agreement. For the avoidance of doubt, [*]. Notwithstanding any other provision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Right to Sublicense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2.3.1</w:t>
      </w:r>
    </w:p>
    <w:p>
      <w:pPr>
        <w:pStyle w:val="TextBody"/>
        <w:bidi w:val="0"/>
        <w:spacing w:before="0" w:after="240"/>
        <w:jc w:val="both"/>
        <w:rPr/>
      </w:pPr>
      <w:r>
        <w:rPr>
          <w:rFonts w:ascii="Times New Roman" w:hAnsi="Times New Roman"/>
          <w:b/>
          <w:color w:val="000000"/>
          <w:sz w:val="24"/>
        </w:rPr>
        <w:t>Day One</w:t>
      </w:r>
      <w:r>
        <w:rPr>
          <w:rFonts w:ascii="Times New Roman" w:hAnsi="Times New Roman"/>
          <w:color w:val="000000"/>
          <w:sz w:val="24"/>
        </w:rPr>
        <w:t>. Day One shall have the right to grant sublicenses under the rights granted to it in Section 2.1 through multiple tiers, without MabCare’s prior consent, to its Affiliates and Third Parties (each such Third Party a “</w:t>
      </w:r>
      <w:r>
        <w:rPr>
          <w:rFonts w:ascii="Times New Roman" w:hAnsi="Times New Roman"/>
          <w:b/>
          <w:color w:val="000000"/>
          <w:sz w:val="24"/>
        </w:rPr>
        <w:t>Sublicensee</w:t>
      </w:r>
      <w:r>
        <w:rPr>
          <w:color w:val="000000"/>
        </w:rPr>
        <w:t>”</w:t>
      </w:r>
      <w:r>
        <w:rPr>
          <w:rFonts w:ascii="Times New Roman" w:hAnsi="Times New Roman"/>
          <w:color w:val="000000"/>
          <w:sz w:val="24"/>
        </w:rPr>
        <w:t>). All such Sublicensees shall be subject to a written agreement [*]. Day One shall remain responsible and liable to MabCare for the performance of its Sublicensees to the same extent as if such activities were conducted by Day One. Day One shall provide a copy of each sublicense agreement with a Sublicensee to MabCare reasonably promptly after the execution of such sublicense agreement, provided that such sublicense agreement may be redacted to exclude any confidential or proprietary information of Day One, its Affiliates or the Sublicensee contained therein that is not necessary to determine compliance with this Section 2.3.1.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2.3.2</w:t>
      </w:r>
    </w:p>
    <w:p>
      <w:pPr>
        <w:pStyle w:val="TextBody"/>
        <w:bidi w:val="0"/>
        <w:spacing w:before="0" w:after="240"/>
        <w:jc w:val="both"/>
        <w:rPr/>
      </w:pPr>
      <w:r>
        <w:rPr>
          <w:rFonts w:ascii="Times New Roman" w:hAnsi="Times New Roman"/>
          <w:b/>
          <w:color w:val="000000"/>
          <w:sz w:val="24"/>
        </w:rPr>
        <w:t>MabCare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Right to License and Sublicense</w:t>
      </w:r>
      <w:r>
        <w:rPr>
          <w:rFonts w:ascii="Times New Roman" w:hAnsi="Times New Roman"/>
          <w:color w:val="000000"/>
          <w:sz w:val="24"/>
        </w:rPr>
        <w:t>. MabCare and its Affiliates shall have the right to grant [*] under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such (sub)licensees shall be subject to a written agreement consistent with the applicable terms and conditions of this Agreement, including [*]. MabCare shall remain responsible and liable to Day One for the performance of MabCare’s obligations under this Agreement by its sublicensees or licensees who have been granted rights to Develop, Manufacture or Commercialize Licensed Compounds and Licensed Products. MabCare shall provide a copy of each (sub)license agreement with a (sub)licensee to Day One reasonably promptly after the execution of such (sub)license agreement, provided that such (sub)license agreement may be redacted to exclude any confidential or proprietary information of MabCare, its Affiliates or the (sub)licensee contained therein that is not necessary to determine compliance with this Section 2.3.2.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Right of First Negotiation</w:t>
      </w:r>
      <w:r>
        <w:rPr>
          <w:rFonts w:ascii="Times New Roman" w:hAnsi="Times New Roman"/>
          <w:color w:val="000000"/>
          <w:sz w:val="24"/>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Right to Subcontract</w:t>
      </w:r>
      <w:r>
        <w:rPr>
          <w:rFonts w:ascii="Times New Roman" w:hAnsi="Times New Roman"/>
          <w:color w:val="000000"/>
          <w:sz w:val="24"/>
        </w:rPr>
        <w:t>. Each Party shall have the right to subcontract the performance of any of its obligations under this Agreement to one or more Third Party subcontractors engaged for the purpose of such Party’s Development, Manufacture and Commercialization of Licensed Compounds and Licensed Products as set forth herein (each such Third Party a “</w:t>
      </w:r>
      <w:r>
        <w:rPr>
          <w:rFonts w:ascii="Times New Roman" w:hAnsi="Times New Roman"/>
          <w:b/>
          <w:color w:val="000000"/>
          <w:sz w:val="24"/>
        </w:rPr>
        <w:t>Subcontractor</w:t>
      </w:r>
      <w:r>
        <w:rPr>
          <w:color w:val="000000"/>
        </w:rPr>
        <w:t>”</w:t>
      </w:r>
      <w:r>
        <w:rPr>
          <w:rFonts w:ascii="Times New Roman" w:hAnsi="Times New Roman"/>
          <w:color w:val="000000"/>
          <w:sz w:val="24"/>
        </w:rPr>
        <w:t>). All such Subcontractors shall be subject to a written agreement that is consistent with the applicable terms and conditions of this Agreement. A Party shall remain responsible and liable to the other Party for the performance of its Subcontractors to the same extent as if such activities were conducted by such Party. For clarity, entities such as contract research organizations, CMOs, Clinical Trial sites, Distributors and contract sales organizations shall be considered Subcontractors under this Section 2.4 and not (sub)licensees for purposes of Section 2.3.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Retained Rights</w:t>
      </w:r>
      <w:r>
        <w:rPr>
          <w:rFonts w:ascii="Times New Roman" w:hAnsi="Times New Roman"/>
          <w:color w:val="000000"/>
          <w:sz w:val="24"/>
        </w:rPr>
        <w:t xml:space="preserve">. Notwithstanding the exclusive nature of the license granted to Day One in Section 2.1 MabCare retains the rights to practice the MabCare Technology (a) to perform its obligations under this Agreement, and (b) outside the scope of the exclusive license granted in Section 2.1. Notwithstanding the exclusive nature of the license granted to MabCare in Section 2.2, Day One retains the rights to practice the Day One Technology (a) to perform its obligations under this Agreement, and (b) outside the scope of the exclusive license granted in Section 2.2.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rPr>
        <w:t>No Implied Licenses</w:t>
      </w:r>
      <w:r>
        <w:rPr>
          <w:rFonts w:ascii="Times New Roman" w:hAnsi="Times New Roman"/>
          <w:color w:val="000000"/>
          <w:sz w:val="24"/>
        </w:rPr>
        <w:t>.</w:t>
      </w:r>
      <w:r>
        <w:rPr>
          <w:color w:val="000000"/>
        </w:rPr>
        <w:t xml:space="preserve"> </w:t>
      </w:r>
      <w:r>
        <w:rPr>
          <w:rFonts w:ascii="Times New Roman" w:hAnsi="Times New Roman"/>
          <w:color w:val="000000"/>
          <w:sz w:val="24"/>
        </w:rPr>
        <w:t>Except as expressly set forth in this Agreement, neither Party nor its Affiliates, by virtue of this Agreement, shall acquire any license or other interest, by implication or otherwise, in or to any Know-How, Patent Rights, or other intellectual property rights owned or controlled by the other Party or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0" w:after="240"/>
        <w:jc w:val="both"/>
        <w:rPr/>
      </w:pPr>
      <w:r>
        <w:rPr>
          <w:rFonts w:ascii="Times New Roman" w:hAnsi="Times New Roman"/>
          <w:b/>
          <w:color w:val="000000"/>
          <w:sz w:val="24"/>
        </w:rPr>
        <w:t>Third Party Licenses</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Section 2.7.1 and Section 2.7.2: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0" w:after="240"/>
        <w:jc w:val="both"/>
        <w:rPr/>
      </w:pPr>
      <w:r>
        <w:rPr>
          <w:rFonts w:ascii="Times New Roman" w:hAnsi="Times New Roman"/>
          <w:b/>
          <w:color w:val="000000"/>
          <w:sz w:val="24"/>
        </w:rPr>
        <w:t>Hyslink License Agreement</w:t>
      </w:r>
      <w:r>
        <w:rPr>
          <w:rFonts w:ascii="Times New Roman" w:hAnsi="Times New Roman"/>
          <w:color w:val="000000"/>
          <w:sz w:val="24"/>
        </w:rPr>
        <w:t>. Day One acknowledges and agrees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Exclusivity; Change of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2.9.1</w:t>
      </w:r>
    </w:p>
    <w:p>
      <w:pPr>
        <w:pStyle w:val="TextBody"/>
        <w:bidi w:val="0"/>
        <w:spacing w:before="0" w:after="240"/>
        <w:jc w:val="both"/>
        <w:rPr/>
      </w:pPr>
      <w:r>
        <w:rPr>
          <w:rFonts w:ascii="Times New Roman" w:hAnsi="Times New Roman"/>
          <w:b/>
          <w:color w:val="000000"/>
          <w:sz w:val="24"/>
        </w:rPr>
        <w:t>Competing Products</w:t>
      </w:r>
      <w:r>
        <w:rPr>
          <w:rFonts w:ascii="Times New Roman" w:hAnsi="Times New Roman"/>
          <w:color w:val="000000"/>
          <w:sz w:val="24"/>
        </w:rPr>
        <w:t>. [*], neither Party will, and will ensure that its Affiliates do not, (a) either alone or with a Third Party, make, have made, use, sell, offer for sale, import or otherwise Develop, Manufacture, Commercialize or exploit any Competing Product or (b) license, authorize, appoint, advise, assist or otherwise enable any Third Party to Develop, Manufacture, Commercialize or exploit any Competing Product, in each case ((a) or (b)), anywhere in the world.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2.9.2</w:t>
      </w:r>
    </w:p>
    <w:p>
      <w:pPr>
        <w:pStyle w:val="TextBody"/>
        <w:bidi w:val="0"/>
        <w:spacing w:before="0" w:after="240"/>
        <w:jc w:val="both"/>
        <w:rPr/>
      </w:pPr>
      <w:r>
        <w:rPr>
          <w:rFonts w:ascii="Times New Roman" w:hAnsi="Times New Roman"/>
          <w:b/>
          <w:color w:val="000000"/>
          <w:sz w:val="24"/>
        </w:rPr>
        <w:t>Exceptions.</w:t>
      </w:r>
      <w:r>
        <w:rPr>
          <w:color w:val="000000"/>
        </w:rPr>
        <w:t xml:space="preserve"> </w:t>
      </w:r>
      <w:r>
        <w:rPr>
          <w:rFonts w:ascii="Times New Roman" w:hAnsi="Times New Roman"/>
          <w:color w:val="000000"/>
          <w:sz w:val="24"/>
        </w:rPr>
        <w:t>Notwithstanding Section 2.9.1, if a Party or any of its Affiliates (a) undergoes a Change of Control and, on the date of the closing of such Change of Control or thereafter, the Acquirer has a product or program that would be in violation of Section 2.9.1 (each an “</w:t>
      </w:r>
      <w:r>
        <w:rPr>
          <w:rFonts w:ascii="Times New Roman" w:hAnsi="Times New Roman"/>
          <w:b/>
          <w:color w:val="000000"/>
          <w:sz w:val="24"/>
        </w:rPr>
        <w:t>Acquirer Program</w:t>
      </w:r>
      <w:r>
        <w:rPr>
          <w:color w:val="000000"/>
        </w:rPr>
        <w:t>”</w:t>
      </w:r>
      <w:r>
        <w:rPr>
          <w:rFonts w:ascii="Times New Roman" w:hAnsi="Times New Roman"/>
          <w:color w:val="000000"/>
          <w:sz w:val="24"/>
        </w:rPr>
        <w:t>), or (b) acquires a Third Party by merger, purchase of assets, stock acquisition or otherwise, and on the date of the closing of such transaction, such Third Party has a product or program that, upon the closing of such transaction, would be in violation of Section 2.9.1 (“</w:t>
      </w:r>
      <w:r>
        <w:rPr>
          <w:rFonts w:ascii="Times New Roman" w:hAnsi="Times New Roman"/>
          <w:b/>
          <w:color w:val="000000"/>
          <w:sz w:val="24"/>
        </w:rPr>
        <w:t>Acquired Program</w:t>
      </w:r>
      <w:r>
        <w:rPr>
          <w:color w:val="000000"/>
        </w:rPr>
        <w:t>”</w:t>
      </w:r>
      <w:r>
        <w:rPr>
          <w:rFonts w:ascii="Times New Roman" w:hAnsi="Times New Roman"/>
          <w:color w:val="000000"/>
          <w:sz w:val="24"/>
        </w:rPr>
        <w:t>), then, the following shall apply: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GOVERNANCE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Joint Steering Committee</w:t>
      </w:r>
      <w:r>
        <w:rPr>
          <w:rFonts w:ascii="Times New Roman" w:hAnsi="Times New Roman"/>
          <w:color w:val="000000"/>
          <w:sz w:val="24"/>
        </w:rPr>
        <w:t>. Promptly after the Effective Date, the Parties shall establish a Joint Steering Committee (the “</w:t>
      </w:r>
      <w:r>
        <w:rPr>
          <w:rFonts w:ascii="Times New Roman" w:hAnsi="Times New Roman"/>
          <w:b/>
          <w:color w:val="000000"/>
          <w:sz w:val="24"/>
        </w:rPr>
        <w:t>JSC</w:t>
      </w:r>
      <w:r>
        <w:rPr>
          <w:color w:val="000000"/>
        </w:rPr>
        <w:t>”</w:t>
      </w:r>
      <w:r>
        <w:rPr>
          <w:rFonts w:ascii="Times New Roman" w:hAnsi="Times New Roman"/>
          <w:color w:val="000000"/>
          <w:sz w:val="24"/>
        </w:rPr>
        <w:t>) to provide a forum for the coordination, communication, and oversight of Development and Manufacturing activities with respect to Licensed Compounds and Licensed Products. The JSC shall carry out the following specific responsibilities: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discuss the status, progress and results of Development activities conducted by either Party in their respective Territory;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discuss any proposed amendments or revisions to Day One’s Development Plan or MabCare’s Development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coordinate MabCare’s Development activities with Day One’s Development activities;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oversee the Technology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oversee the sharing of Data;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advise on amendments to the Manufacturing Technology Transfer Plan and Manufacturing Technology Transfer Budget;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oversee the conduct of the Manufacturing Technology Transfer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establish procedures regarding the collection, sharing, and reporting of Adverse Event information related to Licensed Compounds and Licensed Products consistent with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Pharmacovigilance Agreement to be entered into in accordance with Section 4.6;</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facilitate communications regarding any Commercialization activities in each Party’s Territory;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perform such other functions as expressly set forth in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Composition and Meetings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3.2.1</w:t>
      </w:r>
    </w:p>
    <w:p>
      <w:pPr>
        <w:pStyle w:val="TextBody"/>
        <w:bidi w:val="0"/>
        <w:spacing w:before="0" w:after="240"/>
        <w:jc w:val="both"/>
        <w:rPr/>
      </w:pPr>
      <w:r>
        <w:rPr>
          <w:rFonts w:ascii="Times New Roman" w:hAnsi="Times New Roman"/>
          <w:b/>
          <w:color w:val="000000"/>
          <w:sz w:val="24"/>
        </w:rPr>
        <w:t>Composition</w:t>
      </w:r>
      <w:r>
        <w:rPr>
          <w:rFonts w:ascii="Times New Roman" w:hAnsi="Times New Roman"/>
          <w:color w:val="000000"/>
          <w:sz w:val="24"/>
        </w:rPr>
        <w:t xml:space="preserve">. The JSC shall be composed of [*] of each of Day One and MabCare, and each Party shall notify the other Party of its initial JSC representatives within thirty (30) days after the Effective Date. Each Party shall [*]. Each Party may change its JSC representatives from time to time in its sole discretion, effective upon notice to the other Party of such change. Each Party’s JSC representatives shall be employees of such Party with appropriate experience and authority within such Party’s organization. A reasonable number of representatives of each Party who are not JSC members may attend meetings of the JSC; provided, however, that if either Party intends to have any Third Party (including any consultant) attend such a meeting, such Party shall provide prior written notice to the other Party, shall obtain approval from such other Party for such Third Party to attend (not to unreasonably withheld, conditioned or delayed), and shall ensure that such Third Party is bound by confidentiality and non-use obligations consistent with the terms of this Agreement. The JSC may establish joint teams (on an “as-needed” basis to oversee particular projects or activities, which delegations shall be reflected in the minutes of the meetings of the JSC) and disband such joint teams. Each such joint team shall consist of the same number of representatives from each Party, which number shall be mutually agreed by the Parties. Each Party shall be free to change its joint team representatives on written notice to the other Party or to send a substitute representative to any joint team meeting from time to time on a reasonable basis. Each joint team shall report to the JSC and shall have no decision-making authority.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3.2.2</w:t>
      </w:r>
    </w:p>
    <w:p>
      <w:pPr>
        <w:pStyle w:val="TextBody"/>
        <w:bidi w:val="0"/>
        <w:spacing w:before="0" w:after="240"/>
        <w:jc w:val="both"/>
        <w:rPr/>
      </w:pPr>
      <w:r>
        <w:rPr>
          <w:rFonts w:ascii="Times New Roman" w:hAnsi="Times New Roman"/>
          <w:b/>
          <w:color w:val="000000"/>
          <w:sz w:val="24"/>
        </w:rPr>
        <w:t>Meetings</w:t>
      </w:r>
      <w:r>
        <w:rPr>
          <w:rFonts w:ascii="Times New Roman" w:hAnsi="Times New Roman"/>
          <w:color w:val="000000"/>
          <w:sz w:val="24"/>
        </w:rPr>
        <w:t>. The JSC will hold a meeting [*]. Such meetings may be in person, via videoconference, or via teleconference. The location of in-person meetings will be determined by the Parties. [*] prior to a JSC meeting, the chairpersons will distribute to the JSC members the agenda items for discussion at such meeting, together with appropriate information related thereto. Reasonably detailed written minutes will be kept of all JSC meetings. Meeting minutes will be prepared by [*]. Minutes will be deemed approved unless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Decision-Making Authority</w:t>
      </w:r>
      <w:r>
        <w:rPr>
          <w:rFonts w:ascii="Times New Roman" w:hAnsi="Times New Roman"/>
          <w:color w:val="000000"/>
          <w:sz w:val="24"/>
        </w:rPr>
        <w:t xml:space="preserve">. Subject to the terms and conditions of this Agreement, each Party shall have the sole decision-making authority with respect to the Development, Manufacturing and Commercialization activities solely with respect to its own Territory, and the JSC shall be a forum for communication, coordination and advisory purposes only, provided however,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Discontinuation</w:t>
      </w:r>
      <w:r>
        <w:rPr>
          <w:rFonts w:ascii="Times New Roman" w:hAnsi="Times New Roman"/>
          <w:color w:val="000000"/>
          <w:sz w:val="24"/>
        </w:rPr>
        <w:t xml:space="preserve">. If at any point during the Term the JSC does not have any ongoing responsibilities, the Parties may mutually agree to disband the JSC.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color w:val="000000"/>
          <w:sz w:val="24"/>
        </w:rPr>
        <w:t>Limitations on Authority</w:t>
      </w:r>
      <w:r>
        <w:rPr>
          <w:rFonts w:ascii="Times New Roman" w:hAnsi="Times New Roman"/>
          <w:color w:val="000000"/>
          <w:sz w:val="24"/>
        </w:rPr>
        <w:t>. The JSC shall only have the powers expressly assigned to it in this Article 3 and elsewhere in this Agreement and shall not have the authority to (a) modify or amend the terms and conditions of this Agreement, (b) waive either Party’s compliance with, or determine that either Party has or has not fulfilled, the terms and conditions of this Agreement, or (c) determine any issue in a manner that would conflict with, expand, or reduce the express terms and conditions of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DEVELOPMENT AND COMMERCIALIZATION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color w:val="000000"/>
          <w:sz w:val="24"/>
        </w:rPr>
        <w:t>Technology Transfer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Technology Transfer</w:t>
      </w:r>
      <w:r>
        <w:rPr>
          <w:rFonts w:ascii="Times New Roman" w:hAnsi="Times New Roman"/>
          <w:color w:val="000000"/>
          <w:sz w:val="24"/>
        </w:rPr>
        <w:t>. [*] MabCare shall disclose and make available (or cause to be disclosed or made available) to Day One all MabCare Know-How in the possession or control of MabCare or its Affiliates, including (a) all preclinical and clinical data for CB-002, (b) all Regulatory Materials and Regulatory Submissions related to or for CB-002, including all Know-How used to support the IND submitted to the FDA for CB-002, and (c) all Know-How and information related to, or reasonably necessary to support, the continued Development and Commercialization of CB-002 or other Licensed Compounds by Day One (the “</w:t>
      </w:r>
      <w:r>
        <w:rPr>
          <w:rFonts w:ascii="Times New Roman" w:hAnsi="Times New Roman"/>
          <w:b/>
          <w:color w:val="000000"/>
          <w:sz w:val="24"/>
        </w:rPr>
        <w:t>Technology Transfer</w:t>
      </w:r>
      <w:r>
        <w:rPr>
          <w:color w:val="000000"/>
        </w:rPr>
        <w:t>”</w:t>
      </w:r>
      <w:r>
        <w:rPr>
          <w:rFonts w:ascii="Times New Roman" w:hAnsi="Times New Roman"/>
          <w:color w:val="000000"/>
          <w:sz w:val="24"/>
        </w:rPr>
        <w:t>). To the extent any such MabCare Know-How resides with a Third Party [*]. For clarity, the Technology Transfer will not include the Manufacturing Technology Transfer, which is governed by Section 5.3. MabCare may make such MabCare Know-How available by [*]. All MabCare Know-How will be provided in a format [*]. If after the Effective Date, MabCare or Day One identify any MabCare Know-How that should have been included in the Technology Transfer but was inadvertently omitted, MabCare shall promptly disclose and make available to Licensee such Know-How in a manner consistent with the preceding sentence. During and following the Technology Transfer, at the reasonable request of Day One, MabCare shall cause its (and its Affiliates’) scientific and technical personnel available to answer reasonable technical or scientific questions regarding the Licensed Compounds, Licensed Products or content of the Technology Transfer. Unless otherwise expressly provided herein,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40"/>
        <w:jc w:val="both"/>
        <w:rPr/>
      </w:pPr>
      <w:r>
        <w:rPr>
          <w:rFonts w:ascii="Times New Roman" w:hAnsi="Times New Roman"/>
          <w:b/>
          <w:color w:val="000000"/>
          <w:sz w:val="24"/>
        </w:rPr>
        <w:t>IND Transfer</w:t>
      </w:r>
      <w:r>
        <w:rPr>
          <w:rFonts w:ascii="Times New Roman" w:hAnsi="Times New Roman"/>
          <w:color w:val="000000"/>
          <w:sz w:val="24"/>
        </w:rPr>
        <w:t>. [*] MabCare shall transfer and assign to Day One or its designee the Regulatory Materials and Regulatory Submissions for Licensed Compounds and Licensed Products (including CB-002) in the Day One Territory and listed on Schedule 4.1.2, including, the U.S. IND for CB-002 (the “</w:t>
      </w:r>
      <w:r>
        <w:rPr>
          <w:rFonts w:ascii="Times New Roman" w:hAnsi="Times New Roman"/>
          <w:b/>
          <w:color w:val="000000"/>
          <w:sz w:val="24"/>
        </w:rPr>
        <w:t>Transferred Regulatory Materials</w:t>
      </w:r>
      <w:r>
        <w:rPr>
          <w:color w:val="000000"/>
        </w:rPr>
        <w:t>”</w:t>
      </w:r>
      <w:r>
        <w:rPr>
          <w:rFonts w:ascii="Times New Roman" w:hAnsi="Times New Roman"/>
          <w:color w:val="000000"/>
          <w:sz w:val="24"/>
        </w:rPr>
        <w:t>). Without limiting the foregoing, MabCare shall initiate the transfer and assignment of such Transferred Regulatory Materials [*]. Until such transfer and assignment is complete, MabCare shall maintain the Transferred Regulatory Materials in good standing. In the event that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4.1.3</w:t>
      </w:r>
    </w:p>
    <w:p>
      <w:pPr>
        <w:pStyle w:val="TextBody"/>
        <w:bidi w:val="0"/>
        <w:spacing w:before="0" w:after="240"/>
        <w:jc w:val="both"/>
        <w:rPr/>
      </w:pPr>
      <w:r>
        <w:rPr>
          <w:rFonts w:ascii="Times New Roman" w:hAnsi="Times New Roman"/>
          <w:b/>
          <w:color w:val="000000"/>
          <w:sz w:val="24"/>
        </w:rPr>
        <w:t>Existing Inventory</w:t>
      </w:r>
      <w:r>
        <w:rPr>
          <w:rFonts w:ascii="Times New Roman" w:hAnsi="Times New Roman"/>
          <w:color w:val="000000"/>
          <w:sz w:val="24"/>
        </w:rPr>
        <w:t>. [*] MabCare will transfer the existing supply of Licensed Product as set forth in Schedule 4.1.3 (the “</w:t>
      </w:r>
      <w:r>
        <w:rPr>
          <w:rFonts w:ascii="Times New Roman" w:hAnsi="Times New Roman"/>
          <w:b/>
          <w:color w:val="000000"/>
          <w:sz w:val="24"/>
        </w:rPr>
        <w:t>Existing Inventory</w:t>
      </w:r>
      <w:r>
        <w:rPr>
          <w:color w:val="000000"/>
        </w:rPr>
        <w:t>”</w:t>
      </w:r>
      <w:r>
        <w:rPr>
          <w:rFonts w:ascii="Times New Roman" w:hAnsi="Times New Roman"/>
          <w:color w:val="000000"/>
          <w:sz w:val="24"/>
        </w:rPr>
        <w:t xml:space="preserve">) to Day One or its designee, which transfer shall be completed [*] MabCare represents and warrants to Day One (as of the Effective Date and as of the date of delivery of the Existing Inventory to Day One) that [*]. MabCare shall provide Day One with an invoice for the Existing Inventory upon delivery and Day One shall pay the invoiced amount to MabCare [*]. MabCare shall continue to support [*]. Notwithstanding anything to the contrary herein, Day One acknowledges and agrees that the Existing Inventory has been stored at MabCare’s existing CMO as described in Schedule 4.1.3,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4.1.4</w:t>
      </w:r>
    </w:p>
    <w:p>
      <w:pPr>
        <w:pStyle w:val="TextBody"/>
        <w:bidi w:val="0"/>
        <w:spacing w:before="240" w:after="240"/>
        <w:jc w:val="both"/>
        <w:rPr/>
      </w:pPr>
      <w:r>
        <w:rPr>
          <w:rFonts w:ascii="Times New Roman" w:hAnsi="Times New Roman"/>
          <w:b/>
          <w:color w:val="000000"/>
          <w:sz w:val="24"/>
        </w:rPr>
        <w:t>MabCare Vendors and Subcontractors</w:t>
      </w:r>
      <w:r>
        <w:rPr>
          <w:rFonts w:ascii="Times New Roman" w:hAnsi="Times New Roman"/>
          <w:color w:val="000000"/>
          <w:sz w:val="24"/>
        </w:rPr>
        <w:t>. Upon Day One’s request, MabCare will (a) assign to Day One or its designee (to the extent assignable and without penalty to MabCare or its Affiliate) any of MabCare’s or its Affiliates’ agreements with Third Party vendors and subcontractors that are related solely and exclusively to the Development of Licensed Compounds or Licensed Products or, to the extent any such Third Party agreement or arrangement is not assignable to Day One or its designee, reasonably cooperate with Day One to arrange to continue to provide such services for a reasonable time, or (b) introduce Day One to any Third Party vendor or subcontractor performing Development activities for MabCare or its Affiliates in connection with the Licensed Compounds or Licensed Products and reasonably cooperate with Day One’s efforts to enter into an agreement directly with such vendor or subcontractor, in each case (a) and (b), solely with respect to the Day One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color w:val="000000"/>
          <w:sz w:val="24"/>
        </w:rPr>
        <w:t>Development and Commercialization Responsibility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4.2.1</w:t>
      </w:r>
    </w:p>
    <w:p>
      <w:pPr>
        <w:pStyle w:val="TextBody"/>
        <w:bidi w:val="0"/>
        <w:spacing w:before="0" w:after="240"/>
        <w:jc w:val="both"/>
        <w:rPr/>
      </w:pPr>
      <w:r>
        <w:rPr>
          <w:rFonts w:ascii="Times New Roman" w:hAnsi="Times New Roman"/>
          <w:b/>
          <w:color w:val="000000"/>
          <w:sz w:val="24"/>
        </w:rPr>
        <w:t>Day One Territory</w:t>
      </w:r>
      <w:r>
        <w:rPr>
          <w:rFonts w:ascii="Times New Roman" w:hAnsi="Times New Roman"/>
          <w:color w:val="000000"/>
          <w:sz w:val="24"/>
        </w:rPr>
        <w:t>. Except as expressly set forth herein, as between the Parties, Day One shall have the sole responsibility and authority, at its sole cost and expense, for the Development and Commercialization of Licensed Compounds and Licensed Products in the Field in the Day One Territory. Without limiting the foregoing, as between the Parties, Day One shall (a) have the sole authority and discretion to prepare, file, prosecute and maintain any and all Regulatory Submissions (including any Pricing and Reimbursement Approvals), and to communicate and otherwise interact with all Regulatory Authorities, with respect to the Licensed Compounds and Licensed Products in the Day One Territory, and (b) own all Regulatory Submissions, Regulatory Approvals, and Pricing and Reimbursement Approvals for the Licensed Compounds and Licensed Products in the Day One Territory.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4.2.2</w:t>
      </w:r>
    </w:p>
    <w:p>
      <w:pPr>
        <w:pStyle w:val="TextBody"/>
        <w:bidi w:val="0"/>
        <w:spacing w:before="0" w:after="240"/>
        <w:jc w:val="both"/>
        <w:rPr/>
      </w:pPr>
      <w:r>
        <w:rPr>
          <w:rFonts w:ascii="Times New Roman" w:hAnsi="Times New Roman"/>
          <w:b/>
          <w:color w:val="000000"/>
          <w:sz w:val="24"/>
        </w:rPr>
        <w:t>MabCare Territory</w:t>
      </w:r>
      <w:r>
        <w:rPr>
          <w:rFonts w:ascii="Times New Roman" w:hAnsi="Times New Roman"/>
          <w:color w:val="000000"/>
          <w:sz w:val="24"/>
        </w:rPr>
        <w:t xml:space="preserve">. Except as expressly set forth herein, as between the Parties, MabCare shall have the sole responsibility and authority, at its sole cost and expense, for the Development and Commercialization of Licensed Compounds and Licensed Products in the Field in the MabCare Territory. Without limiting the foregoing, as between the Parties, MabCare shall (a) have the sole authority and discretion to prepare, file, prosecute and maintain any and all Regulatory Submissions (including any Pricing and Reimbursement Approvals), and to communicate and otherwise interact with all Regulatory Authorities, with respect to the Licensed Compounds and Licensed Products in the MabCare Territory, and (b) own all Regulatory Submissions, Regulatory Approvals, and Pricing and Reimbursement Approvals for the Licensed Compounds and Licensed Products in the MabCare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pPr>
      <w:r>
        <w:rPr>
          <w:rFonts w:ascii="Times New Roman" w:hAnsi="Times New Roman"/>
          <w:b/>
          <w:color w:val="000000"/>
          <w:sz w:val="24"/>
        </w:rPr>
        <w:t>Day One Diligence</w:t>
      </w:r>
      <w:r>
        <w:rPr>
          <w:rFonts w:ascii="Times New Roman" w:hAnsi="Times New Roman"/>
          <w:color w:val="000000"/>
          <w:sz w:val="24"/>
        </w:rPr>
        <w:t>. Day One shall (itself or through its Affiliates or Sublicensees) use Commercially Reasonable Efforts to [*] (collectively, “</w:t>
      </w:r>
      <w:r>
        <w:rPr>
          <w:rFonts w:ascii="Times New Roman" w:hAnsi="Times New Roman"/>
          <w:b/>
          <w:color w:val="000000"/>
          <w:sz w:val="24"/>
        </w:rPr>
        <w:t>Major Markets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0" w:after="240"/>
        <w:jc w:val="both"/>
        <w:rPr/>
      </w:pPr>
      <w:r>
        <w:rPr>
          <w:rFonts w:ascii="Times New Roman" w:hAnsi="Times New Roman"/>
          <w:b/>
          <w:color w:val="000000"/>
          <w:sz w:val="24"/>
        </w:rPr>
        <w:t>Development Coordination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4.4.1</w:t>
      </w:r>
    </w:p>
    <w:p>
      <w:pPr>
        <w:pStyle w:val="TextBody"/>
        <w:bidi w:val="0"/>
        <w:spacing w:before="0" w:after="240"/>
        <w:jc w:val="both"/>
        <w:rPr/>
      </w:pPr>
      <w:r>
        <w:rPr>
          <w:rFonts w:ascii="Times New Roman" w:hAnsi="Times New Roman"/>
          <w:b/>
          <w:color w:val="000000"/>
          <w:sz w:val="24"/>
        </w:rPr>
        <w:t xml:space="preserve">Development Plan. </w:t>
      </w:r>
      <w:r>
        <w:rPr>
          <w:rFonts w:ascii="Times New Roman" w:hAnsi="Times New Roman"/>
          <w:color w:val="000000"/>
          <w:sz w:val="24"/>
        </w:rPr>
        <w:t>The Parties intend to coordinate their Development activities in the Territory as set forth in this Section 4.4. The initial development plan for the Development of the Licensed Product in the Day One Territory is attached hereto as Schedule 4.4.1 (such plan and any updates thereto, the “</w:t>
      </w:r>
      <w:r>
        <w:rPr>
          <w:rFonts w:ascii="Times New Roman" w:hAnsi="Times New Roman"/>
          <w:b/>
          <w:color w:val="000000"/>
          <w:sz w:val="24"/>
        </w:rPr>
        <w:t>Day One Development Plan</w:t>
      </w:r>
      <w:r>
        <w:rPr>
          <w:color w:val="000000"/>
        </w:rPr>
        <w:t>”</w:t>
      </w:r>
      <w:r>
        <w:rPr>
          <w:rFonts w:ascii="Times New Roman" w:hAnsi="Times New Roman"/>
          <w:color w:val="000000"/>
          <w:sz w:val="24"/>
        </w:rPr>
        <w:t xml:space="preserve">). MabCare shall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provide an initial development plan[*] (such plan and any updates thereto, the “</w:t>
      </w:r>
      <w:r>
        <w:rPr>
          <w:rFonts w:ascii="Times New Roman" w:hAnsi="Times New Roman"/>
          <w:b/>
          <w:color w:val="000000"/>
          <w:sz w:val="24"/>
        </w:rPr>
        <w:t>MabCare Development Plan</w:t>
      </w:r>
      <w:r>
        <w:rPr>
          <w:color w:val="000000"/>
        </w:rPr>
        <w:t>”</w:t>
      </w:r>
      <w:r>
        <w:rPr>
          <w:rFonts w:ascii="Times New Roman" w:hAnsi="Times New Roman"/>
          <w:color w:val="000000"/>
          <w:sz w:val="24"/>
        </w:rPr>
        <w:t>, and each Day One Development Plan or MabCare Development Plan, a “</w:t>
      </w:r>
      <w:r>
        <w:rPr>
          <w:rFonts w:ascii="Times New Roman" w:hAnsi="Times New Roman"/>
          <w:b/>
          <w:color w:val="000000"/>
          <w:sz w:val="24"/>
        </w:rPr>
        <w:t>Development Plan</w:t>
      </w:r>
      <w:r>
        <w:rPr>
          <w:color w:val="000000"/>
        </w:rPr>
        <w:t>”</w:t>
      </w:r>
      <w:r>
        <w:rPr>
          <w:rFonts w:ascii="Times New Roman" w:hAnsi="Times New Roman"/>
          <w:color w:val="000000"/>
          <w:sz w:val="24"/>
        </w:rPr>
        <w:t>). A Party’s Development Plan shall include [*], and timelines for achievement thereof, in the corresponding Territory. Each Development Plan (or any update thereto) shall be [*]. Day One shall have the right to [*] (each, a “</w:t>
      </w:r>
      <w:r>
        <w:rPr>
          <w:rFonts w:ascii="Times New Roman" w:hAnsi="Times New Roman"/>
          <w:b/>
          <w:color w:val="000000"/>
          <w:sz w:val="24"/>
        </w:rPr>
        <w:t>Material Development Issue</w:t>
      </w:r>
      <w:r>
        <w:rPr>
          <w:color w:val="000000"/>
        </w:rPr>
        <w:t>”</w:t>
      </w:r>
      <w:r>
        <w:rPr>
          <w:rFonts w:ascii="Times New Roman" w:hAnsi="Times New Roman"/>
          <w:color w:val="000000"/>
          <w:sz w:val="24"/>
        </w:rPr>
        <w:t>), and the Parties shall resolve such issue via the JSC in accordance with Section 3.3. Each Party shall update its Development Plan [*] and provide such updated Development Plan to the JSC for review and discussion. Each Party shall not conduct any Development of the Licensed Compounds or Licensed Products [*].</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4.4.2</w:t>
      </w:r>
    </w:p>
    <w:p>
      <w:pPr>
        <w:pStyle w:val="TextBody"/>
        <w:bidi w:val="0"/>
        <w:spacing w:before="0" w:after="240"/>
        <w:jc w:val="both"/>
        <w:rPr/>
      </w:pPr>
      <w:r>
        <w:rPr>
          <w:rFonts w:ascii="Times New Roman" w:hAnsi="Times New Roman"/>
          <w:b/>
          <w:color w:val="000000"/>
          <w:sz w:val="24"/>
        </w:rPr>
        <w:t>Development Reports</w:t>
      </w:r>
      <w:r>
        <w:rPr>
          <w:rFonts w:ascii="Times New Roman" w:hAnsi="Times New Roman"/>
          <w:color w:val="000000"/>
          <w:sz w:val="24"/>
        </w:rPr>
        <w:t xml:space="preserve">. Each Party shall provide to the other Party, via the JSC, [*]. All such Development reports shall be the Confidential Information of the providing Party.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4.4.3</w:t>
      </w:r>
    </w:p>
    <w:p>
      <w:pPr>
        <w:pStyle w:val="TextBody"/>
        <w:bidi w:val="0"/>
        <w:spacing w:before="0" w:after="240"/>
        <w:jc w:val="both"/>
        <w:rPr/>
      </w:pPr>
      <w:r>
        <w:rPr>
          <w:rFonts w:ascii="Times New Roman" w:hAnsi="Times New Roman"/>
          <w:b/>
          <w:color w:val="000000"/>
          <w:sz w:val="24"/>
        </w:rPr>
        <w:t>Data Sharing</w:t>
      </w:r>
      <w:r>
        <w:rPr>
          <w:rFonts w:ascii="Times New Roman" w:hAnsi="Times New Roman"/>
          <w:color w:val="000000"/>
          <w:sz w:val="24"/>
        </w:rPr>
        <w:t>. The Parties will mutually agree upon a procedure for the exchange of Data ([*]). The JSC shall oversee the sharing of Data between the Parties. Each Party will take such actions as may be reasonably requested by the other Party to give effect to the intent of this section. For clarity,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4.4.4</w:t>
      </w:r>
    </w:p>
    <w:p>
      <w:pPr>
        <w:pStyle w:val="TextBody"/>
        <w:bidi w:val="0"/>
        <w:spacing w:before="0" w:after="240"/>
        <w:jc w:val="both"/>
        <w:rPr/>
      </w:pPr>
      <w:r>
        <w:rPr>
          <w:rFonts w:ascii="Times New Roman" w:hAnsi="Times New Roman"/>
          <w:b/>
          <w:color w:val="000000"/>
          <w:sz w:val="24"/>
        </w:rPr>
        <w:t>Right of Access and Reference</w:t>
      </w:r>
      <w:r>
        <w:rPr>
          <w:rFonts w:ascii="Times New Roman" w:hAnsi="Times New Roman"/>
          <w:color w:val="000000"/>
          <w:sz w:val="24"/>
        </w:rPr>
        <w:t xml:space="preserve">. Each Party hereby grants to the other Party a right of reference to all Regulatory Materials and Regulatory Submissions submitted by such Party, its Affiliates or (sub)licensees in its respective Territory for the Licensed Compounds and Licensed Products (including, for clarity, the right of reference to Transferred Regulatory Materials by MabCare, its Affiliates or (sub)licensees) solely for the purpose of such other Party, its Affiliates or (sub)licensees obtaining or maintaining Regulatory Approvals in its respective Territory for the Licensed Compounds and Licensed Products. Each Party will take such actions as may be reasonably requested by the other Party to give effect to the intent of this section, including providing a cross-reference letter or similar communication to the applicable Regulatory Authority to effectuate such right of access and reference.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4.4.5</w:t>
      </w:r>
    </w:p>
    <w:p>
      <w:pPr>
        <w:pStyle w:val="TextBody"/>
        <w:bidi w:val="0"/>
        <w:spacing w:before="0" w:after="240"/>
        <w:jc w:val="both"/>
        <w:rPr/>
      </w:pPr>
      <w:r>
        <w:rPr>
          <w:rFonts w:ascii="Times New Roman" w:hAnsi="Times New Roman"/>
          <w:b/>
          <w:color w:val="000000"/>
          <w:sz w:val="24"/>
        </w:rPr>
        <w:t xml:space="preserve">Development Records. </w:t>
      </w:r>
      <w:r>
        <w:rPr>
          <w:rFonts w:ascii="Times New Roman" w:hAnsi="Times New Roman"/>
          <w:color w:val="000000"/>
          <w:sz w:val="24"/>
        </w:rPr>
        <w:t xml:space="preserve">Each Party shall maintain complete, current and accurate records of all Development activities conducted by or on behalf of it, its Affiliates or its (sub)licensees pursuant to this Agreement and all data and other information resulting from such activities, in each case in accordance with all Applicable Law. Such records shall (i) be maintained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4.4.6</w:t>
      </w:r>
    </w:p>
    <w:p>
      <w:pPr>
        <w:pStyle w:val="TextBody"/>
        <w:bidi w:val="0"/>
        <w:spacing w:before="0" w:after="240"/>
        <w:jc w:val="both"/>
        <w:rPr/>
      </w:pPr>
      <w:r>
        <w:rPr>
          <w:rFonts w:ascii="Times New Roman" w:hAnsi="Times New Roman"/>
          <w:b/>
          <w:color w:val="000000"/>
          <w:sz w:val="24"/>
        </w:rPr>
        <w:t>Audit</w:t>
      </w:r>
      <w:r>
        <w:rPr>
          <w:rFonts w:ascii="Times New Roman" w:hAnsi="Times New Roman"/>
          <w:color w:val="000000"/>
          <w:sz w:val="24"/>
        </w:rPr>
        <w:t xml:space="preserve">. Day One or its representatives may, for actual cause or based upon a reasonable belief of non-compliance with MabCare’s Development Plan, at reasonable times (which audit shall not be more than once in every twelve (12) month period, unless otherwise for actual cause) and upon reasonable notice, perform audits of MabCare’s or its Affiliates’ or (sub)licensees’ Development activities with respect to the Licensed Compounds and Licensed Products in the MabCare Territory, and any Clinical Trial sites engaged, or other facilities used, by MabCare or its Affiliates, or (sub)licensees or vendors to conduct the applicable Development Plan, subject to any confidentiality obligations and safety procedures as may be reasonably required by MabCare’s or its Affiliates, (sub)licensees or sites and other facilities. [*] Day One will provide MabCare with a written summary of its findings in English, including any deficiencies or other areas of remediation that Day One reasonably identifies during such audit, and the Parties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promptly meet to discuss such findings and proposed remedial actions. If the Parties agree on a proposed remedial action, then MabCare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0" w:after="240"/>
        <w:jc w:val="both"/>
        <w:rPr/>
      </w:pPr>
      <w:r>
        <w:rPr>
          <w:rFonts w:ascii="Times New Roman" w:hAnsi="Times New Roman"/>
          <w:b/>
          <w:color w:val="000000"/>
          <w:sz w:val="24"/>
        </w:rPr>
        <w:t>Communications with Regulatory Authorities.</w:t>
      </w:r>
      <w:r>
        <w:rPr>
          <w:color w:val="000000"/>
        </w:rPr>
        <w:t xml:space="preserve"> </w:t>
      </w:r>
      <w:r>
        <w:rPr>
          <w:rFonts w:ascii="Times New Roman" w:hAnsi="Times New Roman"/>
          <w:color w:val="000000"/>
          <w:sz w:val="24"/>
        </w:rPr>
        <w:t xml:space="preserve">Except as set forth herein or as otherwise agreed by the Parties, (i) neither Party shall communicate with any Regulatory Authority having jurisdiction outside of its respective Territory with respect to the Licensed Compounds or Licensed Products, unless required by such Regulatory Authority, in which case [*], and (ii) neither Party shall submit any Regulatory Materials nor seek Regulatory Approval for the Licensed Product in the other Party’s respective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0" w:after="240"/>
        <w:jc w:val="both"/>
        <w:rPr/>
      </w:pPr>
      <w:r>
        <w:rPr>
          <w:rFonts w:ascii="Times New Roman" w:hAnsi="Times New Roman"/>
          <w:b/>
          <w:color w:val="000000"/>
          <w:sz w:val="24"/>
        </w:rPr>
        <w:t xml:space="preserve">Adverse Events Reporting. </w:t>
      </w:r>
      <w:r>
        <w:rPr>
          <w:rFonts w:ascii="Times New Roman" w:hAnsi="Times New Roman"/>
          <w:color w:val="000000"/>
          <w:sz w:val="24"/>
        </w:rPr>
        <w:t>Reasonably promptly after the Effective Date (or at such other time as agreed upon by the Parties), the Parties (or their respective Affiliates) shall initiate negotiations to enter into a pharmacovigilance agreement for the Licensed Products (such written agreement, the “</w:t>
      </w:r>
      <w:r>
        <w:rPr>
          <w:rFonts w:ascii="Times New Roman" w:hAnsi="Times New Roman"/>
          <w:b/>
          <w:color w:val="000000"/>
          <w:sz w:val="24"/>
        </w:rPr>
        <w:t>Pharmacovigilance Agreement</w:t>
      </w:r>
      <w:r>
        <w:rPr>
          <w:color w:val="000000"/>
        </w:rPr>
        <w:t>”</w:t>
      </w:r>
      <w:r>
        <w:rPr>
          <w:rFonts w:ascii="Times New Roman" w:hAnsi="Times New Roman"/>
          <w:color w:val="000000"/>
          <w:sz w:val="24"/>
        </w:rPr>
        <w:t xml:space="preserve">) for exchanging adverse event and other safety information worldwide with respect thereto. In the event of any inconsistency between the terms of this Agreement and the Pharmacovigilance Agreement, the terms of this Agreement shall prevail and govern, except to the extent such conflicting terms relating directly to the pharmacovigilance responsibilities of the Parties (including the exchange of safety data), in which case the terms of the Pharmacovigilance Agreement shall prevail and govern. The Pharmacovigilance Agreement shall provide for [*]. The Pharmacovigilance Agreement shall ensure that adverse event and other safety information is exchanged according to a schedule that will permit each Party to comply with Applicable Law, including any local regulatory requirements.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4.7</w:t>
      </w:r>
    </w:p>
    <w:p>
      <w:pPr>
        <w:pStyle w:val="TextBody"/>
        <w:bidi w:val="0"/>
        <w:spacing w:before="0" w:after="240"/>
        <w:jc w:val="both"/>
        <w:rPr/>
      </w:pPr>
      <w:r>
        <w:rPr>
          <w:rFonts w:ascii="Times New Roman" w:hAnsi="Times New Roman"/>
          <w:b/>
          <w:color w:val="000000"/>
          <w:sz w:val="24"/>
        </w:rPr>
        <w:t xml:space="preserve">Remedial Actions. </w:t>
      </w:r>
      <w:r>
        <w:rPr>
          <w:rFonts w:ascii="Times New Roman" w:hAnsi="Times New Roman"/>
          <w:color w:val="000000"/>
          <w:sz w:val="24"/>
        </w:rPr>
        <w:t>Each Party will notify the other Party immediately, and promptly confirm such notice in writing, if it obtains information (including notice by a Regulatory Authority) indicating that any Licensed Product may be subject to any recall, corrective or similar regulatory action by virtue of Applicable Law (each a “</w:t>
      </w:r>
      <w:r>
        <w:rPr>
          <w:rFonts w:ascii="Times New Roman" w:hAnsi="Times New Roman"/>
          <w:b/>
          <w:color w:val="000000"/>
          <w:sz w:val="24"/>
        </w:rPr>
        <w:t>Remedial Action</w:t>
      </w:r>
      <w:r>
        <w:rPr>
          <w:color w:val="000000"/>
        </w:rPr>
        <w:t>”</w:t>
      </w:r>
      <w:r>
        <w:rPr>
          <w:rFonts w:ascii="Times New Roman" w:hAnsi="Times New Roman"/>
          <w:color w:val="000000"/>
          <w:sz w:val="24"/>
        </w:rPr>
        <w:t xml:space="preserve">). Each Party shall have the right to determine to conduct a Remedial Action in its respective Territory, provided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4.8</w:t>
      </w:r>
    </w:p>
    <w:p>
      <w:pPr>
        <w:pStyle w:val="TextBody"/>
        <w:bidi w:val="0"/>
        <w:spacing w:before="0" w:after="240"/>
        <w:jc w:val="both"/>
        <w:rPr/>
      </w:pPr>
      <w:r>
        <w:rPr>
          <w:rFonts w:ascii="Times New Roman" w:hAnsi="Times New Roman"/>
          <w:b/>
          <w:color w:val="000000"/>
          <w:sz w:val="24"/>
        </w:rPr>
        <w:t>Regulatory Agreement</w:t>
      </w:r>
      <w:r>
        <w:rPr>
          <w:rFonts w:ascii="Times New Roman" w:hAnsi="Times New Roman"/>
          <w:color w:val="000000"/>
          <w:sz w:val="24"/>
        </w:rPr>
        <w:t>. At the request of either Party and if required by Applicable Law, or otherwise mutually agreed to by the Parties, the Parties shall negotiate in good faith and enter into a regulatory agreement setting forth additional details with respect to regulatory matters related to the Licensed Product for the Day One Territory and the MabCare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4.9</w:t>
      </w:r>
    </w:p>
    <w:p>
      <w:pPr>
        <w:pStyle w:val="TextBody"/>
        <w:bidi w:val="0"/>
        <w:spacing w:before="0" w:after="240"/>
        <w:jc w:val="both"/>
        <w:rPr/>
      </w:pPr>
      <w:r>
        <w:rPr>
          <w:rFonts w:ascii="Times New Roman" w:hAnsi="Times New Roman"/>
          <w:b/>
          <w:color w:val="000000"/>
          <w:sz w:val="24"/>
        </w:rPr>
        <w:t xml:space="preserve">No Diversion. </w:t>
      </w:r>
      <w:r>
        <w:rPr>
          <w:rFonts w:ascii="Times New Roman" w:hAnsi="Times New Roman"/>
          <w:color w:val="000000"/>
          <w:sz w:val="24"/>
        </w:rPr>
        <w:t xml:space="preserve">Each Party hereby covenants and agrees that, to the extent not prohibited by Applicable Laws, it shall not, and shall ensure that its Affiliates, distributors, and (sub)licensees do not, knowingly promote, market, distribute for sale, import for sale, sell or have sold a Licensed Product in the other Party’s respective Territory. With respect to any country in the other Party’s respective Territory, a Party shall not, and shall ensure that its Affiliates, distributors, and (sub)licensees do not: (a) knowingly engage in any advertising or promotional activities relating to a Licensed Product that are directed primarily to customers or other purchaser or users of the Licensed Product located in such countries in the other Party’s respective Territory, (b) actively solicit orders for the Licensed Product from any prospective purchaser located in such countries in the other Party’s respective Territory, or (c) knowingly sell or distribute the Licensed Product to any person in such Party’s respective Territory who intends to sell (or has in the past sold in violation of this clause (c)) the Licensed Product in such countries in the other Party’s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respective Territory. If either Party receives any commercial order for the Licensed Product from a prospective purchaser reasonably believed to be located in a country in the other Party’s respective Territory or for use of the Licensed Product in the other Party’s respective Territory, such Party shall immediately refer that order to the other Party and such Party shall not accept any such orders. Each Party shall not deliver (or tender) for sale (or cause to be delivered (or tendered) for sale) the Licensed Product into a country in the other Party’s respective Territory.</w:t>
      </w:r>
      <w:r>
        <w:rPr>
          <w:color w:val="00000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MANUFACTURING AND SUPPLY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 xml:space="preserve">Responsibility. </w:t>
      </w:r>
      <w:r>
        <w:rPr>
          <w:rFonts w:ascii="Times New Roman" w:hAnsi="Times New Roman"/>
          <w:color w:val="000000"/>
          <w:sz w:val="24"/>
        </w:rPr>
        <w:t>Subject to Section 5.2 and Section 5.3,</w:t>
      </w:r>
      <w:r>
        <w:rPr>
          <w:color w:val="000000"/>
        </w:rPr>
        <w:t xml:space="preserve"> </w:t>
      </w:r>
      <w:r>
        <w:rPr>
          <w:rFonts w:ascii="Times New Roman" w:hAnsi="Times New Roman"/>
          <w:color w:val="000000"/>
          <w:sz w:val="24"/>
        </w:rPr>
        <w:t xml:space="preserve">Day One shall have the right to Manufacture, itself or through one or more Third Parties, the Licensed Compounds and Licensed Products for use in the Day One Territory. MabCare shall have the right to Manufacture, itself or through one or more Third Parties, the Licensed Compounds and Licensed Products for use in the MabCare Territory. During the Term, the Parties may coordinate on the Manufacture of Licensed Compounds and Licensed Products for the Territory. Subject to the terms and conditions of this Agreement[*].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 xml:space="preserve">Clinical Supply. </w:t>
      </w:r>
      <w:r>
        <w:rPr>
          <w:rFonts w:ascii="Times New Roman" w:hAnsi="Times New Roman"/>
          <w:color w:val="000000"/>
          <w:sz w:val="24"/>
        </w:rPr>
        <w:t>Upon Day One’s request, the Parties shall negotiate in good faith and enter into a written agreement consistent with the terms set forth on Schedule 5.2 for MabCare to supply (or have its CMO to supply) Day One quantities of the Licensed Product for Day One’s clinical Development activities in the Day One Territory (together with a related quality agreement, the “</w:t>
      </w:r>
      <w:r>
        <w:rPr>
          <w:rFonts w:ascii="Times New Roman" w:hAnsi="Times New Roman"/>
          <w:b/>
          <w:color w:val="000000"/>
          <w:sz w:val="24"/>
        </w:rPr>
        <w:t>Clinical Supply Agreement</w:t>
      </w:r>
      <w:r>
        <w:rPr>
          <w:color w:val="000000"/>
        </w:rPr>
        <w:t>”</w:t>
      </w:r>
      <w:r>
        <w:rPr>
          <w:rFonts w:ascii="Times New Roman" w:hAnsi="Times New Roman"/>
          <w:color w:val="000000"/>
          <w:sz w:val="24"/>
        </w:rPr>
        <w:t xml:space="preserve">). For clarity, unless otherwise mutually agreed by the Parties in writing, following the completion of Manufacturing Technology Transfer, MabCare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Manufacturing Technology Transfer</w:t>
      </w:r>
      <w:r>
        <w:rPr>
          <w:rFonts w:ascii="Times New Roman" w:hAnsi="Times New Roman"/>
          <w:color w:val="000000"/>
          <w:sz w:val="24"/>
        </w:rPr>
        <w:t>. [*] the Parties shall promptly prepare a plan and budget for MabCare to promptly and efficiently transfer to Day One or its designee (including one or more Third Party CMOs selected by Day One) all Manufacturing-related MabCare Know-How and materials, including all CMC documentation and data and processes, to enable the Manufacture of the Licensed Products by or for Day One (such plan and budget the “</w:t>
      </w:r>
      <w:r>
        <w:rPr>
          <w:rFonts w:ascii="Times New Roman" w:hAnsi="Times New Roman"/>
          <w:b/>
          <w:color w:val="000000"/>
          <w:sz w:val="24"/>
        </w:rPr>
        <w:t>Manufacturing Technology Transfer Plan</w:t>
      </w:r>
      <w:r>
        <w:rPr>
          <w:color w:val="000000"/>
        </w:rPr>
        <w:t xml:space="preserve">” </w:t>
      </w:r>
      <w:r>
        <w:rPr>
          <w:rFonts w:ascii="Times New Roman" w:hAnsi="Times New Roman"/>
          <w:color w:val="000000"/>
          <w:sz w:val="24"/>
        </w:rPr>
        <w:t>and “</w:t>
      </w:r>
      <w:r>
        <w:rPr>
          <w:rFonts w:ascii="Times New Roman" w:hAnsi="Times New Roman"/>
          <w:b/>
          <w:color w:val="000000"/>
          <w:sz w:val="24"/>
        </w:rPr>
        <w:t>Manufacturing Technology Transfer Budget</w:t>
      </w:r>
      <w:r>
        <w:rPr>
          <w:color w:val="000000"/>
        </w:rPr>
        <w:t>”</w:t>
      </w:r>
      <w:r>
        <w:rPr>
          <w:rFonts w:ascii="Times New Roman" w:hAnsi="Times New Roman"/>
          <w:color w:val="000000"/>
          <w:sz w:val="24"/>
        </w:rPr>
        <w:t>, respectively, and such transfer the “</w:t>
      </w:r>
      <w:r>
        <w:rPr>
          <w:rFonts w:ascii="Times New Roman" w:hAnsi="Times New Roman"/>
          <w:b/>
          <w:color w:val="000000"/>
          <w:sz w:val="24"/>
        </w:rPr>
        <w:t>Manufacturing Technology Transfer</w:t>
      </w:r>
      <w:r>
        <w:rPr>
          <w:color w:val="000000"/>
        </w:rPr>
        <w:t>”</w:t>
      </w:r>
      <w:r>
        <w:rPr>
          <w:rFonts w:ascii="Times New Roman" w:hAnsi="Times New Roman"/>
          <w:color w:val="000000"/>
          <w:sz w:val="24"/>
        </w:rPr>
        <w:t xml:space="preserve">). The Parties will conduct the Manufacturing Technology Transfer in accordance with the Manufacturing Technology Transfer Plan and Manufacturing Technology Transfer Budget, [*]. Any changes to the Manufacturing Technology Transfer Plan (and corresponding amendments to the Manufacturing Technology Transfer Budget) must be mutually agreed to by the Parties in writing, provided that [*]. In addition, upon Day One’s request, MabCare will (a) assign to Day One or its designee (to the extent assignable) any of MabCare’s or its Affiliates’ agreements with a Third Party CMO that are related solely and exclusively to the Licensed Compounds or Licensed Products in the Day One Territory or, to the extent any such Third Party agreement is not assignable to Day One or its designee, reasonably cooperate with Day One to arrange for such CMO to continue to provide the relevant services for a reasonable time, or (b) introduce Day One to any Third Party CMO performing Manufacturing activities for MabCare or its Affiliates in connection with the Licensed Compounds or Licensed Products and reasonably cooperate with Day One’s efforts to enter into an agreement directly with such CMO.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Transfer, Use and Return of MabCare Materials</w:t>
      </w:r>
      <w:r>
        <w:rPr>
          <w:rFonts w:ascii="Times New Roman" w:hAnsi="Times New Roman"/>
          <w:color w:val="000000"/>
          <w:sz w:val="24"/>
        </w:rPr>
        <w:t>. The Parties acknowledge that, the [*]. At Day One’s request and costs after the Effective Date, MabCare will use reasonable efforts to amend [*], or facilitate Day One to enter into a separate agreement directly with [*] for the use of the MabCare Material by Day One to Manufacture (or have Manufactured) the Licensed Compound, and a separate agreement directly with [*] for the use of cell cytotoxicity assays, (such amended [*], or consent or separate agreements (whether entered into by Day One with the facilitation of MabCare or not), collectively, the “</w:t>
      </w:r>
      <w:r>
        <w:rPr>
          <w:rFonts w:ascii="Times New Roman" w:hAnsi="Times New Roman"/>
          <w:b/>
          <w:color w:val="000000"/>
          <w:sz w:val="24"/>
        </w:rPr>
        <w:t>Cell Line Agreements</w:t>
      </w:r>
      <w:r>
        <w:rPr>
          <w:color w:val="000000"/>
        </w:rPr>
        <w:t>”</w:t>
      </w:r>
      <w:r>
        <w:rPr>
          <w:rFonts w:ascii="Times New Roman" w:hAnsi="Times New Roman"/>
          <w:color w:val="000000"/>
          <w:sz w:val="24"/>
        </w:rPr>
        <w:t>). In connection with the Manufacturing Technology Transfer, and subject to the Cell Line Agreements, MabCare shall transfer to Day One MabCare Materials in quantities set forth on Schedule 1.102 for Day One to perform Manufacturing activities in accordance with the Manufacturing Technology Transfer Plan and to perform the cell cytotoxicity assay, as applicable, and thereafter Manufacture the Licensed Compounds and Licensed Products in support of its or its Affiliates’ and Sublicensees’ Development, Commercialization or other exploitation of the Licensed Compounds and Licensed Products in the Field in Day One Territory in accordance with the terms of this Agreement and the Cell Line Agreements (the “</w:t>
      </w:r>
      <w:r>
        <w:rPr>
          <w:rFonts w:ascii="Times New Roman" w:hAnsi="Times New Roman"/>
          <w:b/>
          <w:color w:val="000000"/>
          <w:sz w:val="24"/>
        </w:rPr>
        <w:t>Permitted Purposes</w:t>
      </w:r>
      <w:r>
        <w:rPr>
          <w:color w:val="000000"/>
        </w:rPr>
        <w:t>”</w:t>
      </w:r>
      <w:r>
        <w:rPr>
          <w:rFonts w:ascii="Times New Roman" w:hAnsi="Times New Roman"/>
          <w:color w:val="000000"/>
          <w:sz w:val="24"/>
        </w:rPr>
        <w:t>). Day One shall only use the MabCare Materials for the Permitted Purposes and for no other purpose. Day One shall use all MabCare Materials in compliance with Applicable Law. Except as expressly set forth in this Agreement or the Cell Line Agreements, Day One shall not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color w:val="000000"/>
          <w:sz w:val="24"/>
        </w:rPr>
        <w:t>Assistance by MabCare Personnel</w:t>
      </w:r>
      <w:r>
        <w:rPr>
          <w:rFonts w:ascii="Times New Roman" w:hAnsi="Times New Roman"/>
          <w:color w:val="000000"/>
          <w:sz w:val="24"/>
        </w:rPr>
        <w:t>. Following completion of the Manufacturing Technology Transfer, MabCare shall make available to Day One or its designees (or cause to be made available) technical or scientific personnel of MabCare or its Affiliates as may reasonably be requested by Day One to assist Day One in connection with understanding the content, or implementing or using the content, of the Manufacturing Technology Transfer, and Day One shall reimburse MabCare [*] MabCare shall use reasonable efforts to facilitate the cooperation of any MabCare CMO or other MabCare vendor or subcontractor in connection with providing such assistance, at Day One’s cost.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PAYMENTS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Upfront Fee</w:t>
      </w:r>
      <w:r>
        <w:rPr>
          <w:rFonts w:ascii="Times New Roman" w:hAnsi="Times New Roman"/>
          <w:color w:val="000000"/>
          <w:sz w:val="24"/>
        </w:rPr>
        <w:t>. As partial consideration for the license and other rights granted by MabCare to Day One herein, Day One shall pay to MabCare a one-time, non-refundable, non-creditable upfront fee of fifty-five million Dollars ($55,000,000) within fifteen (15) Business Days of Day One’s receipt of an invoice therefor from MabCare(such fee, the “</w:t>
      </w:r>
      <w:r>
        <w:rPr>
          <w:rFonts w:ascii="Times New Roman" w:hAnsi="Times New Roman"/>
          <w:b/>
          <w:color w:val="000000"/>
          <w:sz w:val="24"/>
        </w:rPr>
        <w:t>Upfront Fee</w:t>
      </w:r>
      <w:r>
        <w:rPr>
          <w:color w:val="000000"/>
        </w:rPr>
        <w:t>”</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Development Milestones</w:t>
      </w:r>
      <w:r>
        <w:rPr>
          <w:rFonts w:ascii="Times New Roman" w:hAnsi="Times New Roman"/>
          <w:color w:val="000000"/>
          <w:sz w:val="24"/>
        </w:rPr>
        <w:t>.</w:t>
      </w:r>
      <w:r>
        <w:rPr>
          <w:color w:val="000000"/>
        </w:rPr>
        <w:t xml:space="preserve"> </w:t>
      </w:r>
      <w:r>
        <w:rPr>
          <w:rFonts w:ascii="Times New Roman" w:hAnsi="Times New Roman"/>
          <w:color w:val="000000"/>
          <w:sz w:val="24"/>
        </w:rPr>
        <w:t>Upon the first achievement by Day One, its Affiliate or Sublicensee of a development or commercial milestone event set forth in the table below (each a “</w:t>
      </w:r>
      <w:r>
        <w:rPr>
          <w:rFonts w:ascii="Times New Roman" w:hAnsi="Times New Roman"/>
          <w:b/>
          <w:color w:val="000000"/>
          <w:sz w:val="24"/>
        </w:rPr>
        <w:t>Development/Commercial Milestone Event</w:t>
      </w:r>
      <w:r>
        <w:rPr>
          <w:color w:val="000000"/>
        </w:rPr>
        <w:t>”</w:t>
      </w:r>
      <w:r>
        <w:rPr>
          <w:rFonts w:ascii="Times New Roman" w:hAnsi="Times New Roman"/>
          <w:color w:val="000000"/>
          <w:sz w:val="24"/>
        </w:rPr>
        <w:t>), Day One shall make the corresponding one-time, non-refundable, non-creditable payment (each a “</w:t>
      </w:r>
      <w:r>
        <w:rPr>
          <w:rFonts w:ascii="Times New Roman" w:hAnsi="Times New Roman"/>
          <w:b/>
          <w:color w:val="000000"/>
          <w:sz w:val="24"/>
        </w:rPr>
        <w:t>Development/Commercial Milestone Payment</w:t>
      </w:r>
      <w:r>
        <w:rPr>
          <w:color w:val="000000"/>
        </w:rPr>
        <w:t>”</w:t>
      </w:r>
      <w:r>
        <w:rPr>
          <w:rFonts w:ascii="Times New Roman" w:hAnsi="Times New Roman"/>
          <w:color w:val="000000"/>
          <w:sz w:val="24"/>
        </w:rPr>
        <w:t>) to MabCare in accordance with Section 6.6.1.</w:t>
      </w:r>
    </w:p>
    <w:tbl>
      <w:tblPr>
        <w:tblW w:w="10173" w:type="dxa"/>
        <w:jc w:val="left"/>
        <w:tblInd w:w="0" w:type="dxa"/>
        <w:tblLayout w:type="fixed"/>
        <w:tblCellMar>
          <w:top w:w="28" w:type="dxa"/>
          <w:left w:w="28" w:type="dxa"/>
          <w:bottom w:w="28" w:type="dxa"/>
          <w:right w:w="28" w:type="dxa"/>
        </w:tblCellMar>
      </w:tblPr>
      <w:tblGrid>
        <w:gridCol w:w="241"/>
        <w:gridCol w:w="4441"/>
        <w:gridCol w:w="5491"/>
      </w:tblGrid>
      <w:tr>
        <w:trPr/>
        <w:tc>
          <w:tcPr>
            <w:tcW w:w="24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w:t>
            </w:r>
          </w:p>
        </w:tc>
        <w:tc>
          <w:tcPr>
            <w:tcW w:w="4441" w:type="dxa"/>
            <w:tcBorders>
              <w:top w:val="single" w:sz="4" w:space="0" w:color="000000"/>
              <w:bottom w:val="single" w:sz="4" w:space="0" w:color="000000"/>
              <w:right w:val="single" w:sz="4" w:space="0" w:color="000000"/>
            </w:tcBorders>
            <w:shd w:fill="D9D9D9" w:val="clear"/>
            <w:tcMar>
              <w:left w:w="0" w:type="dxa"/>
              <w:right w:w="42"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Development/Commercial Milestone Event</w:t>
            </w:r>
          </w:p>
        </w:tc>
        <w:tc>
          <w:tcPr>
            <w:tcW w:w="5491" w:type="dxa"/>
            <w:tcBorders>
              <w:top w:val="single" w:sz="4" w:space="0" w:color="000000"/>
              <w:bottom w:val="single" w:sz="4" w:space="0" w:color="000000"/>
              <w:right w:val="single" w:sz="4" w:space="0" w:color="000000"/>
            </w:tcBorders>
            <w:shd w:fill="D9D9D9" w:val="clear"/>
            <w:tcMar>
              <w:left w:w="0" w:type="dxa"/>
              <w:right w:w="42"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Development/Commercial Milestone Payment (USD)</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w:t>
            </w:r>
          </w:p>
        </w:tc>
        <w:tc>
          <w:tcPr>
            <w:tcW w:w="444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549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w:t>
            </w:r>
          </w:p>
        </w:tc>
        <w:tc>
          <w:tcPr>
            <w:tcW w:w="444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549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w:t>
            </w:r>
          </w:p>
        </w:tc>
        <w:tc>
          <w:tcPr>
            <w:tcW w:w="444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549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tbl>
      <w:tblPr>
        <w:tblW w:w="1158" w:type="dxa"/>
        <w:jc w:val="left"/>
        <w:tblInd w:w="0" w:type="dxa"/>
        <w:tblLayout w:type="fixed"/>
        <w:tblCellMar>
          <w:top w:w="28" w:type="dxa"/>
          <w:left w:w="28" w:type="dxa"/>
          <w:bottom w:w="28" w:type="dxa"/>
          <w:right w:w="28" w:type="dxa"/>
        </w:tblCellMar>
      </w:tblPr>
      <w:tblGrid>
        <w:gridCol w:w="361"/>
        <w:gridCol w:w="376"/>
        <w:gridCol w:w="421"/>
      </w:tblGrid>
      <w:tr>
        <w:trPr/>
        <w:tc>
          <w:tcPr>
            <w:tcW w:w="3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w:t>
            </w:r>
          </w:p>
        </w:tc>
        <w:tc>
          <w:tcPr>
            <w:tcW w:w="376" w:type="dxa"/>
            <w:tcBorders>
              <w:top w:val="single" w:sz="4" w:space="0" w:color="000000"/>
              <w:bottom w:val="single" w:sz="4" w:space="0" w:color="000000"/>
              <w:right w:val="single" w:sz="4" w:space="0" w:color="000000"/>
            </w:tcBorders>
            <w:tcMar>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top w:val="single" w:sz="4" w:space="0" w:color="000000"/>
              <w:bottom w:val="single" w:sz="4" w:space="0" w:color="000000"/>
              <w:right w:val="single" w:sz="4" w:space="0" w:color="000000"/>
            </w:tcBorders>
            <w:tcMar>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16</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376"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t>
            </w:r>
          </w:p>
        </w:tc>
        <w:tc>
          <w:tcPr>
            <w:tcW w:w="421" w:type="dxa"/>
            <w:tcBorders>
              <w:bottom w:val="single" w:sz="4" w:space="0" w:color="000000"/>
              <w:right w:val="single" w:sz="4" w:space="0" w:color="000000"/>
            </w:tcBorders>
            <w:tcMar>
              <w:top w:w="0" w:type="dxa"/>
              <w:left w:w="0" w:type="dxa"/>
              <w:right w:w="42"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If, upon achievement (or deemed achievement) of a Development/Commercial Milestone Event as set forth in the second column of the table below (each, an “</w:t>
      </w:r>
      <w:r>
        <w:rPr>
          <w:rFonts w:ascii="Times New Roman" w:hAnsi="Times New Roman"/>
          <w:b/>
          <w:color w:val="000000"/>
          <w:sz w:val="24"/>
        </w:rPr>
        <w:t>Achieved Development/Commercial Milestone Event</w:t>
      </w:r>
      <w:r>
        <w:rPr>
          <w:rFonts w:ascii="Times New Roman" w:hAnsi="Times New Roman"/>
          <w:color w:val="000000"/>
          <w:sz w:val="20"/>
        </w:rPr>
        <w:t>”</w:t>
      </w:r>
      <w:r>
        <w:rPr>
          <w:rFonts w:ascii="Times New Roman" w:hAnsi="Times New Roman"/>
          <w:color w:val="000000"/>
          <w:sz w:val="24"/>
        </w:rPr>
        <w:t>), the corresponding Skipped Development/Commercial Milestone Event as set forth in the first column in table below has not yet been achieved, become due or been paid, then such Skipped Development/Commercial Milestone Event shall be deemed achieved and the Development/Commercial Milestone Payment corresponding to such Skipped Development/Commercial Milestone Event shall become due and payable concurrently with the</w:t>
      </w:r>
      <w:r>
        <w:rPr>
          <w:rFonts w:ascii="Times New Roman" w:hAnsi="Times New Roman"/>
          <w:color w:val="000000"/>
          <w:sz w:val="20"/>
        </w:rPr>
        <w:t xml:space="preserve"> </w:t>
      </w:r>
      <w:r>
        <w:rPr>
          <w:rFonts w:ascii="Times New Roman" w:hAnsi="Times New Roman"/>
          <w:color w:val="000000"/>
          <w:sz w:val="24"/>
        </w:rPr>
        <w:t>Development/Commercial Milestone Payment corresponding to the applicable Achieved Development/Commercial Milestone.</w:t>
      </w:r>
    </w:p>
    <w:tbl>
      <w:tblPr>
        <w:tblW w:w="10205" w:type="dxa"/>
        <w:jc w:val="left"/>
        <w:tblInd w:w="0" w:type="dxa"/>
        <w:tblLayout w:type="fixed"/>
        <w:tblCellMar>
          <w:top w:w="28" w:type="dxa"/>
          <w:left w:w="28" w:type="dxa"/>
          <w:bottom w:w="28" w:type="dxa"/>
          <w:right w:w="28" w:type="dxa"/>
        </w:tblCellMar>
      </w:tblPr>
      <w:tblGrid>
        <w:gridCol w:w="5039"/>
        <w:gridCol w:w="5166"/>
      </w:tblGrid>
      <w:tr>
        <w:trPr/>
        <w:tc>
          <w:tcPr>
            <w:tcW w:w="5039" w:type="dxa"/>
            <w:tcBorders/>
            <w:vAlign w:val="center"/>
          </w:tcPr>
          <w:p>
            <w:pPr>
              <w:pStyle w:val="TableContents"/>
              <w:bidi w:val="0"/>
              <w:spacing w:before="0" w:after="283"/>
              <w:jc w:val="left"/>
              <w:rPr>
                <w:sz w:val="4"/>
                <w:szCs w:val="4"/>
              </w:rPr>
            </w:pPr>
            <w:r>
              <w:rPr>
                <w:sz w:val="4"/>
                <w:szCs w:val="4"/>
              </w:rPr>
            </w:r>
          </w:p>
        </w:tc>
        <w:tc>
          <w:tcPr>
            <w:tcW w:w="5166" w:type="dxa"/>
            <w:tcBorders/>
            <w:vAlign w:val="center"/>
          </w:tcPr>
          <w:p>
            <w:pPr>
              <w:pStyle w:val="TableContents"/>
              <w:bidi w:val="0"/>
              <w:spacing w:before="0" w:after="283"/>
              <w:jc w:val="left"/>
              <w:rPr>
                <w:sz w:val="4"/>
                <w:szCs w:val="4"/>
              </w:rPr>
            </w:pPr>
            <w:r>
              <w:rPr>
                <w:sz w:val="4"/>
                <w:szCs w:val="4"/>
              </w:rPr>
            </w:r>
          </w:p>
        </w:tc>
      </w:tr>
      <w:tr>
        <w:trPr/>
        <w:tc>
          <w:tcPr>
            <w:tcW w:w="503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Skipped Development/Commercial Milestone Event</w:t>
            </w:r>
          </w:p>
        </w:tc>
        <w:tc>
          <w:tcPr>
            <w:tcW w:w="51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Achieved Development/Commercial Milestone Event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r>
        <w:trPr/>
        <w:tc>
          <w:tcPr>
            <w:tcW w:w="503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51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Parties agree that, the Day One Development Plan [*]. If Day One amends the Day One Development Plan to conduct, or if its Affiliate or Sublicensee conducts a Clinical Trial, in each case, that is not a [*] (each, as applicable, a “</w:t>
      </w:r>
      <w:r>
        <w:rPr>
          <w:rFonts w:ascii="Times New Roman" w:hAnsi="Times New Roman"/>
          <w:b/>
          <w:color w:val="000000"/>
          <w:sz w:val="24"/>
        </w:rPr>
        <w:t>Substitution Clinical Trial</w:t>
      </w:r>
      <w:r>
        <w:rPr>
          <w:rFonts w:ascii="Times New Roman" w:hAnsi="Times New Roman"/>
          <w:color w:val="000000"/>
          <w:sz w:val="20"/>
        </w:rPr>
        <w:t>”</w:t>
      </w:r>
      <w:r>
        <w:rPr>
          <w:rFonts w:ascii="Times New Roman" w:hAnsi="Times New Roman"/>
          <w:color w:val="000000"/>
          <w:sz w:val="24"/>
        </w:rPr>
        <w:t>), then Development/Commercial Milestone Event [*]. For clarity, a [*] shall not be considered a Substitution Clinical Trial.</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Sales Milestones</w:t>
      </w:r>
      <w:r>
        <w:rPr>
          <w:rFonts w:ascii="Times New Roman" w:hAnsi="Times New Roman"/>
          <w:color w:val="000000"/>
          <w:sz w:val="24"/>
        </w:rPr>
        <w:t>. Upon the first achievement of each sales-based milestone event set forth in the table below (each a “</w:t>
      </w:r>
      <w:r>
        <w:rPr>
          <w:rFonts w:ascii="Times New Roman" w:hAnsi="Times New Roman"/>
          <w:b/>
          <w:color w:val="000000"/>
          <w:sz w:val="24"/>
        </w:rPr>
        <w:t>Sales Milestone Event</w:t>
      </w:r>
      <w:r>
        <w:rPr>
          <w:color w:val="000000"/>
        </w:rPr>
        <w:t>”</w:t>
      </w:r>
      <w:r>
        <w:rPr>
          <w:rFonts w:ascii="Times New Roman" w:hAnsi="Times New Roman"/>
          <w:color w:val="000000"/>
          <w:sz w:val="24"/>
        </w:rPr>
        <w:t>), Day One shall make the corresponding one-time, non-refundable, non-creditable payment (each a “</w:t>
      </w:r>
      <w:r>
        <w:rPr>
          <w:rFonts w:ascii="Times New Roman" w:hAnsi="Times New Roman"/>
          <w:b/>
          <w:color w:val="000000"/>
          <w:sz w:val="24"/>
        </w:rPr>
        <w:t>Sales Milestone Payment</w:t>
      </w:r>
      <w:r>
        <w:rPr>
          <w:color w:val="000000"/>
        </w:rPr>
        <w:t>”</w:t>
      </w:r>
      <w:r>
        <w:rPr>
          <w:rFonts w:ascii="Times New Roman" w:hAnsi="Times New Roman"/>
          <w:color w:val="000000"/>
          <w:sz w:val="24"/>
        </w:rPr>
        <w:t>) to MabCare in accordance with Section 6.6.2.</w:t>
      </w:r>
    </w:p>
    <w:p>
      <w:pPr>
        <w:sectPr>
          <w:type w:val="continuous"/>
          <w:pgSz w:w="11906" w:h="16838"/>
          <w:pgMar w:left="1134" w:right="567" w:gutter="0" w:header="0" w:top="567" w:footer="0" w:bottom="567"/>
          <w:formProt w:val="false"/>
          <w:textDirection w:val="lrTb"/>
          <w:docGrid w:type="default" w:linePitch="600" w:charSpace="32768"/>
        </w:sectPr>
      </w:pPr>
    </w:p>
    <w:tbl>
      <w:tblPr>
        <w:tblW w:w="5687" w:type="dxa"/>
        <w:jc w:val="left"/>
        <w:tblInd w:w="0" w:type="dxa"/>
        <w:tblLayout w:type="fixed"/>
        <w:tblCellMar>
          <w:top w:w="28" w:type="dxa"/>
          <w:left w:w="28" w:type="dxa"/>
          <w:bottom w:w="28" w:type="dxa"/>
          <w:right w:w="28" w:type="dxa"/>
        </w:tblCellMar>
      </w:tblPr>
      <w:tblGrid>
        <w:gridCol w:w="2326"/>
        <w:gridCol w:w="3361"/>
      </w:tblGrid>
      <w:tr>
        <w:trPr/>
        <w:tc>
          <w:tcPr>
            <w:tcW w:w="2326"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000000"/>
              <w:left w:val="single" w:sz="4" w:space="0" w:color="000000"/>
              <w:bottom w:val="single" w:sz="4" w:space="0" w:color="000000"/>
              <w:right w:val="single" w:sz="4" w:space="0" w:color="000000"/>
            </w:tcBorders>
            <w:shd w:fill="D9D9D9" w:val="clear"/>
            <w:tcMar>
              <w:left w:w="43" w:type="dxa"/>
              <w:right w:w="43"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Sales Milestone Event</w:t>
            </w:r>
          </w:p>
        </w:tc>
        <w:tc>
          <w:tcPr>
            <w:tcW w:w="336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Sales Milestone Payment (USD)</w:t>
            </w:r>
          </w:p>
        </w:tc>
      </w:tr>
      <w:tr>
        <w:trPr/>
        <w:tc>
          <w:tcPr>
            <w:tcW w:w="2326" w:type="dxa"/>
            <w:tcBorders>
              <w:left w:val="single" w:sz="4" w:space="0" w:color="000000"/>
              <w:bottom w:val="single" w:sz="4" w:space="0" w:color="000000"/>
              <w:right w:val="single" w:sz="4" w:space="0" w:color="000000"/>
            </w:tcBorders>
            <w:tcMar>
              <w:top w:w="0" w:type="dxa"/>
              <w:left w:w="43" w:type="dxa"/>
              <w:right w:w="43"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w:t>
            </w:r>
          </w:p>
        </w:tc>
        <w:tc>
          <w:tcPr>
            <w:tcW w:w="3361" w:type="dxa"/>
            <w:tcBorders>
              <w:bottom w:val="single" w:sz="4" w:space="0" w:color="000000"/>
              <w:right w:val="single" w:sz="4" w:space="0" w:color="000000"/>
            </w:tcBorders>
            <w:tcMar>
              <w:top w:w="0" w:type="dxa"/>
              <w:left w:w="0" w:type="dxa"/>
              <w:right w:w="43" w:type="dxa"/>
            </w:tcMar>
            <w:vAlign w:val="center"/>
          </w:tcPr>
          <w:p>
            <w:pPr>
              <w:pStyle w:val="TableContents"/>
              <w:bidi w:val="0"/>
              <w:spacing w:before="0" w:after="240"/>
              <w:ind w:left="360" w:right="142" w:firstLine="360"/>
              <w:jc w:val="center"/>
              <w:rPr>
                <w:rFonts w:ascii="Times New Roman" w:hAnsi="Times New Roman"/>
                <w:color w:val="000000"/>
                <w:sz w:val="24"/>
              </w:rPr>
            </w:pPr>
            <w:r>
              <w:rPr>
                <w:rFonts w:ascii="Times New Roman" w:hAnsi="Times New Roman"/>
                <w:color w:val="000000"/>
                <w:sz w:val="24"/>
              </w:rPr>
              <w:t>[*]</w:t>
            </w:r>
          </w:p>
        </w:tc>
      </w:tr>
      <w:tr>
        <w:trPr/>
        <w:tc>
          <w:tcPr>
            <w:tcW w:w="2326" w:type="dxa"/>
            <w:tcBorders>
              <w:left w:val="single" w:sz="4" w:space="0" w:color="000000"/>
              <w:bottom w:val="single" w:sz="4" w:space="0" w:color="000000"/>
              <w:right w:val="single" w:sz="4" w:space="0" w:color="000000"/>
            </w:tcBorders>
            <w:tcMar>
              <w:top w:w="0" w:type="dxa"/>
              <w:left w:w="43" w:type="dxa"/>
              <w:right w:w="43"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w:t>
            </w:r>
          </w:p>
        </w:tc>
        <w:tc>
          <w:tcPr>
            <w:tcW w:w="3361" w:type="dxa"/>
            <w:tcBorders>
              <w:bottom w:val="single" w:sz="4" w:space="0" w:color="000000"/>
              <w:right w:val="single" w:sz="4" w:space="0" w:color="000000"/>
            </w:tcBorders>
            <w:tcMar>
              <w:top w:w="0" w:type="dxa"/>
              <w:left w:w="0" w:type="dxa"/>
              <w:right w:w="43" w:type="dxa"/>
            </w:tcMar>
            <w:vAlign w:val="center"/>
          </w:tcPr>
          <w:p>
            <w:pPr>
              <w:pStyle w:val="TableContents"/>
              <w:bidi w:val="0"/>
              <w:spacing w:before="0" w:after="240"/>
              <w:ind w:left="360" w:right="142" w:firstLine="360"/>
              <w:jc w:val="center"/>
              <w:rPr>
                <w:rFonts w:ascii="Times New Roman" w:hAnsi="Times New Roman"/>
                <w:color w:val="000000"/>
                <w:sz w:val="24"/>
              </w:rPr>
            </w:pPr>
            <w:r>
              <w:rPr>
                <w:rFonts w:ascii="Times New Roman" w:hAnsi="Times New Roman"/>
                <w:color w:val="000000"/>
                <w:sz w:val="24"/>
              </w:rPr>
              <w:t>[*]</w:t>
            </w:r>
          </w:p>
        </w:tc>
      </w:tr>
      <w:tr>
        <w:trPr/>
        <w:tc>
          <w:tcPr>
            <w:tcW w:w="2326" w:type="dxa"/>
            <w:tcBorders>
              <w:left w:val="single" w:sz="4" w:space="0" w:color="000000"/>
              <w:bottom w:val="single" w:sz="4" w:space="0" w:color="000000"/>
              <w:right w:val="single" w:sz="4" w:space="0" w:color="000000"/>
            </w:tcBorders>
            <w:tcMar>
              <w:top w:w="0" w:type="dxa"/>
              <w:left w:w="43" w:type="dxa"/>
              <w:right w:w="43"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w:t>
            </w:r>
          </w:p>
        </w:tc>
        <w:tc>
          <w:tcPr>
            <w:tcW w:w="3361" w:type="dxa"/>
            <w:tcBorders>
              <w:bottom w:val="single" w:sz="4" w:space="0" w:color="000000"/>
              <w:right w:val="single" w:sz="4" w:space="0" w:color="000000"/>
            </w:tcBorders>
            <w:tcMar>
              <w:top w:w="0" w:type="dxa"/>
              <w:left w:w="0" w:type="dxa"/>
              <w:right w:w="43" w:type="dxa"/>
            </w:tcMar>
            <w:vAlign w:val="center"/>
          </w:tcPr>
          <w:p>
            <w:pPr>
              <w:pStyle w:val="TableContents"/>
              <w:bidi w:val="0"/>
              <w:spacing w:before="0" w:after="240"/>
              <w:ind w:left="360" w:right="142" w:firstLine="360"/>
              <w:jc w:val="center"/>
              <w:rPr>
                <w:rFonts w:ascii="Times New Roman" w:hAnsi="Times New Roman"/>
                <w:color w:val="000000"/>
                <w:sz w:val="24"/>
              </w:rPr>
            </w:pPr>
            <w:r>
              <w:rPr>
                <w:rFonts w:ascii="Times New Roman" w:hAnsi="Times New Roman"/>
                <w:color w:val="000000"/>
                <w:sz w:val="24"/>
              </w:rPr>
              <w:t>[*]</w:t>
            </w:r>
          </w:p>
        </w:tc>
      </w:tr>
      <w:tr>
        <w:trPr/>
        <w:tc>
          <w:tcPr>
            <w:tcW w:w="2326" w:type="dxa"/>
            <w:tcBorders>
              <w:left w:val="single" w:sz="4" w:space="0" w:color="000000"/>
              <w:bottom w:val="single" w:sz="4" w:space="0" w:color="000000"/>
              <w:right w:val="single" w:sz="4" w:space="0" w:color="000000"/>
            </w:tcBorders>
            <w:tcMar>
              <w:top w:w="0" w:type="dxa"/>
              <w:left w:w="43" w:type="dxa"/>
              <w:right w:w="43"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w:t>
            </w:r>
          </w:p>
        </w:tc>
        <w:tc>
          <w:tcPr>
            <w:tcW w:w="3361" w:type="dxa"/>
            <w:tcBorders>
              <w:bottom w:val="single" w:sz="4" w:space="0" w:color="000000"/>
              <w:right w:val="single" w:sz="4" w:space="0" w:color="000000"/>
            </w:tcBorders>
            <w:tcMar>
              <w:top w:w="0" w:type="dxa"/>
              <w:left w:w="0" w:type="dxa"/>
              <w:right w:w="43" w:type="dxa"/>
            </w:tcMar>
            <w:vAlign w:val="center"/>
          </w:tcPr>
          <w:p>
            <w:pPr>
              <w:pStyle w:val="TableContents"/>
              <w:bidi w:val="0"/>
              <w:spacing w:before="0" w:after="240"/>
              <w:ind w:left="360" w:right="142" w:firstLine="360"/>
              <w:jc w:val="center"/>
              <w:rPr>
                <w:rFonts w:ascii="Times New Roman" w:hAnsi="Times New Roman"/>
                <w:color w:val="000000"/>
                <w:sz w:val="24"/>
              </w:rPr>
            </w:pPr>
            <w:r>
              <w:rPr>
                <w:rFonts w:ascii="Times New Roman" w:hAnsi="Times New Roman"/>
                <w:color w:val="000000"/>
                <w:sz w:val="24"/>
              </w:rPr>
              <w:t>[*]</w:t>
            </w:r>
          </w:p>
        </w:tc>
      </w:tr>
      <w:tr>
        <w:trPr/>
        <w:tc>
          <w:tcPr>
            <w:tcW w:w="2326" w:type="dxa"/>
            <w:tcBorders>
              <w:left w:val="single" w:sz="4" w:space="0" w:color="000000"/>
              <w:bottom w:val="single" w:sz="4" w:space="0" w:color="000000"/>
              <w:right w:val="single" w:sz="4" w:space="0" w:color="000000"/>
            </w:tcBorders>
            <w:tcMar>
              <w:top w:w="0" w:type="dxa"/>
              <w:left w:w="43" w:type="dxa"/>
              <w:right w:w="43" w:type="dxa"/>
            </w:tcMar>
            <w:vAlign w:val="center"/>
          </w:tcPr>
          <w:p>
            <w:pPr>
              <w:pStyle w:val="TableContents"/>
              <w:bidi w:val="0"/>
              <w:spacing w:before="0" w:after="240"/>
              <w:ind w:left="0" w:right="0" w:firstLine="360"/>
              <w:jc w:val="left"/>
              <w:rPr>
                <w:rFonts w:ascii="Times New Roman" w:hAnsi="Times New Roman"/>
                <w:b/>
                <w:color w:val="000000"/>
                <w:sz w:val="24"/>
              </w:rPr>
            </w:pPr>
            <w:r>
              <w:rPr>
                <w:rFonts w:ascii="Times New Roman" w:hAnsi="Times New Roman"/>
                <w:b/>
                <w:color w:val="000000"/>
                <w:sz w:val="24"/>
              </w:rPr>
              <w:t>[*]</w:t>
            </w:r>
          </w:p>
        </w:tc>
        <w:tc>
          <w:tcPr>
            <w:tcW w:w="3361" w:type="dxa"/>
            <w:tcBorders>
              <w:bottom w:val="single" w:sz="4" w:space="0" w:color="000000"/>
              <w:right w:val="single" w:sz="4" w:space="0" w:color="000000"/>
            </w:tcBorders>
            <w:tcMar>
              <w:top w:w="0" w:type="dxa"/>
              <w:left w:w="0" w:type="dxa"/>
              <w:right w:w="43" w:type="dxa"/>
            </w:tcMar>
            <w:vAlign w:val="center"/>
          </w:tcPr>
          <w:p>
            <w:pPr>
              <w:pStyle w:val="TableContents"/>
              <w:bidi w:val="0"/>
              <w:spacing w:before="0" w:after="240"/>
              <w:ind w:left="360" w:right="142" w:firstLine="360"/>
              <w:jc w:val="center"/>
              <w:rPr>
                <w:rFonts w:ascii="Times New Roman" w:hAnsi="Times New Roman"/>
                <w:b/>
                <w:color w:val="000000"/>
                <w:sz w:val="24"/>
              </w:rPr>
            </w:pPr>
            <w:r>
              <w:rPr>
                <w:rFonts w:ascii="Times New Roman" w:hAnsi="Times New Roman"/>
                <w:b/>
                <w:color w:val="000000"/>
                <w:sz w:val="24"/>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rPr>
        <w:t>Royalty Payments.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6.4.1</w:t>
      </w:r>
    </w:p>
    <w:p>
      <w:pPr>
        <w:pStyle w:val="TextBody"/>
        <w:bidi w:val="0"/>
        <w:spacing w:before="0" w:after="240"/>
        <w:jc w:val="both"/>
        <w:rPr/>
      </w:pPr>
      <w:r>
        <w:rPr>
          <w:rFonts w:ascii="Times New Roman" w:hAnsi="Times New Roman"/>
          <w:b/>
          <w:color w:val="000000"/>
          <w:sz w:val="24"/>
        </w:rPr>
        <w:t>Royalty Payments for Licensed Products</w:t>
      </w:r>
      <w:r>
        <w:rPr>
          <w:rFonts w:ascii="Times New Roman" w:hAnsi="Times New Roman"/>
          <w:color w:val="000000"/>
          <w:sz w:val="24"/>
        </w:rPr>
        <w:t xml:space="preserve">. Subject to the remainder of this Section 6.4, on a Licensed Product-by-Licensed Product basis, during the Royalty Term for such Licensed Product, Day One shall pay MabCare royalties on aggregate annual Net Sales of such Licensed Product in the Day One Territory as follows: </w:t>
      </w:r>
    </w:p>
    <w:tbl>
      <w:tblPr>
        <w:tblW w:w="9559" w:type="dxa"/>
        <w:jc w:val="left"/>
        <w:tblInd w:w="0" w:type="dxa"/>
        <w:tblLayout w:type="fixed"/>
        <w:tblCellMar>
          <w:top w:w="28" w:type="dxa"/>
          <w:left w:w="28" w:type="dxa"/>
          <w:bottom w:w="28" w:type="dxa"/>
          <w:right w:w="28" w:type="dxa"/>
        </w:tblCellMar>
      </w:tblPr>
      <w:tblGrid>
        <w:gridCol w:w="8073"/>
        <w:gridCol w:w="1486"/>
      </w:tblGrid>
      <w:tr>
        <w:trPr/>
        <w:tc>
          <w:tcPr>
            <w:tcW w:w="807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ind w:left="0" w:right="0" w:firstLine="167"/>
              <w:jc w:val="left"/>
              <w:rPr>
                <w:sz w:val="4"/>
                <w:szCs w:val="4"/>
              </w:rPr>
            </w:pPr>
            <w:r>
              <w:rPr>
                <w:sz w:val="4"/>
                <w:szCs w:val="4"/>
              </w:rPr>
            </w:r>
          </w:p>
        </w:tc>
      </w:tr>
      <w:tr>
        <w:trPr/>
        <w:tc>
          <w:tcPr>
            <w:tcW w:w="8073"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60" w:after="60"/>
              <w:ind w:left="167" w:right="0" w:firstLine="167"/>
              <w:jc w:val="center"/>
              <w:rPr>
                <w:rFonts w:ascii="Times New Roman" w:hAnsi="Times New Roman"/>
                <w:sz w:val="24"/>
              </w:rPr>
            </w:pPr>
            <w:bookmarkStart w:id="39" w:name="ole_link2"/>
            <w:bookmarkEnd w:id="39"/>
            <w:r>
              <w:rPr>
                <w:rFonts w:ascii="Times New Roman" w:hAnsi="Times New Roman"/>
                <w:b/>
                <w:color w:val="000000"/>
                <w:sz w:val="24"/>
              </w:rPr>
              <w:t>Aggregate Annual Net Sales in the Day One Territory per Licensed Product</w:t>
            </w:r>
            <w:r>
              <w:rPr>
                <w:rFonts w:ascii="Times New Roman" w:hAnsi="Times New Roman"/>
                <w:color w:val="000000"/>
                <w:sz w:val="24"/>
              </w:rPr>
              <w:t xml:space="preserve"> </w:t>
            </w:r>
          </w:p>
        </w:tc>
        <w:tc>
          <w:tcPr>
            <w:tcW w:w="148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Royalty Rate</w:t>
            </w:r>
          </w:p>
        </w:tc>
      </w:tr>
      <w:tr>
        <w:trPr/>
        <w:tc>
          <w:tcPr>
            <w:tcW w:w="807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60"/>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360" w:right="0" w:firstLine="360"/>
              <w:jc w:val="left"/>
              <w:rPr>
                <w:rFonts w:ascii="Times New Roman" w:hAnsi="Times New Roman"/>
                <w:color w:val="000000"/>
                <w:sz w:val="24"/>
              </w:rPr>
            </w:pPr>
            <w:r>
              <w:rPr>
                <w:rFonts w:ascii="Times New Roman" w:hAnsi="Times New Roman"/>
                <w:color w:val="000000"/>
                <w:sz w:val="24"/>
              </w:rPr>
              <w:t>[*]</w:t>
            </w:r>
          </w:p>
        </w:tc>
      </w:tr>
      <w:tr>
        <w:trPr/>
        <w:tc>
          <w:tcPr>
            <w:tcW w:w="807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60"/>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360" w:right="0" w:firstLine="360"/>
              <w:jc w:val="left"/>
              <w:rPr>
                <w:rFonts w:ascii="Times New Roman" w:hAnsi="Times New Roman"/>
                <w:color w:val="000000"/>
                <w:sz w:val="24"/>
              </w:rPr>
            </w:pPr>
            <w:r>
              <w:rPr>
                <w:rFonts w:ascii="Times New Roman" w:hAnsi="Times New Roman"/>
                <w:color w:val="000000"/>
                <w:sz w:val="24"/>
              </w:rPr>
              <w:t>[*]</w:t>
            </w:r>
          </w:p>
        </w:tc>
      </w:tr>
      <w:tr>
        <w:trPr/>
        <w:tc>
          <w:tcPr>
            <w:tcW w:w="807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60"/>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360" w:right="0" w:firstLine="360"/>
              <w:jc w:val="left"/>
              <w:rPr>
                <w:rFonts w:ascii="Times New Roman" w:hAnsi="Times New Roman"/>
                <w:color w:val="000000"/>
                <w:sz w:val="24"/>
              </w:rPr>
            </w:pPr>
            <w:r>
              <w:rPr>
                <w:rFonts w:ascii="Times New Roman" w:hAnsi="Times New Roman"/>
                <w:color w:val="000000"/>
                <w:sz w:val="24"/>
              </w:rPr>
              <w:t>[*]</w:t>
            </w:r>
          </w:p>
        </w:tc>
      </w:tr>
      <w:tr>
        <w:trPr/>
        <w:tc>
          <w:tcPr>
            <w:tcW w:w="807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60"/>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360" w:right="0" w:firstLine="360"/>
              <w:jc w:val="left"/>
              <w:rPr>
                <w:rFonts w:ascii="Times New Roman" w:hAnsi="Times New Roman"/>
                <w:color w:val="000000"/>
                <w:sz w:val="24"/>
              </w:rPr>
            </w:pPr>
            <w:r>
              <w:rPr>
                <w:rFonts w:ascii="Times New Roman" w:hAnsi="Times New Roman"/>
                <w:color w:val="000000"/>
                <w:sz w:val="24"/>
              </w:rPr>
              <w:t>[*]</w:t>
            </w:r>
          </w:p>
        </w:tc>
      </w:tr>
      <w:tr>
        <w:trPr/>
        <w:tc>
          <w:tcPr>
            <w:tcW w:w="807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0" w:right="0" w:firstLine="360"/>
              <w:jc w:val="left"/>
              <w:rPr>
                <w:rFonts w:ascii="Times New Roman" w:hAnsi="Times New Roman"/>
                <w:color w:val="000000"/>
                <w:sz w:val="24"/>
              </w:rPr>
            </w:pPr>
            <w:r>
              <w:rPr>
                <w:rFonts w:ascii="Times New Roman" w:hAnsi="Times New Roman"/>
                <w:color w:val="000000"/>
                <w:sz w:val="24"/>
              </w:rPr>
              <w:t>[*]</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360" w:right="0" w:firstLine="360"/>
              <w:jc w:val="left"/>
              <w:rPr>
                <w:rFonts w:ascii="Times New Roman" w:hAnsi="Times New Roman"/>
                <w:color w:val="000000"/>
                <w:sz w:val="24"/>
              </w:rPr>
            </w:pPr>
            <w:r>
              <w:rPr>
                <w:rFonts w:ascii="Times New Roman" w:hAnsi="Times New Roman"/>
                <w:color w:val="000000"/>
                <w:sz w:val="24"/>
              </w:rPr>
              <w:t>[*]</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expiration of the Royalty Term for a Licensed Product in a given country, Net Sales of such Licensed Product in such country will be excluded from Net Sales for purposes of determining the royalties due hereunder (including that Net Sales of such Licensed Product in such country shall not be considered when determining the allocation of Net Sales among the royalty tiers set forth above) and Sales Milestones Events. Such royalty payments, and associated reports, shall be made in accordance with Section 6.6.2.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6.4.2</w:t>
      </w:r>
    </w:p>
    <w:p>
      <w:pPr>
        <w:pStyle w:val="TextBody"/>
        <w:bidi w:val="0"/>
        <w:spacing w:before="0" w:after="240"/>
        <w:jc w:val="both"/>
        <w:rPr/>
      </w:pPr>
      <w:r>
        <w:rPr>
          <w:rFonts w:ascii="Times New Roman" w:hAnsi="Times New Roman"/>
          <w:b/>
          <w:color w:val="000000"/>
          <w:sz w:val="24"/>
        </w:rPr>
        <w:t>Royalty Reductions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No Valid Claim</w:t>
      </w:r>
      <w:r>
        <w:rPr>
          <w:rFonts w:ascii="Times New Roman" w:hAnsi="Times New Roman"/>
          <w:color w:val="000000"/>
          <w:sz w:val="24"/>
        </w:rPr>
        <w:t>. On a Licensed Product-by-Licensed Product and country-by-country basis in the Day One Territory, if at any time during the Royalty Term for such Licensed Product there is no Valid Claim of any MabCare Patent or Joint Foreground Patent that Covers (i) the composition of matter of the Licensed Compound of such Licensed Product in such country, or (ii) method of use of such Licensed Product for an Indication set forth on the approved product labeling for such Licensed Product in such country, then the royalty rates set forth in Section 6.4.1 shall be permanently reduced in such country by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Third Party Payments</w:t>
      </w:r>
      <w:r>
        <w:rPr>
          <w:rFonts w:ascii="Times New Roman" w:hAnsi="Times New Roman"/>
          <w:color w:val="000000"/>
          <w:sz w:val="24"/>
        </w:rPr>
        <w:t>. If Day One or any of its Affiliates or Sublicensees obtains a license or right to any Patent Rights from a Third Party in a country in the Day One Territory that is [*], then Day One shall have the right to credit or deduct [*] actually paid by Day One or any of its Affiliates or Sublicensees to such Third Party for such license or right to the extent reasonably allocable to such Licensed Product in such country (“</w:t>
      </w:r>
      <w:r>
        <w:rPr>
          <w:rFonts w:ascii="Times New Roman" w:hAnsi="Times New Roman"/>
          <w:b/>
          <w:color w:val="000000"/>
          <w:sz w:val="24"/>
        </w:rPr>
        <w:t>Third Party Payments</w:t>
      </w:r>
      <w:r>
        <w:rPr>
          <w:color w:val="000000"/>
        </w:rPr>
        <w:t>”</w:t>
      </w:r>
      <w:r>
        <w:rPr>
          <w:rFonts w:ascii="Times New Roman" w:hAnsi="Times New Roman"/>
          <w:color w:val="000000"/>
          <w:sz w:val="24"/>
        </w:rPr>
        <w:t xml:space="preserve">) against the royalties payable to MabCare pursuant to Section 6.4.1 with respect to such Licensed Product in such country. If Day One is not able to fully credit or deduct any such Third Party Payments in a given Calendar Quarter, then Day One shall be entitled to carry forward such right of credit or deduction to future Calendar Quarters with respect to such excess amount and continue applying such credit or deduction on a Calendar Quarterly basis thereafter until fully utilized or, if earlier, the expiration of the Royalty Term for such Licensed Product in such country.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Biosimilar Product</w:t>
      </w:r>
      <w:r>
        <w:rPr>
          <w:rFonts w:ascii="Times New Roman" w:hAnsi="Times New Roman"/>
          <w:color w:val="000000"/>
          <w:sz w:val="24"/>
        </w:rPr>
        <w:t>. On a Licensed Product-by-Licensed Product and country-by-country basis in the Day One Territory, if during a Calendar Quarter one or more Biosimilar Products are being sold in such country and Net Sales of the Licensed Product in such country during such Calendar Quarter are reduced [*], then the royalty rates set forth in Section 6.4.1 for such Licensed Product shall be reduced in such country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Inflation Reduction Act Royalty Adjustments</w:t>
      </w:r>
      <w:r>
        <w:rPr>
          <w:rFonts w:ascii="Times New Roman" w:hAnsi="Times New Roman"/>
          <w:color w:val="000000"/>
          <w:sz w:val="24"/>
        </w:rPr>
        <w:t>. If, during the Royalty Term for a Licensed Product, such Licensed Product is designated as a “selected drug” by the Secretary of the U.S. Department of Health and Human Services, and Day One is required to negotiate a maximum fair price that shall apply to sales of such Licensed Product during the price applicability period as specified in the Inflation Reduction Act, then the applicable royalty rates set forth in Section 6.4.1 payable to MabCare for the Net Sales of such Licensed Product in the United States shall be reduced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Deduction Floor</w:t>
      </w:r>
      <w:r>
        <w:rPr>
          <w:rFonts w:ascii="Times New Roman" w:hAnsi="Times New Roman"/>
          <w:color w:val="000000"/>
          <w:sz w:val="24"/>
        </w:rPr>
        <w:t xml:space="preserve">. Notwithstanding anything contained herein to the contrary, in no event will the aggregate royalty payment in respect of any Licensed Product in any Calendar Quarter in a country by Day One to MabCare hereunder be reduced to less than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Compulsory Licenses for Licensed Product</w:t>
      </w:r>
      <w:r>
        <w:rPr>
          <w:rFonts w:ascii="Times New Roman" w:hAnsi="Times New Roman"/>
          <w:color w:val="000000"/>
          <w:sz w:val="24"/>
        </w:rPr>
        <w:t>. In the event that a Governmental Authority requires Day One or any of its Affiliates or Sublicensees to grant a compulsory license to a Third Party that permits such Third Party to make, sell, or otherwise commercially exploit a Licensed Product in a country in the Day One Territory, then the royalty rates in Section 6.4.1 for such Licensed Product in that country shall be reduced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color w:val="000000"/>
          <w:sz w:val="24"/>
        </w:rPr>
        <w:t xml:space="preserve">Specific Patent Right Payments and Specified Patent Rights Costs. </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6.5</w:t>
      </w:r>
    </w:p>
    <w:p>
      <w:pPr>
        <w:pStyle w:val="TextBody"/>
        <w:bidi w:val="0"/>
        <w:spacing w:before="0" w:after="240"/>
        <w:jc w:val="both"/>
        <w:rPr/>
      </w:pPr>
      <w:r>
        <w:rPr>
          <w:rFonts w:ascii="Times New Roman" w:hAnsi="Times New Roman"/>
          <w:b/>
          <w:color w:val="000000"/>
          <w:sz w:val="24"/>
        </w:rPr>
        <w:t>Sublicensing Income</w:t>
      </w:r>
      <w:r>
        <w:rPr>
          <w:rFonts w:ascii="Times New Roman" w:hAnsi="Times New Roman"/>
          <w:color w:val="000000"/>
          <w:sz w:val="24"/>
        </w:rPr>
        <w:t xml:space="preserve">. If, [*], Day One or any Affiliate of Day One enters into any Sublicense with a Third Party, then Day One shall pay to MabCare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6.6</w:t>
      </w:r>
    </w:p>
    <w:p>
      <w:pPr>
        <w:pStyle w:val="TextBody"/>
        <w:bidi w:val="0"/>
        <w:spacing w:before="0" w:after="240"/>
        <w:jc w:val="both"/>
        <w:rPr/>
      </w:pPr>
      <w:r>
        <w:rPr>
          <w:rFonts w:ascii="Times New Roman" w:hAnsi="Times New Roman"/>
          <w:b/>
          <w:color w:val="000000"/>
          <w:sz w:val="24"/>
        </w:rPr>
        <w:t>Payment Terms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6.6.1</w:t>
      </w:r>
    </w:p>
    <w:p>
      <w:pPr>
        <w:pStyle w:val="TextBody"/>
        <w:bidi w:val="0"/>
        <w:spacing w:before="0" w:after="240"/>
        <w:jc w:val="both"/>
        <w:rPr/>
      </w:pPr>
      <w:r>
        <w:rPr>
          <w:rFonts w:ascii="Times New Roman" w:hAnsi="Times New Roman"/>
          <w:b/>
          <w:color w:val="000000"/>
          <w:sz w:val="24"/>
        </w:rPr>
        <w:t>Development/Commercial Milestone Payments</w:t>
      </w:r>
      <w:r>
        <w:rPr>
          <w:rFonts w:ascii="Times New Roman" w:hAnsi="Times New Roman"/>
          <w:color w:val="000000"/>
          <w:sz w:val="24"/>
        </w:rPr>
        <w:t>. Day One shall provide MabCare with written notice of the achievement of each Development/Commercial</w:t>
      </w:r>
      <w:r>
        <w:rPr>
          <w:color w:val="000000"/>
        </w:rPr>
        <w:t xml:space="preserve"> </w:t>
      </w:r>
      <w:r>
        <w:rPr>
          <w:rFonts w:ascii="Times New Roman" w:hAnsi="Times New Roman"/>
          <w:color w:val="000000"/>
          <w:sz w:val="24"/>
        </w:rPr>
        <w:t>Milestone Event [*]. Following receipt of such notification, MabCare shall invoice Day One for the amount of the applicable Development/Commercial</w:t>
      </w:r>
      <w:r>
        <w:rPr>
          <w:color w:val="000000"/>
        </w:rPr>
        <w:t xml:space="preserve"> </w:t>
      </w:r>
      <w:r>
        <w:rPr>
          <w:rFonts w:ascii="Times New Roman" w:hAnsi="Times New Roman"/>
          <w:color w:val="000000"/>
          <w:sz w:val="24"/>
        </w:rPr>
        <w:t>Milestone Payment, and Day One shall make the corresponding Development/Commercial</w:t>
      </w:r>
      <w:r>
        <w:rPr>
          <w:color w:val="000000"/>
        </w:rPr>
        <w:t xml:space="preserve"> </w:t>
      </w:r>
      <w:r>
        <w:rPr>
          <w:rFonts w:ascii="Times New Roman" w:hAnsi="Times New Roman"/>
          <w:color w:val="000000"/>
          <w:sz w:val="24"/>
        </w:rPr>
        <w:t>Milestone Payment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6.6.2</w:t>
      </w:r>
    </w:p>
    <w:p>
      <w:pPr>
        <w:pStyle w:val="TextBody"/>
        <w:bidi w:val="0"/>
        <w:spacing w:before="0" w:after="240"/>
        <w:jc w:val="both"/>
        <w:rPr/>
      </w:pPr>
      <w:r>
        <w:rPr>
          <w:rFonts w:ascii="Times New Roman" w:hAnsi="Times New Roman"/>
          <w:b/>
          <w:color w:val="000000"/>
          <w:sz w:val="24"/>
        </w:rPr>
        <w:t>Sales Milestone Payments and Royalty Payments</w:t>
      </w:r>
      <w:r>
        <w:rPr>
          <w:rFonts w:ascii="Times New Roman" w:hAnsi="Times New Roman"/>
          <w:color w:val="000000"/>
          <w:sz w:val="24"/>
        </w:rPr>
        <w:t>.</w:t>
      </w:r>
      <w:r>
        <w:rPr>
          <w:color w:val="000000"/>
        </w:rPr>
        <w:t xml:space="preserve"> </w:t>
      </w:r>
      <w:r>
        <w:rPr>
          <w:rFonts w:ascii="Times New Roman" w:hAnsi="Times New Roman"/>
          <w:color w:val="000000"/>
          <w:sz w:val="24"/>
        </w:rPr>
        <w:t xml:space="preserve">During the Term, following the First Commercial Sale of a Licensed Product in the Day One Territory, Day One shall provide MabCare with a written report for each Calendar Quarter showing the Net Sales of each Licensed Product in the Day One Territory during the reporting Calendar Quarter and the royalties payable under this Agreement pursuant to Section 6.4. Each such report shall include, on a Licensed Product-by-Licensed Product basis: (a) the total gross amount invoiced for each Licensed Product sold; (b) the Net Sales of each Licensed Product; and (c) the royalties (in Dollars) payable and in total for all Licensed Products. Such reports shall also include notice of any Sales Milestone Event achieved during such Calendar Quarter (if any). Such reports shall be due [*]. The corresponding Sales Milestone Payment(s) and royalties shown to have accrued by a report provided under this Section 6.6.2 shall be due and payable on the date that such report is delivered.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w:t>
      </w:r>
    </w:p>
    <w:p>
      <w:pPr>
        <w:pStyle w:val="TextBody"/>
        <w:bidi w:val="0"/>
        <w:spacing w:before="0" w:after="240"/>
        <w:jc w:val="both"/>
        <w:rPr/>
      </w:pPr>
      <w:r>
        <w:rPr>
          <w:rFonts w:ascii="Times New Roman" w:hAnsi="Times New Roman"/>
          <w:b/>
          <w:color w:val="000000"/>
          <w:sz w:val="24"/>
        </w:rPr>
        <w:t xml:space="preserve">Payment Currency; Exchange Rate; Offset. </w:t>
      </w:r>
      <w:r>
        <w:rPr>
          <w:rFonts w:ascii="Times New Roman" w:hAnsi="Times New Roman"/>
          <w:color w:val="000000"/>
          <w:sz w:val="24"/>
        </w:rPr>
        <w:t>All payments to be made under this Agreement shall be made in USD. Payments to a Party shall be made by electronic wire transfer of immediately available funds to the account of the other Party, as designated in writing to the paying Party. Payment to MabCare shall be made to the following account unless otherwise notified by MabCare in writing:</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any currency conversion is required in connection with the calculation of amounts payable hereunder, such conversion shall be made using a rate of exchange by using the arithmetic mean of the exchange rates for the purchase of Dollars as published in </w:t>
      </w:r>
      <w:r>
        <w:rPr>
          <w:rFonts w:ascii="Times New Roman" w:hAnsi="Times New Roman"/>
          <w:i/>
          <w:color w:val="000000"/>
          <w:sz w:val="24"/>
        </w:rPr>
        <w:t>The Wall Street Journal</w:t>
      </w:r>
      <w:r>
        <w:rPr>
          <w:rFonts w:ascii="Times New Roman" w:hAnsi="Times New Roman"/>
          <w:color w:val="000000"/>
          <w:sz w:val="24"/>
        </w:rPr>
        <w:t>, Eastern Edition, on the last Business Day of each month in the Calendar Quarter to which such payments relate.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6.8</w:t>
      </w:r>
    </w:p>
    <w:p>
      <w:pPr>
        <w:pStyle w:val="TextBody"/>
        <w:bidi w:val="0"/>
        <w:spacing w:before="0" w:after="240"/>
        <w:jc w:val="both"/>
        <w:rPr/>
      </w:pPr>
      <w:r>
        <w:rPr>
          <w:rFonts w:ascii="Times New Roman" w:hAnsi="Times New Roman"/>
          <w:b/>
          <w:color w:val="000000"/>
          <w:sz w:val="24"/>
        </w:rPr>
        <w:t>Late Payments</w:t>
      </w:r>
      <w:r>
        <w:rPr>
          <w:rFonts w:ascii="Times New Roman" w:hAnsi="Times New Roman"/>
          <w:color w:val="000000"/>
          <w:sz w:val="24"/>
        </w:rPr>
        <w:t>. Any undisputed payments or portions thereof due hereunder that are not paid on the date such payments are due under this Agreement shall bear interest at a rate equal to the lesser of: (a) one (1) percentage point above the prime rate as published by The Wall Street Journal or any successor thereto on the first day of each Calendar Quarter in which such payments are overdue or (b) the maximum rate permitted by Applicable Law; in each case calculated on the number of days such payment is delinquent (provided that if the payment is disputed, such interest shall be calculated within thirty (30) days from the time that the dispute is resolved), compounded monthly. Notwithstanding the foregoing,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w:t>
      </w:r>
    </w:p>
    <w:p>
      <w:pPr>
        <w:pStyle w:val="TextBody"/>
        <w:bidi w:val="0"/>
        <w:spacing w:before="0" w:after="240"/>
        <w:jc w:val="both"/>
        <w:rPr/>
      </w:pPr>
      <w:r>
        <w:rPr>
          <w:rFonts w:ascii="Times New Roman" w:hAnsi="Times New Roman"/>
          <w:b/>
          <w:color w:val="000000"/>
          <w:sz w:val="24"/>
        </w:rPr>
        <w:t>Payments to Third Parties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6.9.1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MabCare shall be solely responsible for all payments (including all upfront payments, development, regulatory and sales milestones, royalty payments and any sharing of any sublicensing income) due under the Existing Agreements or to any Third Party that licensed or otherwise granted rights to MabCare or any of its Affiliates to any MabCare Patents or MabCare Know-How as of the Effective Date with respect to Day One’s Development, Manufacture, or Commercialization of Licensed Compounds and Licensed Products in the Day One Territory in accordance with the terms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6.9.2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 One shall be solely responsible for all payments (including all upfront payments, development, regulatory and sales milestones, royalty payments and any sharing of any sublicensing income) due under any agreement between Day One and its Affiliates, on the one hand, and a Third Party, on the other hand, pursuant to which such Third Party licenses, grants, has licensed or otherwise has granted rights to Day One or any of its Affiliates to such Third Party’s intellectual property with respect to Day One’s Development, Manufacture, or Commercialization of Licensed Compounds and Licensed Products in the Day One Territory,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6.9.3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Section 6.9.1, if any Existing Agreement is terminated prior to its expiration due to MabCare’s breach of such Existing Agreement or insolvency of MabCare (and not due to Day One’s breach of the applicable provisions under such Existing Agreement or this Agreement), and it is necessary for Day One to obtain a sublicense of the rights under such terminated Existing Agreement, then[*]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6.10</w:t>
      </w:r>
    </w:p>
    <w:p>
      <w:pPr>
        <w:pStyle w:val="TextBody"/>
        <w:bidi w:val="0"/>
        <w:spacing w:before="0" w:after="240"/>
        <w:jc w:val="both"/>
        <w:rPr/>
      </w:pPr>
      <w:r>
        <w:rPr>
          <w:rFonts w:ascii="Times New Roman" w:hAnsi="Times New Roman"/>
          <w:b/>
          <w:color w:val="000000"/>
          <w:sz w:val="24"/>
        </w:rPr>
        <w:t>Records and Audit Rights</w:t>
      </w:r>
      <w:r>
        <w:rPr>
          <w:rFonts w:ascii="Times New Roman" w:hAnsi="Times New Roman"/>
          <w:color w:val="000000"/>
          <w:sz w:val="24"/>
        </w:rPr>
        <w:t xml:space="preserve">. Day One shall keep complete, true and accurate books and records for the purpose of determining the amounts payable under this Agreement. Such books and records shall be kept by Day One [*]. Day One shall make such accounting records available, on reasonable notice sent by MabCare, for inspection [*], by an independent certified public accounting firm nominated by MabCare and reasonably acceptable to Day One, for the purpose of verifying the accuracy of any statement or report given by Day One and to verify the accuracy of the payments due hereunder for any Calendar Year. Such auditor shall advise the Parties simultaneously promptly upon its completion of its audit whether or not the payments due hereunder have been accurately recorded, calculated, and reported, and, if not, the amount of such discrepancy. Except in the case of willful misconduct or fraud, [*]. The auditor shall be required to keep confidential all information learned during any such inspection, and to disclose to MabCare only such details as may be necessary to report the accuracy of Day One’s statement or report. MabCare shall be responsible for the auditor’s costs, unless the auditor certifies an underpayment by Day One that resulted from a discrepancy in a report that Day One provided to MabCare during the applicable audit period, which underpayment was more than [*] of the amount set forth in such report, in which case Day One shall bear the full cost of such audit. If such accounting firm identifies a discrepancy made during such period, any unpaid amounts or overpaid amounts that are discovered shall be paid/refunded promptly but in any event within [*] of the date of delivery of such accounting firm’s written report so correctly concluding, or as otherwise agreed upon by the Parties. MabCare shall treat all financial information subject to review under this Section 6.10 in accordance with the confidentiality and non-use provisions of Article 7, and shall cause its accounting firm to enter into an acceptable confidentiality agreement with Day One obligating it to retain all such information in confidence pursuant to such confidentiality agreement. [*], royalty calculations with respect to such Calendar Year shall be binding and conclusive upon both Parties.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Unless an audit is ongoing with respect to such period, Day One shall be released from any liability or accountability with respect to said calculations for such Calendar Year.</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6.11</w:t>
      </w:r>
    </w:p>
    <w:p>
      <w:pPr>
        <w:pStyle w:val="TextBody"/>
        <w:bidi w:val="0"/>
        <w:spacing w:before="0" w:after="240"/>
        <w:jc w:val="both"/>
        <w:rPr/>
      </w:pPr>
      <w:r>
        <w:rPr>
          <w:rFonts w:ascii="Times New Roman" w:hAnsi="Times New Roman"/>
          <w:b/>
          <w:color w:val="000000"/>
          <w:sz w:val="24"/>
        </w:rPr>
        <w:t>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Withholding Taxes Generally</w:t>
      </w:r>
      <w:r>
        <w:rPr>
          <w:rFonts w:ascii="Times New Roman" w:hAnsi="Times New Roman"/>
          <w:color w:val="000000"/>
          <w:sz w:val="24"/>
        </w:rPr>
        <w:t>. Except as set forth in this Section 6.11, each Party shall be solely responsible for the payment of all taxes imposed on its share of income arising directly or indirectly from the activities of the Parties under this Agreement. To the extent Day One is required by Applicable Law to withhold any taxes, duties, levies, imposts, assessments, deductions, fees, and other similar charges by Applicable Law or any Governmental Authority (“</w:t>
      </w:r>
      <w:r>
        <w:rPr>
          <w:rFonts w:ascii="Times New Roman" w:hAnsi="Times New Roman"/>
          <w:b/>
          <w:color w:val="000000"/>
          <w:sz w:val="24"/>
        </w:rPr>
        <w:t>Withholding Taxes</w:t>
      </w:r>
      <w:r>
        <w:rPr>
          <w:color w:val="000000"/>
        </w:rPr>
        <w:t>”</w:t>
      </w:r>
      <w:r>
        <w:rPr>
          <w:rFonts w:ascii="Times New Roman" w:hAnsi="Times New Roman"/>
          <w:color w:val="000000"/>
          <w:sz w:val="24"/>
        </w:rPr>
        <w:t xml:space="preserve">) on any payment to MabCare, then Day One will pay such Withholding Taxes to the applicable Governmental Authority, will make the payment to MabCare of the net amount due after deduction or withholding of such taxes and will secure and, upon timely making such Withholding Taxes, promptly send to MabCare written evidence of such payment, as well as other information reasonably necessary for MabCare to substantiate the amount of taxes withheld. If Day One intends to withhold any taxes from any payment under this Agreement, Day One shall inform MabCare reasonably in advance of making such payment to permit MabCare an opportunity to provide any forms or information or obtain any taxing authority exemption or reduction as may be available to reduce or eliminate such withholding. In determining the amount to be withheld, Day One shall apply the reduced rate of withholding, or not withhold, as the case may be reflected in a properly executed IRS Form W-8BEN-E (or other appropriate form) received by Day One prior to the time that Day One makes any payment under this Agreement. </w:t>
      </w:r>
      <w:bookmarkStart w:id="40" w:name="ole_link41"/>
      <w:bookmarkEnd w:id="40"/>
      <w:r>
        <w:rPr>
          <w:rFonts w:ascii="Times New Roman" w:hAnsi="Times New Roman"/>
          <w:color w:val="000000"/>
          <w:sz w:val="24"/>
        </w:rPr>
        <w:t>In addition, Day One agrees to reasonably cooperate with MabCare in claiming refunds or exemptions from such deductions or withholdings under any relevant agreement or treaty which is in effect to ensure that any amounts required to be withheld pursuant to this Section 6.11.1 are reduced in amount to the fullest extent permitted by Applicable Law. MabCare shall not be responsible for any penalties or interests resulting from the failure by Day One to collect or remit any such Withholding Taxes. For clarity, any amounts withheld or deducted for taxes in accordance with this Section 6.11.1 shall be considered as having been paid to MabCare for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6.11.2</w:t>
      </w:r>
    </w:p>
    <w:p>
      <w:pPr>
        <w:pStyle w:val="TextBody"/>
        <w:bidi w:val="0"/>
        <w:spacing w:before="0" w:after="240"/>
        <w:jc w:val="both"/>
        <w:rPr/>
      </w:pPr>
      <w:r>
        <w:rPr>
          <w:rFonts w:ascii="Times New Roman" w:hAnsi="Times New Roman"/>
          <w:b/>
          <w:color w:val="000000"/>
          <w:sz w:val="24"/>
        </w:rPr>
        <w:t>Withholding Action</w:t>
      </w:r>
      <w:r>
        <w:rPr>
          <w:rFonts w:ascii="Times New Roman" w:hAnsi="Times New Roman"/>
          <w:color w:val="000000"/>
          <w:sz w:val="24"/>
        </w:rPr>
        <w:t>. Notwithstanding the foregoing, if, as a result of a Withholding Action by Day One, withholding is required by Applicable Laws with respect to any payment made by Day One to MabCare pursuant to this Agreement and the amount of such withholding exceeds the amount of withholding that would have been required with respect to such payment under Section 6.11.1 if Day One had not committed the Withholding Action, then Day One shall pay an additional amount to MabCare such that, after withholding from such payment contemplated by this Agreement and such additional amount, MabCare receives the same amount with respect to such payment as it would have received from Day One absent such Withholding Action by Day One; provided, however, that if MabCare also has undertaken a Withholding Action that has caused the withholding required by Day One to increase, Day One shall only be required to pay to MabCare the increased amount to the extent attributable to its own Withholding Action (and not to MabCare’s Withholding Action). For purposes of this Section 6.11.2, “</w:t>
      </w:r>
      <w:r>
        <w:rPr>
          <w:rFonts w:ascii="Times New Roman" w:hAnsi="Times New Roman"/>
          <w:b/>
          <w:color w:val="000000"/>
          <w:sz w:val="24"/>
        </w:rPr>
        <w:t>Withholding Action</w:t>
      </w:r>
      <w:r>
        <w:rPr>
          <w:color w:val="000000"/>
        </w:rPr>
        <w:t xml:space="preserve">” </w:t>
      </w:r>
      <w:r>
        <w:rPr>
          <w:rFonts w:ascii="Times New Roman" w:hAnsi="Times New Roman"/>
          <w:color w:val="000000"/>
          <w:sz w:val="24"/>
        </w:rPr>
        <w:t xml:space="preserve">means, in the case of Day One or MabCare, as the case may be, (a) a permitted assignment or sublicense of this Agreement (in whole or in part) by Day One or MabCare, as the case may be, to an Affiliate or a Third Party outside of Day One’s or MabCare’s, as the case may be, then-current jurisdiction; or (b) a redomiciliation of Day One or MabCare, as the case may be to, or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made by or on behalf of Day One from or received by or on behalf of MabCare, in a jurisdiction outside Day One’s or MabCare’s, as the case may be, then-current jurisdiction of residence.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6.11.3</w:t>
      </w:r>
    </w:p>
    <w:p>
      <w:pPr>
        <w:pStyle w:val="TextBody"/>
        <w:bidi w:val="0"/>
        <w:spacing w:before="0" w:after="240"/>
        <w:jc w:val="both"/>
        <w:rPr/>
      </w:pPr>
      <w:r>
        <w:rPr>
          <w:rFonts w:ascii="Times New Roman" w:hAnsi="Times New Roman"/>
          <w:b/>
          <w:color w:val="000000"/>
          <w:sz w:val="24"/>
        </w:rPr>
        <w:t>VAT</w:t>
      </w:r>
      <w:r>
        <w:rPr>
          <w:rFonts w:ascii="Times New Roman" w:hAnsi="Times New Roman"/>
          <w:color w:val="000000"/>
          <w:sz w:val="24"/>
        </w:rPr>
        <w:t>. All payments under this Agreement are exclusive of any value added, sales and use, excise, stamp, or similar country-specific, governmental or local taxes (collectively, “</w:t>
      </w:r>
      <w:r>
        <w:rPr>
          <w:rFonts w:ascii="Times New Roman" w:hAnsi="Times New Roman"/>
          <w:b/>
          <w:color w:val="000000"/>
          <w:sz w:val="24"/>
        </w:rPr>
        <w:t>VAT</w:t>
      </w:r>
      <w:r>
        <w:rPr>
          <w:color w:val="000000"/>
        </w:rPr>
        <w:t>”</w:t>
      </w:r>
      <w:r>
        <w:rPr>
          <w:rFonts w:ascii="Times New Roman" w:hAnsi="Times New Roman"/>
          <w:color w:val="000000"/>
          <w:sz w:val="24"/>
        </w:rPr>
        <w:t xml:space="preserve">). If any VAT is required in respect of any payments under Applicable Law paid to the Party making the supply or providing the service, the Party making such payment shall pay VAT at the applicable rate in respect of any such payments upon the receipt of a valid VAT invoice in the appropriate form issued in respect of those payments, such VAT to be payable on the due date of the payments to which such VAT relates. For clarity, the paying Party shall not deduct any payment of VAT against the payments due to the other Party hereunder. The Parties will reasonably cooperate to issue valid VAT invoices for all amounts due under this Agreement consistent with VAT requirements. A Party shall not be responsible for any penalties and interest resulting from the failure by the other Party to collect (if not included on a valid VAT invoice) or remit any such VAT. The Parties shall reasonably cooperate to report and claim refunds or exemptions from any such VAT imposed on the transactions contemplated in this Agreement to the fullest extent permitted by Applicable Law and to timely file all required VAT tax returns.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6.12</w:t>
      </w:r>
    </w:p>
    <w:p>
      <w:pPr>
        <w:pStyle w:val="TextBody"/>
        <w:bidi w:val="0"/>
        <w:spacing w:before="0" w:after="240"/>
        <w:jc w:val="both"/>
        <w:rPr/>
      </w:pPr>
      <w:r>
        <w:rPr>
          <w:rFonts w:ascii="Times New Roman" w:hAnsi="Times New Roman"/>
          <w:b/>
          <w:color w:val="000000"/>
          <w:sz w:val="24"/>
        </w:rPr>
        <w:t>Blocked Currency</w:t>
      </w:r>
      <w:r>
        <w:rPr>
          <w:rFonts w:ascii="Times New Roman" w:hAnsi="Times New Roman"/>
          <w:color w:val="000000"/>
          <w:sz w:val="24"/>
        </w:rPr>
        <w:t>. If due to Applicable Law in a country or other jurisdiction in the Territory, it becomes impossible or illegal for Day One to transfer, or have transferred on its behalf, payments owed to MabCare under this Agreement with respect to such country, then Day One shall promptly notify MabCare and, thereafter, amounts accrued in such country under this Article 6 shall be paid to MabCare (or its designee) in such country in local currency by deposit in a local bank designated by MabCare and to the credit of MabCare, unless the Parties otherwise agree.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CONFIDENTIALITY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 For purposes of this Agreement, “</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 xml:space="preserve">of a Party means any and all confidential or proprietary information and data, including all Know-How and other scientific, pre-clinical, clinical, regulatory, manufacturing, marketing, financial and commercial information or data, whether or not patentable and in any form (written, oral, photographic, electronic, magnetic, or otherwise), including information of Third Parties, that a Party (or an Affiliate or representative of such Party) discloses or otherwise makes available to the other Party (or to an Affiliate or representative of such Party) in connection with this Agreement. The terms and conditions of this Agreement shall be the Confidential Information of both Parties. Notwithstanding the above, MabCare Know-How specific to the Licensed Compounds and Licensed Products shall be deemed to be the Confidential Information of both Parties, provided that, for clarity,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Duty of Confidence; Exceptions</w:t>
      </w:r>
      <w:r>
        <w:rPr>
          <w:rFonts w:ascii="Times New Roman" w:hAnsi="Times New Roman"/>
          <w:color w:val="000000"/>
          <w:sz w:val="24"/>
        </w:rPr>
        <w:t xml:space="preserve">. Each Party agrees that, during the Term and for a period of [*] thereafter, it shall keep confidential and shall not publish or otherwise disclose and shall not use for any purpose other than as provided for in this Agreement (including for the exercise of the rights and licenses granted to such Party hereunder) any Confidential Information of the other Party, except to the extent expressly agreed in writing by the other Party. The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foregoing confidentiality and non-use obligations shall not apply with respect to any information that the receiving Party can demonstrate by competent written proof: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in the lawful knowledge and possession of the receiving Party prior to the time it was disclosed by the disclosing Party to the receiving Party, or was otherwise developed independently by or for the receiving Party without use of or reference to the disclosing Party’s Confidential Information, as evidenced by written records kept in the ordinary course of business, or other documentary proof of actual use by the receiving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generally available to the public or otherwise part of the public domain at the time of its disclosure to the receiving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became generally available to the public or otherwise part of the public domain after its disclosure and other than through any act or omission of the receiving Party in breach of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disclosed to the receiving Party, other than under an obligation of confidentiality, by a Third Party who has no confidentiality obligation with respect to the information so disclosed.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combination of features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Authorized Disclosures</w:t>
      </w:r>
      <w:r>
        <w:rPr>
          <w:rFonts w:ascii="Times New Roman" w:hAnsi="Times New Roman"/>
          <w:color w:val="000000"/>
          <w:sz w:val="24"/>
        </w:rPr>
        <w:t>. Notwithstanding Section 7.2, the receiving Party may disclose the disclosing Party’s Confidential Information if and to the extent such disclosure is reasonably necessary in the following instances: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Governmental Authorities in connection with (a) filing, prosecuting, maintaining or listing Patent Rights in accordance with Article 8 or (b) obtaining and maintaining Regulatory Approval for the Licensed Compounds and Licensed Products as permitted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prosecuting or defending litigation as contemplated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7.5.2, to comply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its actual or potential bona fide acquirors, investors, lenders or other similar sources of financing solely for the purpose of evaluating or carrying out an actual or potential investment, or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its external attorneys, independent accountants or financial advisors for solely for the purpose of enabling such attorneys, independent accountants or financial advisors to provide advice to it;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its Affiliates, employees, consultants and agents and actual or potential Sublicensees (in the case of Day One), or (sub)licensees (in the case of MabCare), collaborators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contractors to exercise its rights or perform its obligations in accordance with the terms of this Agreement, or, in the case of MabCare, to Hyslink to the extent necessary to satisfy MabCare’s obligations under the Hyslink License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in each of the cases of Sections 7.3.4-7.3.6 such Person is subject to a written agreement containing obligations of confidentiality and non-use at least as stringent as those herein (or without such agreement for recipients that are financial or legal advisors under a professional code of conduct giving rise to an expectation of confidentiality and non-use at least as restrictive as those set forth in this Agreement), and with respect to investors and lenders, with a customary period of confidentiality. Notwithstanding the foregoing, in the event that a Party is required to make a disclosure of the other Party’s Confidential Information pursuant to Sections 7.3.1-7.3.3, it will, except where impracticable or not legally permitted, promptly inform the other Party of the disclosure that is being sought in order to provide the other Party an opportunity to challenge or limit the disclosure obligations, and, if requested by the other Party, cooperate in all reasonable respects with the other Party’s efforts to obtain confidential treatment or a protective order with respect to any such disclosure, at the other Party’s expense. In any such event, each Party agrees to take all reasonable action to minimize disclosure of the other Party’s Confidential Information. Any information disclosed pursuant to this Section 7.3 shall remain, subject to Section 7.2, the Confidential Information of the disclosing Party and subject to the restrictions set forth in this Agreement, including the foregoing provisions of this Article 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rPr>
        <w:t>Prior Confidentiality Agreement</w:t>
      </w:r>
      <w:r>
        <w:rPr>
          <w:rFonts w:ascii="Times New Roman" w:hAnsi="Times New Roman"/>
          <w:color w:val="000000"/>
          <w:sz w:val="24"/>
        </w:rPr>
        <w:t>. This Agreement supersedes that certain [*] (the “</w:t>
      </w:r>
      <w:r>
        <w:rPr>
          <w:rFonts w:ascii="Times New Roman" w:hAnsi="Times New Roman"/>
          <w:b/>
          <w:color w:val="000000"/>
          <w:sz w:val="24"/>
        </w:rPr>
        <w:t>CDA</w:t>
      </w:r>
      <w:r>
        <w:rPr>
          <w:color w:val="000000"/>
        </w:rPr>
        <w:t>”</w:t>
      </w:r>
      <w:r>
        <w:rPr>
          <w:rFonts w:ascii="Times New Roman" w:hAnsi="Times New Roman"/>
          <w:color w:val="000000"/>
          <w:sz w:val="24"/>
        </w:rPr>
        <w:t>). All information exchanged between the Parties under the CDA shall be deemed to have been disclosed under this Agreement and shall be subject to the terms of this Article 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Public Disclosures; Securities Filings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7.5.1</w:t>
      </w:r>
    </w:p>
    <w:p>
      <w:pPr>
        <w:pStyle w:val="TextBody"/>
        <w:bidi w:val="0"/>
        <w:spacing w:before="0" w:after="240"/>
        <w:jc w:val="both"/>
        <w:rPr/>
      </w:pPr>
      <w:r>
        <w:rPr>
          <w:rFonts w:ascii="Times New Roman" w:hAnsi="Times New Roman"/>
          <w:b/>
          <w:color w:val="000000"/>
          <w:sz w:val="24"/>
        </w:rPr>
        <w:t>Press Release</w:t>
      </w:r>
      <w:r>
        <w:rPr>
          <w:rFonts w:ascii="Times New Roman" w:hAnsi="Times New Roman"/>
          <w:color w:val="000000"/>
          <w:sz w:val="24"/>
        </w:rPr>
        <w:t>. The Parties agree that Day One may issue a press release substantially in the form of Schedule 7.5.1 with respect to this Agreement and following Day One’s issuance thereof either Party may make subsequent public disclosure of the contents of such press release so long as the information disclosed remains true and accurate. Each Party agrees not to issue any press release or other public statement, whether oral or written, disclosing the terms hereof or any of the activities conducted hereunder without the prior written consent of the other Party (such consent not to be unreasonably withheld, conditioned or delayed), except as provided herein; provided, however, that (a) neither Party shall be prevented from complying with any duty of disclosure it may have pursuant to Securities Regulations, and (b) Day One shall have the right to make public announcements regarding the achievement of any material events regarding the progress of the Development and Commercialization of the Licensed Compounds and Licensed Products under this Agreement, as well as the achievement of Development/Commercial Milestone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7.5.2</w:t>
      </w:r>
    </w:p>
    <w:p>
      <w:pPr>
        <w:pStyle w:val="TextBody"/>
        <w:bidi w:val="0"/>
        <w:spacing w:before="0" w:after="240"/>
        <w:jc w:val="both"/>
        <w:rPr/>
      </w:pPr>
      <w:r>
        <w:rPr>
          <w:rFonts w:ascii="Times New Roman" w:hAnsi="Times New Roman"/>
          <w:b/>
          <w:color w:val="000000"/>
          <w:sz w:val="24"/>
        </w:rPr>
        <w:t>Securities Filings</w:t>
      </w:r>
      <w:r>
        <w:rPr>
          <w:rFonts w:ascii="Times New Roman" w:hAnsi="Times New Roman"/>
          <w:color w:val="000000"/>
          <w:sz w:val="24"/>
        </w:rPr>
        <w:t>. Notwithstanding anything herein to the contrary, either Party or its Affiliates may disclose the relevant terms of this Agreement to the extent required or advisable to comply with the rules and regulations promulgated by the U.S. Securities and Exchange Commission or any equivalent governmental agency in any country in the Territory, or with the rules of any stock exchange on which such Party’s (or such Party’s Affiliates’) securities are listed (such rules and regulations “</w:t>
      </w:r>
      <w:r>
        <w:rPr>
          <w:rFonts w:ascii="Times New Roman" w:hAnsi="Times New Roman"/>
          <w:b/>
          <w:color w:val="000000"/>
          <w:sz w:val="24"/>
        </w:rPr>
        <w:t>Securities Regulations</w:t>
      </w:r>
      <w:r>
        <w:rPr>
          <w:color w:val="000000"/>
        </w:rPr>
        <w:t xml:space="preserve">” </w:t>
      </w:r>
      <w:r>
        <w:rPr>
          <w:rFonts w:ascii="Times New Roman" w:hAnsi="Times New Roman"/>
          <w:color w:val="000000"/>
          <w:sz w:val="24"/>
        </w:rPr>
        <w:t>and each such entity a “</w:t>
      </w:r>
      <w:r>
        <w:rPr>
          <w:rFonts w:ascii="Times New Roman" w:hAnsi="Times New Roman"/>
          <w:b/>
          <w:color w:val="000000"/>
          <w:sz w:val="24"/>
        </w:rPr>
        <w:t xml:space="preserve">Securities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b/>
          <w:color w:val="000000"/>
          <w:sz w:val="24"/>
        </w:rPr>
        <w:t>Regulator</w:t>
      </w:r>
      <w:r>
        <w:rPr>
          <w:color w:val="000000"/>
        </w:rPr>
        <w:t>”</w:t>
      </w:r>
      <w:r>
        <w:rPr>
          <w:rFonts w:ascii="Times New Roman" w:hAnsi="Times New Roman"/>
          <w:color w:val="000000"/>
          <w:sz w:val="24"/>
        </w:rPr>
        <w:t>). If a Party is required by Applicable Law to submit a description of the terms of this Agreement to or file a copy of this Agreement with any Securities Regulator, such Party agrees to reasonably consult and coordinate with the other Party with respect to such disclosure and, if applicable, the preparation and submission of a confidential treatment request for this Agreement. Notwithstanding the foregoing, if a Party is required by Applicable Law to submit a description of the terms of this Agreement to or file a copy of this Agreement with any Securities Regulator and such Party has (i) promptly notified the other Party in writing of such requirement and any respective timing constraints, (ii) provided copies of the proposed disclosure or filing to the other Party reasonably in advance of such filing or other disclosure and (iii) given the other Party a reasonable time under the circumstances to comment upon and request confidential treatment for such disclosure, then such Party will have the right to make such disclosure or filing at the time and in the manner reasonably determined by its counsel to be required by Applicable Law or the applicable Securities Regulator. If a Party seeks to make a disclosure or filing as set forth in this Section 7.5.2 and the other Party provides comments within the respective time periods or constraints specified herein, the Party seeking to make such disclosure or filing will reasonably consider such comments and use good faith efforts to incorporate such comments in the disclosure or filing; provided that prior to making any such filing of this Agreement, the Parties shall reasonably cooperate and use good faith efforts to agree on a redacted form of this Agreement to be so filed.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7.5.3</w:t>
      </w:r>
    </w:p>
    <w:p>
      <w:pPr>
        <w:pStyle w:val="TextBody"/>
        <w:bidi w:val="0"/>
        <w:spacing w:before="0" w:after="240"/>
        <w:jc w:val="both"/>
        <w:rPr/>
      </w:pPr>
      <w:r>
        <w:rPr>
          <w:rFonts w:ascii="Times New Roman" w:hAnsi="Times New Roman"/>
          <w:b/>
          <w:color w:val="000000"/>
          <w:sz w:val="24"/>
        </w:rPr>
        <w:t>Use of Names</w:t>
      </w:r>
      <w:r>
        <w:rPr>
          <w:rFonts w:ascii="Times New Roman" w:hAnsi="Times New Roman"/>
          <w:color w:val="000000"/>
          <w:sz w:val="24"/>
        </w:rPr>
        <w:t>. Except as may be otherwise provided herein, neither Party nor its Affiliates shall use the corporate marks or any other name or trademark of the other Party, its Affiliates or their respective employees in any publicity, promotion, news release or disclosure relating to this Agreement or its subject matter, without the prior express written permission of the other Party, except as may be required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pPr>
      <w:r>
        <w:rPr>
          <w:rFonts w:ascii="Times New Roman" w:hAnsi="Times New Roman"/>
          <w:b/>
          <w:color w:val="000000"/>
          <w:sz w:val="24"/>
        </w:rPr>
        <w:t>Publications</w:t>
      </w:r>
      <w:r>
        <w:rPr>
          <w:rFonts w:ascii="Times New Roman" w:hAnsi="Times New Roman"/>
          <w:color w:val="000000"/>
          <w:sz w:val="24"/>
        </w:rPr>
        <w:t>. In the event a Party desires to publicly present or publish an article or other publication regarding the Licensed Compounds or Licensed Products (each such proposed presentation or publication, a “</w:t>
      </w:r>
      <w:r>
        <w:rPr>
          <w:rFonts w:ascii="Times New Roman" w:hAnsi="Times New Roman"/>
          <w:b/>
          <w:color w:val="000000"/>
          <w:sz w:val="24"/>
        </w:rPr>
        <w:t>Proposed</w:t>
      </w:r>
      <w:r>
        <w:rPr>
          <w:color w:val="000000"/>
        </w:rPr>
        <w:t xml:space="preserve"> </w:t>
      </w:r>
      <w:r>
        <w:rPr>
          <w:rFonts w:ascii="Times New Roman" w:hAnsi="Times New Roman"/>
          <w:b/>
          <w:color w:val="000000"/>
          <w:sz w:val="24"/>
        </w:rPr>
        <w:t>Publication</w:t>
      </w:r>
      <w:r>
        <w:rPr>
          <w:color w:val="000000"/>
        </w:rPr>
        <w:t>”</w:t>
      </w:r>
      <w:r>
        <w:rPr>
          <w:rFonts w:ascii="Times New Roman" w:hAnsi="Times New Roman"/>
          <w:color w:val="000000"/>
          <w:sz w:val="24"/>
        </w:rPr>
        <w:t>), such Party shall provide the other Party (via the JSC) with a copy of such Proposed Publication [*] (as to either, the “</w:t>
      </w:r>
      <w:r>
        <w:rPr>
          <w:rFonts w:ascii="Times New Roman" w:hAnsi="Times New Roman"/>
          <w:b/>
          <w:color w:val="000000"/>
          <w:sz w:val="24"/>
        </w:rPr>
        <w:t>Review Period</w:t>
      </w:r>
      <w:r>
        <w:rPr>
          <w:color w:val="000000"/>
        </w:rPr>
        <w:t>”</w:t>
      </w:r>
      <w:r>
        <w:rPr>
          <w:rFonts w:ascii="Times New Roman" w:hAnsi="Times New Roman"/>
          <w:color w:val="000000"/>
          <w:sz w:val="24"/>
        </w:rPr>
        <w:t>) prior to the intended submission or presentation date. A Party agrees that it will not submit or present any Proposed Publication (a) until the other Party has provided written comments during such Review Period on the material in such Proposed Publication or (b) until the applicable Review Period has elapsed without written comments from the other Party, in which case such Party may proceed and the Proposed Publication will be considered approved in its entirety. If the proposing Party receives written comments from the other Party during the applicable Review Period, it shall consider the comments of the other Party in good faith, but will retain the sole authority to submit the manuscript for such Proposed Publication;</w:t>
      </w:r>
      <w:r>
        <w:rPr>
          <w:color w:val="000000"/>
        </w:rPr>
        <w:t xml:space="preserve"> </w:t>
      </w:r>
      <w:r>
        <w:rPr>
          <w:rFonts w:ascii="Times New Roman" w:hAnsi="Times New Roman"/>
          <w:color w:val="000000"/>
          <w:sz w:val="24"/>
        </w:rPr>
        <w:t xml:space="preserve">provided that the proposing Party agrees to (i) delete any Confidential Information of the other Party that the other Party identifies for deletion in its written comments, and (ii) delay such Proposed Publication for [*] to enable the other Party to draft and file Patent Rights with respect to any subject matter to be made public in such Proposed Publication and to which the other Party has the applicable intellectual property rights to file such Patent Rights. The Proposing Party shall provide the other Party a copy of the Proposed Publication at the time of the submission or presentation. Notwithstanding the foregoing, Day One shall have the right to make scientific publication about Clinical Trials for the Licensed Products in the Day One Territory, including the results of such Clinical Trials, provided that, [*]. A Party shall require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its Affiliates, Sublicensees and subcontractors to comply with the obligations of this Section 7.6 as if they were such Party, and shall be liable for their non-compliance.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rPr>
        <w:t>Re-Publication.</w:t>
      </w:r>
      <w:r>
        <w:rPr>
          <w:color w:val="000000"/>
        </w:rPr>
        <w:t xml:space="preserve"> </w:t>
      </w:r>
      <w:r>
        <w:rPr>
          <w:rFonts w:ascii="Times New Roman" w:hAnsi="Times New Roman"/>
          <w:color w:val="000000"/>
          <w:sz w:val="24"/>
        </w:rPr>
        <w:t xml:space="preserve">Notwithstanding anything to the contrary in this Article 7, the contents of any press release or other publication that has been reviewed and approved by a reviewing Party in accordance with this Article 7 may be re-released by such reviewing Party or publishing Party without a requirement for re-approval.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INTELLECTUAL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Ownership</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8.1.1</w:t>
      </w:r>
    </w:p>
    <w:p>
      <w:pPr>
        <w:pStyle w:val="TextBody"/>
        <w:bidi w:val="0"/>
        <w:spacing w:before="0" w:after="240"/>
        <w:jc w:val="both"/>
        <w:rPr/>
      </w:pPr>
      <w:r>
        <w:rPr>
          <w:rFonts w:ascii="Times New Roman" w:hAnsi="Times New Roman"/>
          <w:b/>
          <w:color w:val="000000"/>
          <w:sz w:val="24"/>
        </w:rPr>
        <w:t>Foreground Know-How</w:t>
      </w:r>
      <w:r>
        <w:rPr>
          <w:rFonts w:ascii="Times New Roman" w:hAnsi="Times New Roman"/>
          <w:color w:val="000000"/>
          <w:sz w:val="24"/>
        </w:rPr>
        <w:t xml:space="preserve">. Inventorship of Foreground Know-How and all intellectual property rights therein shall be determined in accordance with principles of inventorship for Patent Rights and other intellectual property under U.S. law, and ownership shall follow inventorship. As between the Parties, (a) MabCare shall solely own all MabCare Foreground Know-How and MabCare Foreground Patents, (b) Day One shall solely own all Day One Foreground Know-How and Day One Foreground Patents, and improvements solely with respect to Day One Background Know-How (which MabCare hereby assigns to Day One) and (c) the Parties will each own an equal, undivided interest in any and all Joint Foreground Know-How and Joint Foreground Patents. Subject to terms and conditions of this Agreement, including the licenses granted in Section 2.1 and Section 2.2, each Party shall have the right to use and exercise its ownership rights in and to any and all Joint Foreground Know-How and Joint Foreground Patents without an accounting or obligation to, or consent required from, the other Party,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8.1.2</w:t>
      </w:r>
    </w:p>
    <w:p>
      <w:pPr>
        <w:pStyle w:val="TextBody"/>
        <w:bidi w:val="0"/>
        <w:spacing w:before="0" w:after="240"/>
        <w:jc w:val="both"/>
        <w:rPr/>
      </w:pPr>
      <w:r>
        <w:rPr>
          <w:rFonts w:ascii="Times New Roman" w:hAnsi="Times New Roman"/>
          <w:b/>
          <w:color w:val="000000"/>
          <w:sz w:val="24"/>
        </w:rPr>
        <w:t>Assignment; Cooperation</w:t>
      </w:r>
      <w:r>
        <w:rPr>
          <w:rFonts w:ascii="Times New Roman" w:hAnsi="Times New Roman"/>
          <w:color w:val="000000"/>
          <w:sz w:val="24"/>
        </w:rPr>
        <w:t>. Each Party shall (and shall cause its Affiliates to) cause all of its directors, officers, employees, contractors, agents and any others who perform activities for it (or its Affiliates) under this Agreement to be under an obligation to assign to such Party (or its Affiliate) their rights in and to any Foreground Know-How and all intellectual property rights therein, except where Applicable Law requires otherwise. Each Party shall provide the other Party all reasonable assistance and cooperation in the Prosecution and Maintenance of Patent Rights pursuant to this Article 8, including providing any necessary powers of attorney, oaths, declarations, assignments, and executing any other required documents or instruments. With respect to Joint Foreground Patents, MabCare Foreground Patents and Day One Foreground Patents, the Parties intend to Prosecute and Maintain such Patent Rights such that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pPr>
      <w:r>
        <w:rPr>
          <w:rFonts w:ascii="Times New Roman" w:hAnsi="Times New Roman"/>
          <w:b/>
          <w:color w:val="000000"/>
          <w:sz w:val="24"/>
        </w:rPr>
        <w:t>Patent Prosecution and Maintenance.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8.2.1</w:t>
      </w:r>
    </w:p>
    <w:p>
      <w:pPr>
        <w:pStyle w:val="TextBody"/>
        <w:bidi w:val="0"/>
        <w:spacing w:before="0" w:after="240"/>
        <w:jc w:val="both"/>
        <w:rPr/>
      </w:pPr>
      <w:r>
        <w:rPr>
          <w:rFonts w:ascii="Times New Roman" w:hAnsi="Times New Roman"/>
          <w:b/>
          <w:color w:val="000000"/>
          <w:sz w:val="24"/>
        </w:rPr>
        <w:t>MabCare Patents in the Day One Territory</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Day One shall have the first right to control the Prosecution and Maintenance of (a) [*] (the “</w:t>
      </w:r>
      <w:r>
        <w:rPr>
          <w:rFonts w:ascii="Times New Roman" w:hAnsi="Times New Roman"/>
          <w:b/>
          <w:color w:val="000000"/>
          <w:sz w:val="24"/>
        </w:rPr>
        <w:t>MabCare PCT</w:t>
      </w:r>
      <w:r>
        <w:rPr>
          <w:color w:val="000000"/>
        </w:rPr>
        <w:t>”</w:t>
      </w:r>
      <w:r>
        <w:rPr>
          <w:rFonts w:ascii="Times New Roman" w:hAnsi="Times New Roman"/>
          <w:color w:val="000000"/>
          <w:sz w:val="24"/>
        </w:rPr>
        <w:t xml:space="preserve">), and (b) any other MabCare Patents (for clarity, including MabCare Foreground Patents) in the Day One Territory, at Day One’s cost. Day One shall keep MabCare reasonably informed of the status of the Prosecution and Maintenance of the MabCare PCT and other MabCare Patents in the Day One Territory, including that Day One will [*]. If Day One determines to abandon or otherwise not Prosecute and Maintain any pending or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issued MabCare Patent in the Day One Territory,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8.2.2</w:t>
      </w:r>
    </w:p>
    <w:p>
      <w:pPr>
        <w:pStyle w:val="TextBody"/>
        <w:bidi w:val="0"/>
        <w:spacing w:before="0" w:after="240"/>
        <w:jc w:val="both"/>
        <w:rPr/>
      </w:pPr>
      <w:r>
        <w:rPr>
          <w:rFonts w:ascii="Times New Roman" w:hAnsi="Times New Roman"/>
          <w:b/>
          <w:color w:val="000000"/>
          <w:sz w:val="24"/>
        </w:rPr>
        <w:t>MabCare Patents</w:t>
      </w:r>
      <w:r>
        <w:rPr>
          <w:rFonts w:ascii="Times New Roman" w:hAnsi="Times New Roman"/>
          <w:color w:val="000000"/>
          <w:sz w:val="24"/>
        </w:rPr>
        <w:t>. Subject to Section 8.2.1, MabCare shall have the sole right to control the Prosecution and Maintenance of the MabCare Patents (including MabCare Foreground Patents) in the MabCare Territory, at MabCare’s cost. MabCare shall keep Day One reasonably informed of the status of the Prosecution and Maintenance of the MabCare Patents in the MabCare Territory, including that MabCare will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8.2.3</w:t>
      </w:r>
    </w:p>
    <w:p>
      <w:pPr>
        <w:pStyle w:val="TextBody"/>
        <w:bidi w:val="0"/>
        <w:spacing w:before="0" w:after="240"/>
        <w:jc w:val="both"/>
        <w:rPr/>
      </w:pPr>
      <w:r>
        <w:rPr>
          <w:rFonts w:ascii="Times New Roman" w:hAnsi="Times New Roman"/>
          <w:b/>
          <w:color w:val="000000"/>
          <w:sz w:val="24"/>
        </w:rPr>
        <w:t>Day One Patents</w:t>
      </w:r>
      <w:r>
        <w:rPr>
          <w:rFonts w:ascii="Times New Roman" w:hAnsi="Times New Roman"/>
          <w:color w:val="000000"/>
          <w:sz w:val="24"/>
        </w:rPr>
        <w:t xml:space="preserve">. Subject to the remainder of this Section 8.2.3, Day One shall have the right, but not the obligation, to Prosecute and Maintain the Day One Patents (including any Day One Foreground Patents) worldwide,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8.2.4</w:t>
      </w:r>
    </w:p>
    <w:p>
      <w:pPr>
        <w:pStyle w:val="TextBody"/>
        <w:bidi w:val="0"/>
        <w:spacing w:before="0" w:after="240"/>
        <w:jc w:val="both"/>
        <w:rPr/>
      </w:pPr>
      <w:r>
        <w:rPr>
          <w:rFonts w:ascii="Times New Roman" w:hAnsi="Times New Roman"/>
          <w:b/>
          <w:color w:val="000000"/>
          <w:sz w:val="24"/>
        </w:rPr>
        <w:t>Joint Foreground Patents</w:t>
      </w:r>
      <w:r>
        <w:rPr>
          <w:rFonts w:ascii="Times New Roman" w:hAnsi="Times New Roman"/>
          <w:color w:val="000000"/>
          <w:sz w:val="24"/>
        </w:rPr>
        <w:t xml:space="preserve">. Day One shall have the first right, but not the obligation, to Prosecute and Maintain the Joint Foreground Patents in the MabCare Territory and Day One Territory in both Parties’ names, and the Parties shall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pPr>
      <w:r>
        <w:rPr>
          <w:rFonts w:ascii="Times New Roman" w:hAnsi="Times New Roman"/>
          <w:b/>
          <w:color w:val="000000"/>
          <w:sz w:val="24"/>
        </w:rPr>
        <w:t>Cooperation for Patent Extensions</w:t>
      </w:r>
      <w:r>
        <w:rPr>
          <w:rFonts w:ascii="Times New Roman" w:hAnsi="Times New Roman"/>
          <w:color w:val="000000"/>
          <w:sz w:val="24"/>
        </w:rPr>
        <w:t>.</w:t>
      </w:r>
      <w:r>
        <w:rPr>
          <w:color w:val="000000"/>
        </w:rPr>
        <w:t xml:space="preserve"> </w:t>
      </w:r>
      <w:r>
        <w:rPr>
          <w:rFonts w:ascii="Times New Roman" w:hAnsi="Times New Roman"/>
          <w:color w:val="000000"/>
          <w:sz w:val="24"/>
        </w:rPr>
        <w:t>Day One shall have the sole right to determine whether or not to seek or obtain any patent term extensions, adjustments or restorations under the U.S. Drug Price Competition and Patent Term Restoration Act of 1984, any Supplementary Certificate of Protection of the member states of the European Union or similar right in any country or jurisdiction outside of the United States or European Union (any such right, a “</w:t>
      </w:r>
      <w:r>
        <w:rPr>
          <w:rFonts w:ascii="Times New Roman" w:hAnsi="Times New Roman"/>
          <w:b/>
          <w:color w:val="000000"/>
          <w:sz w:val="24"/>
        </w:rPr>
        <w:t>Patent Term Extension</w:t>
      </w:r>
      <w:r>
        <w:rPr>
          <w:color w:val="000000"/>
        </w:rPr>
        <w:t>”</w:t>
      </w:r>
      <w:r>
        <w:rPr>
          <w:rFonts w:ascii="Times New Roman" w:hAnsi="Times New Roman"/>
          <w:color w:val="000000"/>
          <w:sz w:val="24"/>
        </w:rPr>
        <w:t>) for the (a) MabCare Patents and Joint Foreground Patents in the Day One Territory with respect to the Licensed Compounds and Licensed Products, and (b) Day One Patents worldwide. Except as otherwise provided herein, MabCare shall have the sole right to determine whether or not to seek or obtain any Patent Term Extension</w:t>
      </w:r>
      <w:r>
        <w:rPr>
          <w:color w:val="000000"/>
        </w:rPr>
        <w:t xml:space="preserve"> </w:t>
      </w:r>
      <w:r>
        <w:rPr>
          <w:rFonts w:ascii="Times New Roman" w:hAnsi="Times New Roman"/>
          <w:color w:val="000000"/>
          <w:sz w:val="24"/>
        </w:rPr>
        <w:t>for the MabCare Patents and Joint Foreground Patents (for clarity, with respect to the Joint Foreground Patents, in the MabCare Territory with respect to the Licensed Compounds and Licensed Products). Each Party shall promptly cooperate with the other Party in obtaining any such Patent Term Extension for a Patent Right as set forth above, at the requesting Party’s cost, including executing any authorization or instruments, make any filings, or take such further actions as may be requested to implement and obtain any such Patent Term Extension.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pPr>
      <w:r>
        <w:rPr>
          <w:rFonts w:ascii="Times New Roman" w:hAnsi="Times New Roman"/>
          <w:b/>
          <w:color w:val="000000"/>
          <w:sz w:val="24"/>
        </w:rPr>
        <w:t xml:space="preserve">Purple Book Listings. </w:t>
      </w:r>
      <w:r>
        <w:rPr>
          <w:rFonts w:ascii="Times New Roman" w:hAnsi="Times New Roman"/>
          <w:color w:val="000000"/>
          <w:sz w:val="24"/>
        </w:rPr>
        <w:t xml:space="preserve">Day One shall have the sole right and authority to list or de-list any MabCare Patents, Day One Patents and Joint Foreground Patents in the Day One Territory, in the FDA’s “Purple Book” or any ex-U.S. equivalent thereto with respect to the Licensed Products. MabCare shall have the sole right and authority to list or de-list any MabCare Patents, Day One Foreground Patents and Joint Foreground Patents in the MabCare Territory in any equivalent to the FDA’s “Purple Book” with respect to the Licensed Products. Each Party shall reasonably cooperate with the other Party in making or withdrawing any such listing for a Patent Rights as set forth above, at the requesting Party’s cost, including applying for such patent listing and signing all necessary documents.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w:t>
      </w:r>
    </w:p>
    <w:p>
      <w:pPr>
        <w:pStyle w:val="TextBody"/>
        <w:bidi w:val="0"/>
        <w:spacing w:before="0" w:after="240"/>
        <w:jc w:val="both"/>
        <w:rPr/>
      </w:pPr>
      <w:r>
        <w:rPr>
          <w:rFonts w:ascii="Times New Roman" w:hAnsi="Times New Roman"/>
          <w:b/>
          <w:color w:val="000000"/>
          <w:sz w:val="24"/>
        </w:rPr>
        <w:t>Common Interest Disclosures</w:t>
      </w:r>
      <w:r>
        <w:rPr>
          <w:rFonts w:ascii="Times New Roman" w:hAnsi="Times New Roman"/>
          <w:color w:val="000000"/>
          <w:sz w:val="24"/>
        </w:rPr>
        <w:t xml:space="preserve">. With regard to any information or opinions exchanged pursuant to this Agreement by the Parties (or their Affiliates) regarding intellectual property owned by Third Parties, the Parties agree that they have a common legal interest in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coordinating Prosecution and Maintenance of their respective Patent Rights, as set forth in this Article 8, and in determining whether, and to what extent, Third Party intellectual property rights may affect the conduct of the Development, Manufacturing or Commercialization of Licensed Compounds and Licensed Products, and have a further common legal interest in defending against any actual or prospective Third Party claims based on allegations of misuse or infringement of intellectual property rights relating to the Development, Manufacturing or Commercialization of Licensed Compounds and Licensed Products. Accordingly, Day One and MabCare agree that all such information and materials obtained by Day One or MabCare from each other will be used solely for purposes of the Parties’ common legal interests with respect to the conduct of the Agreement. All information and materials will be treated as protected by the attorney</w:t>
        <w:noBreakHyphen/>
        <w:t>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w:t>
      </w:r>
    </w:p>
    <w:p>
      <w:pPr>
        <w:pStyle w:val="TextBody"/>
        <w:bidi w:val="0"/>
        <w:spacing w:before="0" w:after="240"/>
        <w:jc w:val="both"/>
        <w:rPr/>
      </w:pPr>
      <w:r>
        <w:rPr>
          <w:rFonts w:ascii="Times New Roman" w:hAnsi="Times New Roman"/>
          <w:b/>
          <w:color w:val="000000"/>
          <w:sz w:val="24"/>
        </w:rPr>
        <w:t>Patent Enforcement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Each Party shall notify the other [*] of becoming aware of any alleged or threatened infringement by a Third Party of any MabCare Patent, Day One Foreground Patent or Joint Foreground Patent which infringement adversely affects or could reasonably be expected to adversely affect the Development, Manufacture, or Commercialization of any Licensed Compound or Licensed Product in the Field in the Territory, or any related declaratory judgment or equivalent action alleging the invalidity, unenforceability or non-infringement of any such Patent Right (“</w:t>
      </w:r>
      <w:r>
        <w:rPr>
          <w:rFonts w:ascii="Times New Roman" w:hAnsi="Times New Roman"/>
          <w:b/>
          <w:color w:val="000000"/>
          <w:sz w:val="24"/>
        </w:rPr>
        <w:t>Competitive Infringement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8.6.2</w:t>
      </w:r>
    </w:p>
    <w:p>
      <w:pPr>
        <w:pStyle w:val="TextBody"/>
        <w:bidi w:val="0"/>
        <w:spacing w:before="0" w:after="240"/>
        <w:jc w:val="both"/>
        <w:rPr/>
      </w:pPr>
      <w:r>
        <w:rPr>
          <w:rFonts w:ascii="Times New Roman" w:hAnsi="Times New Roman"/>
          <w:b/>
          <w:color w:val="000000"/>
          <w:sz w:val="24"/>
        </w:rPr>
        <w:t>Enforcement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Day One or its designee shall have the first right, but not the obligation, to bring and control any legal action to enforce the MabCare Patents and Joint Foreground Patents with respect to a Competitive Infringement in the Day One Territory (such action an “</w:t>
      </w:r>
      <w:r>
        <w:rPr>
          <w:rFonts w:ascii="Times New Roman" w:hAnsi="Times New Roman"/>
          <w:b/>
          <w:color w:val="000000"/>
          <w:sz w:val="24"/>
        </w:rPr>
        <w:t>Enforcement Action</w:t>
      </w:r>
      <w:r>
        <w:rPr>
          <w:color w:val="000000"/>
        </w:rPr>
        <w:t>”</w:t>
      </w:r>
      <w:r>
        <w:rPr>
          <w:rFonts w:ascii="Times New Roman" w:hAnsi="Times New Roman"/>
          <w:color w:val="000000"/>
          <w:sz w:val="24"/>
        </w:rPr>
        <w:t>), [*]. Day One shall keep MabCare reasonably informed as to the status of any such Enforcement Action. If Day One or its designee fails to file an Enforcement Action with respect to, or fails to take steps to abate, a Competitive Infringement in the [*] then MabCare shall have the right, but not the obligation, to bring and control an Enforcement Action for the MabCare Patents and Joint Foreground Patents with respect to such Competitive Infringement,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MabCare or its designee shall have the first right, but not the obligation, to bring and control any Enforcement Action for the Day One Foreground Patents and Joint Foreground Patents with respect to a Competitive Infringement in the MabCare Territory, [*]. MabCare shall keep Day One reasonably informed as to the status of any such Enforcement Action. If MabCare or its designee fails to file an Enforcement Action with respect to, or fails to take steps to abate, a Competitive Infringement in the Territory [*] then Day One shall have the right, but not the obligation, to bring and control an Enforcement Action for the Day One Foreground Patents and Joint Foreground Patents with respect to such Competitive Infringement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Cooperation</w:t>
      </w:r>
      <w:r>
        <w:rPr>
          <w:rFonts w:ascii="Times New Roman" w:hAnsi="Times New Roman"/>
          <w:color w:val="000000"/>
          <w:sz w:val="24"/>
        </w:rPr>
        <w:t xml:space="preserve">. In a connection with any Enforcement Action, each Party shall provide the enforcing Party with all reasonable assistance in such action, at the enforcing Party’s request and expense, including joining such Enforcement Action if required by law or at the reasonable request of the enforcing Party and providing access to relevant documents and other evidence, and making its employees reasonably available during business hours. The non-enforcing Party shall be entitled to separate representation in an Enforcement Action by counsel of its own choice and at its own cost and expense, but such Party shall at all times cooperate fully with the enforcing Party.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Settlement</w:t>
      </w:r>
      <w:r>
        <w:rPr>
          <w:rFonts w:ascii="Times New Roman" w:hAnsi="Times New Roman"/>
          <w:color w:val="000000"/>
          <w:sz w:val="24"/>
        </w:rPr>
        <w:t>. A settlement, consent judgment or other voluntary final disposition of a Competitive Infringement may be entered into by the enforcing Party without the consent of the non-enforcing Party; provided, however, that any such settlement, consent judgment or other disposition shall not, without the prior written consent of the non-enforcing Party,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Recoveries</w:t>
      </w:r>
      <w:r>
        <w:rPr>
          <w:rFonts w:ascii="Times New Roman" w:hAnsi="Times New Roman"/>
          <w:color w:val="000000"/>
          <w:sz w:val="24"/>
        </w:rPr>
        <w:t xml:space="preserve">. Any recoveries resulting from an Enforcement Action brought pursuant to Section 8.6.2(a) or Section 8.6.2(b) shall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8.6.3</w:t>
      </w:r>
    </w:p>
    <w:p>
      <w:pPr>
        <w:pStyle w:val="TextBody"/>
        <w:bidi w:val="0"/>
        <w:spacing w:before="0" w:after="240"/>
        <w:jc w:val="both"/>
        <w:rPr/>
      </w:pPr>
      <w:r>
        <w:rPr>
          <w:rFonts w:ascii="Times New Roman" w:hAnsi="Times New Roman"/>
          <w:b/>
          <w:color w:val="000000"/>
          <w:sz w:val="24"/>
        </w:rPr>
        <w:t>Joint Foreground Patents (Other Infringement)</w:t>
      </w:r>
      <w:r>
        <w:rPr>
          <w:rFonts w:ascii="Times New Roman" w:hAnsi="Times New Roman"/>
          <w:color w:val="000000"/>
          <w:sz w:val="24"/>
        </w:rPr>
        <w:t>. Each Party shall notify the other [*] of becoming aware of any alleged or threatened infringement by a Third Party of any Joint Foreground Patent[*].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8.6.4</w:t>
      </w:r>
    </w:p>
    <w:p>
      <w:pPr>
        <w:pStyle w:val="TextBody"/>
        <w:bidi w:val="0"/>
        <w:spacing w:before="0" w:after="240"/>
        <w:jc w:val="both"/>
        <w:rPr/>
      </w:pPr>
      <w:r>
        <w:rPr>
          <w:rFonts w:ascii="Times New Roman" w:hAnsi="Times New Roman"/>
          <w:b/>
          <w:color w:val="000000"/>
          <w:sz w:val="24"/>
        </w:rPr>
        <w:t>Day One Patents</w:t>
      </w:r>
      <w:r>
        <w:rPr>
          <w:rFonts w:ascii="Times New Roman" w:hAnsi="Times New Roman"/>
          <w:color w:val="000000"/>
          <w:sz w:val="24"/>
        </w:rPr>
        <w:t>. Subject to Section 8.6.2(b), as between the Parties, Day One shall have the sole right, but not the obligation, to enforce the Day One Patents or take any steps to abate an alleged or actual Third Party infringement of any Day One Patent worldwide,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8.6.5</w:t>
      </w:r>
    </w:p>
    <w:p>
      <w:pPr>
        <w:pStyle w:val="TextBody"/>
        <w:bidi w:val="0"/>
        <w:spacing w:before="0" w:after="240"/>
        <w:jc w:val="both"/>
        <w:rPr/>
      </w:pPr>
      <w:r>
        <w:rPr>
          <w:rFonts w:ascii="Times New Roman" w:hAnsi="Times New Roman"/>
          <w:b/>
          <w:color w:val="000000"/>
          <w:sz w:val="24"/>
        </w:rPr>
        <w:t>MabCare Patents</w:t>
      </w:r>
      <w:r>
        <w:rPr>
          <w:rFonts w:ascii="Times New Roman" w:hAnsi="Times New Roman"/>
          <w:color w:val="000000"/>
          <w:sz w:val="24"/>
        </w:rPr>
        <w:t>. As between the Parties, MabCare shall have the sole right, but not the obligation, to enforce the MabCare Patents or take any steps to abate an alleged or actual Third Party infringement of any MabCare Patent in the MabCare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w:t>
      </w:r>
    </w:p>
    <w:p>
      <w:pPr>
        <w:pStyle w:val="TextBody"/>
        <w:bidi w:val="0"/>
        <w:spacing w:before="0" w:after="240"/>
        <w:jc w:val="both"/>
        <w:rPr/>
      </w:pPr>
      <w:r>
        <w:rPr>
          <w:rFonts w:ascii="Times New Roman" w:hAnsi="Times New Roman"/>
          <w:b/>
          <w:color w:val="000000"/>
          <w:sz w:val="24"/>
        </w:rPr>
        <w:t>Infringement of Third Party Rights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8.7.1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Each Party shall promptly notify the other Party in writing [*] after receiving a notice of a claim or assertion that any Licensed Compound or Licensed Product, or any MabCare Technology, Day One Technology or Joint Foreground IP infringes or misappropriates any Third Party’s Patent Rights or other intellectual property rights in any country (“</w:t>
      </w:r>
      <w:r>
        <w:rPr>
          <w:rFonts w:ascii="Times New Roman" w:hAnsi="Times New Roman"/>
          <w:b/>
          <w:color w:val="000000"/>
          <w:sz w:val="24"/>
        </w:rPr>
        <w:t>Third Party Infringement Claim</w:t>
      </w:r>
      <w:r>
        <w:rPr>
          <w:color w:val="000000"/>
        </w:rPr>
        <w:t>”</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8.7.2</w:t>
      </w:r>
    </w:p>
    <w:p>
      <w:pPr>
        <w:pStyle w:val="TextBody"/>
        <w:bidi w:val="0"/>
        <w:spacing w:before="0" w:after="240"/>
        <w:jc w:val="both"/>
        <w:rPr/>
      </w:pPr>
      <w:r>
        <w:rPr>
          <w:rFonts w:ascii="Times New Roman" w:hAnsi="Times New Roman"/>
          <w:b/>
          <w:color w:val="000000"/>
          <w:sz w:val="24"/>
        </w:rPr>
        <w:t>Defense</w:t>
      </w:r>
      <w:r>
        <w:rPr>
          <w:rFonts w:ascii="Times New Roman" w:hAnsi="Times New Roman"/>
          <w:color w:val="000000"/>
          <w:sz w:val="24"/>
        </w:rPr>
        <w:t xml:space="preserve">[*] as between the Parties, the alleged infringing Party shall have the right, but not the obligation, [*] to control the defense and settlement of such Third Party Infringement Claim,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8.8</w:t>
      </w:r>
    </w:p>
    <w:p>
      <w:pPr>
        <w:pStyle w:val="TextBody"/>
        <w:bidi w:val="0"/>
        <w:spacing w:before="0" w:after="240"/>
        <w:jc w:val="both"/>
        <w:rPr/>
      </w:pPr>
      <w:r>
        <w:rPr>
          <w:rFonts w:ascii="Times New Roman" w:hAnsi="Times New Roman"/>
          <w:b/>
          <w:color w:val="000000"/>
          <w:sz w:val="24"/>
        </w:rPr>
        <w:t>Patents Licensed From Third Parties</w:t>
      </w:r>
      <w:r>
        <w:rPr>
          <w:rFonts w:ascii="Times New Roman" w:hAnsi="Times New Roman"/>
          <w:color w:val="000000"/>
          <w:sz w:val="24"/>
        </w:rPr>
        <w:t>. Notwithstanding anything to the contrary herein, the Parties agree and acknowledge that, Day One’s rights under Section 8.2, Section 8.3, Section 8.4, Section 8.6 and Section 8.7 with respect to any MabCare Patent that is licensed by MabCare pursuant to the Hyslink License Agreement (each, a “</w:t>
      </w:r>
      <w:r>
        <w:rPr>
          <w:rFonts w:ascii="Times New Roman" w:hAnsi="Times New Roman"/>
          <w:b/>
          <w:color w:val="000000"/>
          <w:sz w:val="24"/>
        </w:rPr>
        <w:t>Hyslink Licensed Patent</w:t>
      </w:r>
      <w:r>
        <w:rPr>
          <w:color w:val="000000"/>
        </w:rPr>
        <w:t>”</w:t>
      </w:r>
      <w:r>
        <w:rPr>
          <w:rFonts w:ascii="Times New Roman" w:hAnsi="Times New Roman"/>
          <w:color w:val="000000"/>
          <w:sz w:val="24"/>
        </w:rPr>
        <w:t xml:space="preserve">) shall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be subject to the rights retained by Hyslink pursuant the Hyslink License Agreement. Without limiting the foregoing,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8.9</w:t>
      </w:r>
    </w:p>
    <w:p>
      <w:pPr>
        <w:pStyle w:val="TextBody"/>
        <w:bidi w:val="0"/>
        <w:spacing w:before="0" w:after="240"/>
        <w:jc w:val="both"/>
        <w:rPr/>
      </w:pPr>
      <w:r>
        <w:rPr>
          <w:rFonts w:ascii="Times New Roman" w:hAnsi="Times New Roman"/>
          <w:b/>
          <w:color w:val="000000"/>
          <w:sz w:val="24"/>
        </w:rPr>
        <w:t>Patent Marking</w:t>
      </w:r>
      <w:r>
        <w:rPr>
          <w:rFonts w:ascii="Times New Roman" w:hAnsi="Times New Roman"/>
          <w:color w:val="000000"/>
          <w:sz w:val="24"/>
        </w:rPr>
        <w:t>. Day One shall mark all Licensed Products in accordance with the applicable patent marking laws and shall require all of its Affiliates and Sublicensees to do the same.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8.10</w:t>
      </w:r>
    </w:p>
    <w:p>
      <w:pPr>
        <w:pStyle w:val="TextBody"/>
        <w:bidi w:val="0"/>
        <w:spacing w:before="0" w:after="240"/>
        <w:jc w:val="both"/>
        <w:rPr/>
      </w:pPr>
      <w:r>
        <w:rPr>
          <w:rFonts w:ascii="Times New Roman" w:hAnsi="Times New Roman"/>
          <w:b/>
          <w:color w:val="000000"/>
          <w:sz w:val="24"/>
        </w:rPr>
        <w:t>Trademarks</w:t>
      </w:r>
      <w:r>
        <w:rPr>
          <w:rFonts w:ascii="Times New Roman" w:hAnsi="Times New Roman"/>
          <w:color w:val="000000"/>
          <w:sz w:val="24"/>
        </w:rPr>
        <w:t>. Day One will solely own all right, title and interest in and to any trademarks adopted for use with the Licensed Products in the Field (“</w:t>
      </w:r>
      <w:r>
        <w:rPr>
          <w:rFonts w:ascii="Times New Roman" w:hAnsi="Times New Roman"/>
          <w:b/>
          <w:color w:val="000000"/>
          <w:sz w:val="24"/>
        </w:rPr>
        <w:t>Product Trademarks</w:t>
      </w:r>
      <w:r>
        <w:rPr>
          <w:color w:val="000000"/>
        </w:rPr>
        <w:t>”</w:t>
      </w:r>
      <w:r>
        <w:rPr>
          <w:rFonts w:ascii="Times New Roman" w:hAnsi="Times New Roman"/>
          <w:color w:val="000000"/>
          <w:sz w:val="24"/>
        </w:rPr>
        <w:t xml:space="preserve">) in the Day One Territory, and will be responsible for the selection, registration, filing, maintenance and enforcement thereof. MabCare will solely own all right, title and interest in and to any Product Trademarks in the MabCare Territory, and will be responsible for the selection, registration, filing, maintenance and enforcement thereof. Each Party will consider in good faith comments of the other Party regarding the Product Trademarks. Neither Party nor any of its Affiliates will at any time do or authorize to be done any act or thing which is likely to materially impair the rights of the other Party’s trademarks or interests therein, and will not at any time claim any right of interest in or to such marks or the registrations or applications therefor. Neither MabCare nor any of its Affiliates will use Day One’s or any of its Affiliates’ trademarks or any trademark that is confusingly similar thereto.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REPRESENTATIONS, WARRANTIES, AND COVENANTS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0" w:after="240"/>
        <w:jc w:val="both"/>
        <w:rPr/>
      </w:pPr>
      <w:r>
        <w:rPr>
          <w:rFonts w:ascii="Times New Roman" w:hAnsi="Times New Roman"/>
          <w:b/>
          <w:color w:val="000000"/>
          <w:sz w:val="24"/>
        </w:rPr>
        <w:t>Representations, Warranties of Each Party</w:t>
      </w:r>
      <w:r>
        <w:rPr>
          <w:rFonts w:ascii="Times New Roman" w:hAnsi="Times New Roman"/>
          <w:color w:val="000000"/>
          <w:sz w:val="24"/>
        </w:rPr>
        <w:t>.</w:t>
      </w:r>
      <w:r>
        <w:rPr>
          <w:color w:val="000000"/>
        </w:rPr>
        <w:t xml:space="preserve"> </w:t>
      </w:r>
      <w:r>
        <w:rPr>
          <w:rFonts w:ascii="Times New Roman" w:hAnsi="Times New Roman"/>
          <w:color w:val="000000"/>
          <w:sz w:val="24"/>
        </w:rPr>
        <w:t>Each Party represents and warrants to the other Party, as of the Effective Date,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duly organized, validly existing and in good standing in its jurisdiction of 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has full corporate power and authority to execute, deliver and perform this Agreement, and has taken all corporate action required by Applicable Laws and its organizational documents to authorize the execution and delivery of this Agreement and the consummation of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has been duly executed by it and is legally binding upon it and enforceable in accordance with its 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and delivery of this Agreement and all other instruments and documents required to be executed pursuant to this Agreement, the contemplated performance of its covenants and responsibilities hereunder, and the consummation of the transactions contemplated hereby do not and shall not (a) conflict with or result in a breach of any provision of its organizational documents, (b) result in a breach of any agreement to which it or its Affiliate is a party, or (c) violate any Applicable Laws.</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w:t>
      </w:r>
    </w:p>
    <w:p>
      <w:pPr>
        <w:pStyle w:val="TextBody"/>
        <w:bidi w:val="0"/>
        <w:spacing w:before="0" w:after="240"/>
        <w:jc w:val="both"/>
        <w:rPr/>
      </w:pPr>
      <w:r>
        <w:rPr>
          <w:rFonts w:ascii="Times New Roman" w:hAnsi="Times New Roman"/>
          <w:b/>
          <w:color w:val="000000"/>
          <w:sz w:val="24"/>
        </w:rPr>
        <w:t>Representations and Warranties of MabCare</w:t>
      </w:r>
      <w:r>
        <w:rPr>
          <w:rFonts w:ascii="Times New Roman" w:hAnsi="Times New Roman"/>
          <w:color w:val="000000"/>
          <w:sz w:val="24"/>
        </w:rPr>
        <w:t xml:space="preserve">. MabCare represents and warrants to Day One, as of the Effective Date, that: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MabCare has the right, power and authority to grant the rights and licenses granted to Day One hereunder, and MabCare is the sole and exclusive owner of, or otherwise Controls, the MabCare Technology licensed to Day One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MabCare Technology comprises all Patents and Know-How Controlled by MabCare which are necessary or reasonably useful for the Development, Manufacture, Commercialization or exploitation of the Licensed Compounds and Licensed Products in the Day One Territory as contemplated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Schedule 9.2.3, none of the licenses or rights granted by MabCare to Day One under this Agreement as of the Effective Date are subject to any in-license or other similar agreement with another Person regarding any intellectual property rights licensed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MabCare nor any of its Affiliates have (a) granted any license, covenant not to sue, waiver, or other right under the MabCare Technology, or with respect to the Licensed Compounds or Licensed Products, that is inconsistent with the license and rights granted to Day One hereunder, and the MabCare Technology, Licensed Compounds and Licensed Products are free and clear of liens, charges and encumbrances, or (b) entered into any settlement, non-competition agreement, restrictive covenant, or any other agreement restricting the ownership, use or exploitation of the MabCare Technology licensed to Day One hereunder or the Licensed Compounds or Licensed Products;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restrictions or requirements of any Governmental Authority or any Person that provided funding to MabCare or its Affiliates, that (a) prevent, preclude or restrict MabCare from granting the license under the MabCare Technology granted to Day One hereunder, or transferring to Day One any of the MabCare Technology, the MabCare Materials, Existing Inventory or the Licensed Compounds as set forth in this Agreement or (b) otherwise encumber Day One’s practice of the license and rights granted to Day One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no Governmental Authority has any rights to the MabCare Technology licensed to Day One hereunder, and neither MabCare nor any of its Affiliates has any obligations to such entities with respect thereto, and (b) without limiting the foregoing (a), the MabCare Technology is not the subject of any licenses, options, or other rights of any Governmental Authority, within or outside the United States, due to such Governmental Authority’s funding of research and development or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Schedule 1.104 lists all MabCare Patents existing as of the Effective Date and all such Patent Rights listed on Schedule 1.104 (a) are either solely and exclusively owned by MabCare, or exclusively licensed to MabCare, in each case as indicated on Schedule 1.104, and (b) have been filed, prosecuted and maintained properly and correctly and in compliance with all Applicable Laws, including any duties of candor to applicable patent offices, and all applicable fees have been paid on or before any final due date for payment;</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9.2.8</w:t>
      </w:r>
    </w:p>
    <w:p>
      <w:pPr>
        <w:pStyle w:val="TextBody"/>
        <w:bidi w:val="0"/>
        <w:spacing w:before="0" w:after="240"/>
        <w:jc w:val="both"/>
        <w:rPr/>
      </w:pPr>
      <w:r>
        <w:rPr>
          <w:rFonts w:ascii="Times New Roman" w:hAnsi="Times New Roman"/>
          <w:color w:val="000000"/>
          <w:sz w:val="24"/>
        </w:rPr>
        <w:t xml:space="preserve">no claim or action has been brought or threatened in writing by any Third Party alleging that any of the MabCare Patents are invalid or unenforceable, and there are no pending, alleged or threatened, (a) </w:t>
      </w:r>
      <w:r>
        <w:rPr>
          <w:rFonts w:ascii="Times New Roman" w:hAnsi="Times New Roman"/>
          <w:i/>
          <w:color w:val="000000"/>
          <w:sz w:val="24"/>
        </w:rPr>
        <w:t>inter partes</w:t>
      </w:r>
      <w:r>
        <w:rPr>
          <w:color w:val="000000"/>
        </w:rPr>
        <w:t xml:space="preserve"> </w:t>
      </w:r>
      <w:r>
        <w:rPr>
          <w:rFonts w:ascii="Times New Roman" w:hAnsi="Times New Roman"/>
          <w:color w:val="000000"/>
          <w:sz w:val="24"/>
        </w:rPr>
        <w:t xml:space="preserve">reviews, post-grant reviews, interferences, re-examinations, or oppositions involving the MabCare Patents that are in or before any patent office (or other Governmental Authority performing similar functions) or (b) inventorship or ownership challenges involving the MabCare Patents that are in or before any patent office or other Governmental Authority;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Knowledge of MabCare, each MabCare Patent properly identifies the inventor(s) of the inventions claimed in such MabCare Patents, and each such inventor has assigned his or her entire right, title and interest in and to the applicable MabCare Patent to MabCare (or in the case of MabCare Patents exclusively licensed to MabCare as set forth on Schedule 1.104, the licensor of such Patent Right) and any instrument assigning such inventors’ right, title and interest in such MabCare Patent is valid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Existing Agreements are in full force and effect, (b) MabCare and its Affiliates are in compliance in all material respects with the terms and conditions of each Existing Agreement, including any payment obligations thereunder, and (c) MabCare or its Affiliates have not received from or provided to any counterparty to an Existing Agreement any notice of breach or default, or asserting or requesting termination, of such Existing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MabCare Manufacturing Agreements are in full force and effect, (b) MabCare and its Affiliates are in compliance in all material respects with the terms and conditions of each MabCare Manufacturing Agreement, including any payment obligations thereunder, and (c) MabCare or its Affiliates have not received from or provided to any counterparty to a MabCare Manufacturing Agreement any notice of breach or default, or asserting or requesting termination, of such MabCare Manufacturing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 there are no agreements between MabCare and a Third Party pursuant to which MabCare engaged such Third Party to conduct any material Manufacturing-related activities for the Existing Inventory, Licensed Compounds or Licensed Products;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MabCare’s Knowledge, the Existing Inventory includes all inventory of Licensed Product in the possession or control of MabCare or its Affiliates, and (b) neither MabCare nor its Affiliates are currently Manufacturing (i.e., with outstanding work orders) any Licensed Compound or Licensed Product either itself or themselves or through any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MabCare has fulfilled all of its payment obligations under the Abmart Agreement, and (a) MabCare solely owns all right, title and interest in and to Ab13, and (b) MabCare has acquired the right to use the MabCare Materials as such MabCare Materials have been used as of the Effective Date, subject to the QuaCell Agreement and the Genomeditech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there are no pending or threatened (in writing) claims, actions, suits or proceedings alleging that the MabCare Technology or the Licensed Compounds or Licensed Products, or any Development or Manufacture thereof conducted prior to the Effective Date, infringes or misappropriates the intellectual property rights of any Third Party, and to the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Knowledge of MabCare, no facts or circumstances exist that would reasonably be expected to give rise to any such claims, actions, suits or proceedings with respect to any issued Patent Rights, Know-How or other intellectual property of any Third Party existing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Knowledge of MabCare, the use of the MabCare Technology (including the MabCare Materials, subject to the QuaCell Agreement and the Genomeditech Agreement), Existing Inventory, or Development, Manufacture or Commercialization of the Licensed Compounds and Licensed Products, in each case as contemplated under this Agreement (a) does not infringe any claim of an issued Third Party Patent Right, or (b) does not misappropriate any Know-How or other intellectual property of any Third Party;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Knowledge of MabCare, no Third Party is infringing or misappropriating, has infringed or misappropriated or is threatening to infringe or misappropriate the MabCare Patents or the MabCare Know-How, and neither MabCare nor any of its Affiliates has made a claim against a Third Party alleging that such Third Party is infringing or misappropriating or has infringed or has misappropriated any MabCare Patents or MabCare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MabCare and its Affiliates have conducted the research and development program for CB-002, and all Development and Manufacturing of the Licensed Compounds and Licensed Products, in material compliance with Applicable Laws with respect to IND applications in the U.S. and Mainland China;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MabCare nor any of its Affiliates (a) are or have been at any time been debarred under 21 U.S.C. § 335a (or any foreign equivalent), or (b) are employing or using, or have employed or otherwise used, in any capacity the services of any person or entity debarred under 21 U.S.C. § 335a (or any foreign equivalent) in performing any research and development activities relating to the Licensed Compounds or Licensed Products;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MabCare nor any of its Affiliates, to the Knowledge of MabCare, nor any of its or their respective directors, officers or employees, have made a knowingly false or fraudulent statement to any Regulatory Authority with respect to the Development of the Licensed Compounds or Licensed Products, or knowingly failed to disclose a material fact required under Applicable Law to be disclosed to any Regulatory Authority with respect to the development of the Licensed Compounds or Licensed Products;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MabCare has disclosed or otherwise made available to Day One for review all material information and documents in MabCare’s possession and control as of the Effective Date that pertain to any Licensed Compound or Licensed Product, or the exploitation thereof, and all such information and documents are accurate in all material respects;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Schedule 9.2.22 sets forth all of the INDs, MAAs and Regulatory Approvals for the Licensed Compounds and Licensed Products, in the name of, or otherwise held by or on behalf of, MabCare or any of its Affiliates, (b) each of the INDs, MAAs and Regulatory Approvals set forth on Schedule 9.2.22 have been approved by the FDA or other applicable Regulatory Authority and are in full force and good standing, and (c) neither MabCare nor any of its Affiliates has received any notice in writing, or otherwise has knowledge of any facts, which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or would reasonably be expected to have, led MabCare (or its Affiliate) to believe that any of the INDs, MAAs or Regulatory Approvals relating to the Licensed Products are not currently in, or may not with the passage of time remain in, good standing with the FDA or other applicable Regulatory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MabCare has disclosed to Day One all material correspondence between MabCare (or any of its Affiliates) and the FDA, National Medical Products Administration (NMPA) or other Regulatory Authority regarding the Licensed Compounds and Licensed Products;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MabCare has disclosed to Day One complete and accurate copies 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information and data for the Licensed Product submitted to the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agreements with Third Party subcontractors (including a contract research organization and CMO), neither MabCare nor any of its Affiliates has granted a license or other right (including an option) to a Third Party, or is actively engaged in discussions with a Third Party for the grant of a license or other right (including an option) to such Third Party, under the MabCare Technology to Develop, Manufacture or Commercialize Licensed Compounds and Licensed Products in the Field in the MabCare Territory;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legal claims, judgments or settlements against or owed by MabCare or its Affiliates, or pending or threatened in writing, in each case relating to antitrust, anti-competition, anti-bribery or corruption violations.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w:t>
      </w:r>
    </w:p>
    <w:p>
      <w:pPr>
        <w:pStyle w:val="TextBody"/>
        <w:bidi w:val="0"/>
        <w:spacing w:before="0" w:after="240"/>
        <w:jc w:val="both"/>
        <w:rPr/>
      </w:pPr>
      <w:r>
        <w:rPr>
          <w:rFonts w:ascii="Times New Roman" w:hAnsi="Times New Roman"/>
          <w:b/>
          <w:color w:val="000000"/>
          <w:sz w:val="24"/>
        </w:rPr>
        <w:t>Mutual Covenants</w:t>
      </w:r>
      <w:r>
        <w:rPr>
          <w:rFonts w:ascii="Times New Roman" w:hAnsi="Times New Roman"/>
          <w:color w:val="000000"/>
          <w:sz w:val="24"/>
        </w:rPr>
        <w:t>. Each Party covenants to the other Party that in the course of performing its obligations or exercising its rights under this Agreement, such Party shall, and shall procure that such Party’s Affiliates and (sub)licensees and subcontractors, comply with all Applicable Law, including, as applicable, GMP, GLP and GCP. Without limiting the foregoing, the Parties additionally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9.3.1</w:t>
      </w:r>
    </w:p>
    <w:p>
      <w:pPr>
        <w:pStyle w:val="TextBody"/>
        <w:bidi w:val="0"/>
        <w:spacing w:before="0" w:after="240"/>
        <w:jc w:val="both"/>
        <w:rPr/>
      </w:pPr>
      <w:r>
        <w:rPr>
          <w:rFonts w:ascii="Times New Roman" w:hAnsi="Times New Roman"/>
          <w:b/>
          <w:color w:val="000000"/>
          <w:sz w:val="24"/>
        </w:rPr>
        <w:t>Data Privacy</w:t>
      </w:r>
      <w:r>
        <w:rPr>
          <w:rFonts w:ascii="Times New Roman" w:hAnsi="Times New Roman"/>
          <w:color w:val="000000"/>
          <w:sz w:val="24"/>
        </w:rPr>
        <w:t>. Each Party shall: (a) comply with all Applicable Laws in relation to data protection, privacy, or restrictions on, or requirements in respect of, the processing of Personal Data of any kind, including the Health Insurance Portability and Accountability Act, General Data Protection Regulation (Regulation (EU) 2016/679) (GDPR), and any equivalent Applicable Law in any other jurisdiction (as any of the foregoing may be amended from time to time, collectively, “</w:t>
      </w:r>
      <w:r>
        <w:rPr>
          <w:rFonts w:ascii="Times New Roman" w:hAnsi="Times New Roman"/>
          <w:b/>
          <w:color w:val="000000"/>
          <w:sz w:val="24"/>
        </w:rPr>
        <w:t>Data Protection Laws</w:t>
      </w:r>
      <w:r>
        <w:rPr>
          <w:color w:val="000000"/>
        </w:rPr>
        <w:t>”</w:t>
      </w:r>
      <w:r>
        <w:rPr>
          <w:rFonts w:ascii="Times New Roman" w:hAnsi="Times New Roman"/>
          <w:color w:val="000000"/>
          <w:sz w:val="24"/>
        </w:rPr>
        <w:t>) with respect to the collection, use, transfer, storage, destruction, aggregation or other use of subject health information or other Personal Data (as defined in the applicable Data Protection Laws, collectively, “</w:t>
      </w:r>
      <w:r>
        <w:rPr>
          <w:rFonts w:ascii="Times New Roman" w:hAnsi="Times New Roman"/>
          <w:b/>
          <w:color w:val="000000"/>
          <w:sz w:val="24"/>
        </w:rPr>
        <w:t>Personal Data</w:t>
      </w:r>
      <w:r>
        <w:rPr>
          <w:color w:val="000000"/>
        </w:rPr>
        <w:t>”</w:t>
      </w:r>
      <w:r>
        <w:rPr>
          <w:rFonts w:ascii="Times New Roman" w:hAnsi="Times New Roman"/>
          <w:color w:val="000000"/>
          <w:sz w:val="24"/>
        </w:rPr>
        <w:t xml:space="preserve">) in connection with its activities under or in connection with this Agreement, including the Development and Commercialization of any Licensed Product hereunder; (b) implement appropriate and reasonable security processes and controls in connection with its activities under or in connection with this Agreement so as to protect the security and privacy of Personal Data in accordance with Data Protection Laws; and (c) take such steps as necessary to comply with Data Protection Laws to permit such Party to disclose Personal Data to the other Party and to permit the other Party to use and disclose such Personal Data for its own purposes in accordance with this Agreement. Without limiting the foregoing, if required by Applicable Law, the Parties will negotiate and enter into a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written agreement with respect to the collection, storage, transfer, processing and use of Personal Data by the Parties and their Affiliates as contemplated by this Agreement (the “</w:t>
      </w:r>
      <w:r>
        <w:rPr>
          <w:rFonts w:ascii="Times New Roman" w:hAnsi="Times New Roman"/>
          <w:b/>
          <w:color w:val="000000"/>
          <w:sz w:val="24"/>
        </w:rPr>
        <w:t>DPA</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9.3.2</w:t>
      </w:r>
    </w:p>
    <w:p>
      <w:pPr>
        <w:pStyle w:val="TextBody"/>
        <w:bidi w:val="0"/>
        <w:spacing w:before="0" w:after="240"/>
        <w:jc w:val="both"/>
        <w:rPr/>
      </w:pPr>
      <w:r>
        <w:rPr>
          <w:rFonts w:ascii="Times New Roman" w:hAnsi="Times New Roman"/>
          <w:b/>
          <w:color w:val="000000"/>
          <w:sz w:val="24"/>
        </w:rPr>
        <w:t>No Debarment or Regulatory Sanction</w:t>
      </w:r>
      <w:r>
        <w:rPr>
          <w:rFonts w:ascii="Times New Roman" w:hAnsi="Times New Roman"/>
          <w:color w:val="000000"/>
          <w:sz w:val="24"/>
        </w:rPr>
        <w:t xml:space="preserve">. Neither Party shall employ (or, to its Knowledge, use any contractor, subcontractor, distributor or other Persons that provide services to such Party in connection with this Agreement that employs) any Person that is debarred, disqualified, blacklisted, banned or subject to any similar sanction by any applicable Regulatory Authority (including, as applicable, the FDA pursuant to its authority under Sections 306(a) and (b) of the FFDCA) or that is the subject of any investigation or proceeding which may result in debarment, disqualification, blacklisting, banning or any similar sanction by any applicable Regulatory Authority, in each case, in connection with the performance of its activities under this Agreement. Each Party shall notify the other Party in writing promptly if it or any such Person who is performing services hereunder is debarred, disqualified, blacklisted, banned or subject to any similar sanction by any applicable Regulatory Authority or becomes the subject of any such investigation or proceeding.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9.4</w:t>
      </w:r>
    </w:p>
    <w:p>
      <w:pPr>
        <w:pStyle w:val="TextBody"/>
        <w:bidi w:val="0"/>
        <w:spacing w:before="0" w:after="240"/>
        <w:jc w:val="both"/>
        <w:rPr/>
      </w:pPr>
      <w:r>
        <w:rPr>
          <w:rFonts w:ascii="Times New Roman" w:hAnsi="Times New Roman"/>
          <w:b/>
          <w:color w:val="000000"/>
          <w:sz w:val="24"/>
        </w:rPr>
        <w:t>MabCare Covenants.</w:t>
      </w:r>
      <w:r>
        <w:rPr>
          <w:color w:val="000000"/>
        </w:rPr>
        <w:t xml:space="preserve"> </w:t>
      </w:r>
      <w:r>
        <w:rPr>
          <w:rFonts w:ascii="Times New Roman" w:hAnsi="Times New Roman"/>
          <w:color w:val="000000"/>
          <w:sz w:val="24"/>
        </w:rPr>
        <w:t>MabCare hereby covenants to Day One during the Term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remain in compliance in all material respects with each Existing Agreement, and it shall promptly provide to Day One a copy of any notice received from or provided to any counterparty to an Existing Agreement, including any notice of breach or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not, and shall cause its Affiliates to not, without Day One’s prior written consent, (i) terminate any Existing In License Agreement, or (ii) modify or amend, or waive any of its rights under, any Existing In License Agreement, in each case ((i) and (ii)) in a manner that could reasonably be expected to adversely affect any of Day One’s rights or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not, without Day One’s prior written consent, assign or otherwise transfer or novate any Existing In License Agreement (or agree to do any of the foregoing) except in connection with a permitted assignment pursuant to Section 12.1;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time it has an obligation to supply and utilizes a MabCare Manufacturing Agreement to supply, the Licensed Product to Day One as provided herein or under the Clinical Supply Agreement, it shall remain in compliance in all material respects with such MabCare Manufacturing Agreement(s), and it shall promptly provide to Day One a copy of any notice received from or provided to any counterparty to a MabCare Manufacturing Agreement that would reasonably be expected to adversely affect MabCare’s obligation to supply the Licensed Product to Day One, including any notice of breach or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the time it has an obligation to supply and utilizes a MabCare Manufacturing Agreement to supply, the Licensed Product to Day One as provided herein or under the Clinical Supply Agreement, it shall not, and shall cause its Affiliates to not, without Day One’s prior written consent, (i) terminate such MabCare Manufacturing Agreement(s), or (ii) modify or amend, or waive any of its rights under, such MabCare Manufacturing Agreement(s), in each case ((i) and (ii)) in a manner that could reasonably be expected to adversely affect any of Day One’s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rights or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time it has an obligation to supply and utilizes a MabCare Manufacturing Agreement to supply, the Licensed Product to Day One as provided herein or under the Clinical Supply Agreement,, it shall not, without Day One’s prior written consent (not to be unreasonably withheld, conditioned or delayed), assign or otherwise transfer or novate such MabCare Manufacturing Agreement(s) (or agree to do any of the foregoing), except in connection with a permitted assignment pursuant to Section 12.1;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shall (and shall cause its Affiliate to) maintain in force all necessary consents, licenses, permits, approvals and other permissions to enable it to perform its obligations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will not (and will cause its Affiliates not to), without Day One’s prior written consent, grant any liens or security interests with respect to any of the MabCare Technology in a manner that would conflict with or impair any of the rights or licenses granted to Day One 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will not (and will cause its Affiliates not to), without Day One’s prior written consent, grant to any Third Party any license or other right under the MabCare Technology that would conflict with or impair the rights or licenses granted to Day One hereunder;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will not (and will cause its Affiliates not to), without Day One’s prior written consent, transfer or assign ownership of any MabCare Technology except in connection with a permitted assignment of this Agreement in accordance with Section 12.1.1.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9.5</w:t>
      </w:r>
    </w:p>
    <w:p>
      <w:pPr>
        <w:pStyle w:val="TextBody"/>
        <w:bidi w:val="0"/>
        <w:spacing w:before="0" w:after="240"/>
        <w:jc w:val="both"/>
        <w:rPr/>
      </w:pPr>
      <w:r>
        <w:rPr>
          <w:rFonts w:ascii="Times New Roman" w:hAnsi="Times New Roman"/>
          <w:b/>
          <w:color w:val="000000"/>
          <w:sz w:val="24"/>
        </w:rPr>
        <w:t>Day One Covenants.</w:t>
      </w:r>
      <w:r>
        <w:rPr>
          <w:color w:val="000000"/>
        </w:rPr>
        <w:t xml:space="preserve"> </w:t>
      </w:r>
      <w:r>
        <w:rPr>
          <w:rFonts w:ascii="Times New Roman" w:hAnsi="Times New Roman"/>
          <w:color w:val="000000"/>
          <w:sz w:val="24"/>
        </w:rPr>
        <w:t>Day One hereby covenants to Mab Care during the Term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and shall cause its Affiliates and Sublicensees to, conduct any Development, Manufacturing, Commercialization and other exploitation of any Licensed Compounds and Licensed Product in accordance with all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9.5.2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shall (and shall cause its Affiliate to) maintain in force all necessary consents, licenses, permits, approvals and other permissions to enable it to perform its obligations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9.5.3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will not (and will cause its Affiliates not to), without MabCare’s prior written consent, grant to any Third Party any license or other right under the Day One Technology, that would conflict with or impair the rights or licenses granted to MabCare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9.6</w:t>
      </w:r>
    </w:p>
    <w:p>
      <w:pPr>
        <w:pStyle w:val="TextBody"/>
        <w:bidi w:val="0"/>
        <w:spacing w:before="0" w:after="240"/>
        <w:jc w:val="both"/>
        <w:rPr/>
      </w:pPr>
      <w:r>
        <w:rPr>
          <w:rFonts w:ascii="Times New Roman" w:hAnsi="Times New Roman"/>
          <w:b/>
          <w:color w:val="000000"/>
          <w:sz w:val="24"/>
        </w:rPr>
        <w:t xml:space="preserve">No Other Warranties. </w:t>
      </w:r>
      <w:r>
        <w:rPr>
          <w:rFonts w:ascii="Times New Roman" w:hAnsi="Times New Roman"/>
          <w:color w:val="000000"/>
          <w:sz w:val="24"/>
        </w:rPr>
        <w:t xml:space="preserve">EXCEPT AS EXPRESSLY STATED IN THIS </w:t>
      </w:r>
      <w:r>
        <w:rPr>
          <w:rFonts w:ascii="Times New Roman" w:hAnsi="Times New Roman"/>
          <w:caps/>
          <w:color w:val="000000"/>
          <w:sz w:val="24"/>
        </w:rPr>
        <w:t>AGREEMENT</w:t>
      </w:r>
      <w:r>
        <w:rPr>
          <w:rFonts w:ascii="Times New Roman" w:hAnsi="Times New Roman"/>
          <w:color w:val="000000"/>
          <w:sz w:val="24"/>
        </w:rPr>
        <w:t xml:space="preserve">, (A) NO REPRESENTATION OR WARRANTY WHATSOEVER IS MADE OR GIVEN BY OR ON BEHALF OF DAY ONE, MABCARE OR THEIR RESPECTIVE AFFILIATES; AND (B) ALL OTHER WARRANTIES, WHETHER ARISING BY OPERATION OF LAW OR OTHERWISE, ARE EXPRESSLY DISCLAIMED BY THE PARTIES, INCLUDING ANY IMPLIED WARRANTIES OF MERCHANTABILITY,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FITNESS FOR A PARTICULAR PURPOSE AND NON-INFRINGEMENT. DAY ONE MAKES NO WARRANTY, EITHER EXPRESS OR IMPLIED, THAT ITS DEVELOPMENT, MANUFACTURING OR COMMERCIALIZATION EFFORTS FOR THE LICENSED COMPOUNDS OR LICENSED PRODUCTS WILL BE SUCCESSFUL OR ACHIEVE ANY PARTICULAR RESULT.</w:t>
      </w:r>
      <w:r>
        <w:rPr>
          <w:color w:val="00000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INDEMNIFICATION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Indemnification by Day One</w:t>
      </w:r>
      <w:r>
        <w:rPr>
          <w:rFonts w:ascii="Times New Roman" w:hAnsi="Times New Roman"/>
          <w:color w:val="000000"/>
          <w:sz w:val="24"/>
        </w:rPr>
        <w:t>. Day One shall defend, indemnify, and hold harmless MabCare, its Affiliates and its and their respective directors, officers, employees and agents (each, a “</w:t>
      </w:r>
      <w:r>
        <w:rPr>
          <w:rFonts w:ascii="Times New Roman" w:hAnsi="Times New Roman"/>
          <w:b/>
          <w:color w:val="000000"/>
          <w:sz w:val="24"/>
        </w:rPr>
        <w:t>MabCare Indemnitee</w:t>
      </w:r>
      <w:r>
        <w:rPr>
          <w:color w:val="000000"/>
        </w:rPr>
        <w:t>”</w:t>
      </w:r>
      <w:r>
        <w:rPr>
          <w:rFonts w:ascii="Times New Roman" w:hAnsi="Times New Roman"/>
          <w:color w:val="000000"/>
          <w:sz w:val="24"/>
        </w:rPr>
        <w:t>) from and against any and all liabilities, costs, expenses, and losses (including reasonable legal expenses and attorneys’ fees) (collectively, “</w:t>
      </w:r>
      <w:r>
        <w:rPr>
          <w:rFonts w:ascii="Times New Roman" w:hAnsi="Times New Roman"/>
          <w:b/>
          <w:color w:val="000000"/>
          <w:sz w:val="24"/>
        </w:rPr>
        <w:t>Losses</w:t>
      </w:r>
      <w:r>
        <w:rPr>
          <w:color w:val="000000"/>
        </w:rPr>
        <w:t>”</w:t>
      </w:r>
      <w:r>
        <w:rPr>
          <w:rFonts w:ascii="Times New Roman" w:hAnsi="Times New Roman"/>
          <w:color w:val="000000"/>
          <w:sz w:val="24"/>
        </w:rPr>
        <w:t>), to which any MabCare Indemnitee may become subject as a result of any claim, demand, action, or other proceeding by a Third Party (each, a “</w:t>
      </w:r>
      <w:r>
        <w:rPr>
          <w:rFonts w:ascii="Times New Roman" w:hAnsi="Times New Roman"/>
          <w:b/>
          <w:color w:val="000000"/>
          <w:sz w:val="24"/>
        </w:rPr>
        <w:t>Third Party</w:t>
      </w:r>
      <w:r>
        <w:rPr>
          <w:color w:val="000000"/>
        </w:rPr>
        <w:t xml:space="preserve"> </w:t>
      </w:r>
      <w:r>
        <w:rPr>
          <w:rFonts w:ascii="Times New Roman" w:hAnsi="Times New Roman"/>
          <w:b/>
          <w:color w:val="000000"/>
          <w:sz w:val="24"/>
        </w:rPr>
        <w:t>Claim</w:t>
      </w:r>
      <w:r>
        <w:rPr>
          <w:color w:val="000000"/>
        </w:rPr>
        <w:t>”</w:t>
      </w:r>
      <w:r>
        <w:rPr>
          <w:rFonts w:ascii="Times New Roman" w:hAnsi="Times New Roman"/>
          <w:color w:val="000000"/>
          <w:sz w:val="24"/>
        </w:rPr>
        <w:t>) to the extent such Losses arise out 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Indemnification by MabCare</w:t>
      </w:r>
      <w:r>
        <w:rPr>
          <w:rFonts w:ascii="Times New Roman" w:hAnsi="Times New Roman"/>
          <w:color w:val="000000"/>
          <w:sz w:val="24"/>
        </w:rPr>
        <w:t>. MabCare shall defend, indemnify, and hold harmless Day One, its Affiliates, Sublicensees and its and their respective directors, officers, employees and agents (each, a “</w:t>
      </w:r>
      <w:r>
        <w:rPr>
          <w:rFonts w:ascii="Times New Roman" w:hAnsi="Times New Roman"/>
          <w:b/>
          <w:color w:val="000000"/>
          <w:sz w:val="24"/>
        </w:rPr>
        <w:t>Day One Indemnitee</w:t>
      </w:r>
      <w:r>
        <w:rPr>
          <w:color w:val="000000"/>
        </w:rPr>
        <w:t>”</w:t>
      </w:r>
      <w:r>
        <w:rPr>
          <w:rFonts w:ascii="Times New Roman" w:hAnsi="Times New Roman"/>
          <w:color w:val="000000"/>
          <w:sz w:val="24"/>
        </w:rPr>
        <w:t xml:space="preserve">) from and against any and all Losses to which any Day One Indemnitee may become subject as a result of any Third Party Claim to the extent such Losses arise out of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Procedure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10.3.1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The Party seeking indemnification under Section 10.1 or Section 10.2 (the “</w:t>
      </w:r>
      <w:r>
        <w:rPr>
          <w:rFonts w:ascii="Times New Roman" w:hAnsi="Times New Roman"/>
          <w:b/>
          <w:color w:val="000000"/>
          <w:sz w:val="24"/>
        </w:rPr>
        <w:t>Indemnified Party</w:t>
      </w:r>
      <w:r>
        <w:rPr>
          <w:color w:val="000000"/>
        </w:rPr>
        <w:t>”</w:t>
      </w:r>
      <w:r>
        <w:rPr>
          <w:rFonts w:ascii="Times New Roman" w:hAnsi="Times New Roman"/>
          <w:color w:val="000000"/>
          <w:sz w:val="24"/>
        </w:rPr>
        <w:t>) shall inform the other Party (the “</w:t>
      </w:r>
      <w:r>
        <w:rPr>
          <w:rFonts w:ascii="Times New Roman" w:hAnsi="Times New Roman"/>
          <w:b/>
          <w:color w:val="000000"/>
          <w:sz w:val="24"/>
        </w:rPr>
        <w:t>Indemnifying Party</w:t>
      </w:r>
      <w:r>
        <w:rPr>
          <w:color w:val="000000"/>
        </w:rPr>
        <w:t>”</w:t>
      </w:r>
      <w:r>
        <w:rPr>
          <w:rFonts w:ascii="Times New Roman" w:hAnsi="Times New Roman"/>
          <w:color w:val="000000"/>
          <w:sz w:val="24"/>
        </w:rPr>
        <w:t xml:space="preserve">) of the Third Party Claim giving rise to the obligation to indemnify pursuant to such section [*] after receiving written notice of such Third Party Claim, it being understood and agreed, however, that the failure or delay by an Indemnified Party to timely give such notice shall not affect the indemnification provided hereunder except to the extent the Indemnifying Party is actually and materially prejudiced as a result of such failure or delay to give notice.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10.3.2</w:t>
      </w:r>
    </w:p>
    <w:p>
      <w:pPr>
        <w:pStyle w:val="TextBody"/>
        <w:bidi w:val="0"/>
        <w:spacing w:before="0" w:after="240"/>
        <w:jc w:val="both"/>
        <w:rPr/>
      </w:pPr>
      <w:r>
        <w:rPr>
          <w:rFonts w:ascii="Times New Roman" w:hAnsi="Times New Roman"/>
          <w:b/>
          <w:color w:val="000000"/>
          <w:sz w:val="24"/>
        </w:rPr>
        <w:t xml:space="preserve">Procedure. </w:t>
      </w:r>
      <w:r>
        <w:rPr>
          <w:rFonts w:ascii="Times New Roman" w:hAnsi="Times New Roman"/>
          <w:color w:val="000000"/>
          <w:sz w:val="24"/>
        </w:rPr>
        <w:t xml:space="preserve">The Indemnifying Party shall assume and conduct the defense of the Third Party Claim using counsel of its choice; provided, however, that the Indemnified Party may participate in and monitor such defense with counsel of its choice at its own expense, subject to the Indemnifying Party’s right to control such defense. With respect to any Third Party Claim for which the Indemnifying Party has assumed the defense: [*]. If the Parties cannot agree as to the application of Section 10.1 or Section 10.2 to any Third Party Claim, pending resolution of the dispute pursuant to Section 12.5, the Parties may conduct separate defenses of such Third Party Claim(s), with each Party retaining the right to claim indemnification from the other Party in accordance with Section 10.1 or Section 10.2, as applicable, upon resolution of the underlying claim. If the Indemnifying Party does not assume and conduct the defense of the Third Party Claim as provided above,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Insurance</w:t>
      </w:r>
      <w:r>
        <w:rPr>
          <w:rFonts w:ascii="Times New Roman" w:hAnsi="Times New Roman"/>
          <w:color w:val="000000"/>
          <w:sz w:val="24"/>
        </w:rPr>
        <w:t xml:space="preserve">. [*], each Party, at its own expense, shall maintain commercial general liability insurance, including product liability and other appropriate insurance in an amount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consistent with industry standards in light of its obligations under this Agreement. Each Party shall provide the other Party with evidence of such insurance upon request and shall provide such other Party with [*] prior to the cancellation, non-renewal or material changes in such insurance. Such insurance shall not be construed to create a limit of a Party’s liability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Limitation of Liability</w:t>
      </w:r>
      <w:r>
        <w:rPr>
          <w:rFonts w:ascii="Times New Roman" w:hAnsi="Times New Roman"/>
          <w:color w:val="000000"/>
          <w:sz w:val="24"/>
        </w:rPr>
        <w:t>. NEITHER PARTY OR ITS AFFILIATES SHALL BE LIABLE TO THE OTHER PARTY OR ITS AFFILIATES FOR (A) ANY SPECIAL, CONSEQUENTIAL, INCIDENTAL, PUNITIVE OR INDIRECT DAMAGES, OR (B) ANY LOSS OF PROFITS OR REVENUE, IN EACH CASE ((A) OR (B)) ARISING FROM OR RELATING TO THIS AGREEMENT, REGARDLESS OF WHETHER SUCH CLAIM IS IN CONTRACT, WARRANTY, TORT, NEGLIGENCE, STRICT LIABILITY OR OTHERWISE, AND REGARDLESS OF ANY NOTICE OF THE POSSIBILITY OF SUCH DAMAGES. NOTWITHSTANDING THE FOREGOING, NOTHING IN THIS SECTION 10.5 IS INTENDED TO OR SHALL LIMIT OR RESTRICT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This Agreement shall be effective commencing on the Effective Date and shall expire in its entirety upon the expiration of the last to expire Royalty Term with respect to all Licensed Products in the Day One Territory (the “</w:t>
      </w:r>
      <w:r>
        <w:rPr>
          <w:rFonts w:ascii="Times New Roman" w:hAnsi="Times New Roman"/>
          <w:b/>
          <w:color w:val="000000"/>
          <w:sz w:val="24"/>
        </w:rPr>
        <w:t>Term</w:t>
      </w:r>
      <w:r>
        <w:rPr>
          <w:color w:val="000000"/>
        </w:rPr>
        <w:t>”</w:t>
      </w:r>
      <w:r>
        <w:rPr>
          <w:rFonts w:ascii="Times New Roman" w:hAnsi="Times New Roman"/>
          <w:color w:val="000000"/>
          <w:sz w:val="24"/>
        </w:rPr>
        <w:t>), unless terminated earlier in accordance with this Article 11 or by mutual written agreement of the Parties. Following the expiration of the Royalty Term for a Licensed Product in a country, the license grant to Day One under Section 2.1 shall become non-exclusive, fully paid-up, royalty</w:t>
        <w:noBreakHyphen/>
        <w:t>free, perpetual, and irrevocable for such Licensed Product in such country. Upon the expiration of the Term, (a) the license granted to Day One under Section 2.1 shall become non-exclusive, transferable, sublicensable, fully paid, royalty free, perpetual, and irrevocable in its entirety and (b) the license granted to MabCare under Section 2.2 shall become non-exclusive, transferable, sublicensable, fully paid, royalty free, perpetual, and irrevocable in its entirety with respect to Licensed Products being actively clinically Developed or Commercialized as of the effective date of such expiration.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rFonts w:ascii="Times New Roman" w:hAnsi="Times New Roman"/>
          <w:b/>
          <w:color w:val="000000"/>
          <w:sz w:val="24"/>
        </w:rPr>
        <w:t>Termination by Day One for Convenience</w:t>
      </w:r>
      <w:r>
        <w:rPr>
          <w:rFonts w:ascii="Times New Roman" w:hAnsi="Times New Roman"/>
          <w:color w:val="000000"/>
          <w:sz w:val="24"/>
        </w:rPr>
        <w:t xml:space="preserve">. Day One may terminate this Agreement for convenience in its entirety or on a Licensed Product-by-Licensed Product basis, in each case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rFonts w:ascii="Times New Roman" w:hAnsi="Times New Roman"/>
          <w:b/>
          <w:color w:val="000000"/>
          <w:sz w:val="24"/>
        </w:rPr>
        <w:t>Termination for Material Breach</w:t>
      </w:r>
      <w:r>
        <w:rPr>
          <w:rFonts w:ascii="Times New Roman" w:hAnsi="Times New Roman"/>
          <w:color w:val="000000"/>
          <w:sz w:val="24"/>
        </w:rPr>
        <w:t>. Each Party shall have the right to terminate this Agreement immediately in its entirety upon written notice to the other Party if such other Party materially breaches this Agreement and has not cured such breach [*] following receipt of notice of such breach from the non-breaching Party (or, with respect to any payment breach, [*]); provided however, that if the breach is not a payment breach, and is capable of being cured, but cure of such breach cannot reasonably be effected within such [*], then the cure period shall be extended an additional [*] (for a total of [*] following receipt of notice of such breach from the non-breaching Party). Notwithstanding the foregoing, (i) if the allegedly breaching Party disputes in good faith the existence or materiality of a breach specified in a notice provided by the other Party, and such allegedly breaching Party provides the other Party notice of such dispute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rFonts w:ascii="Times New Roman" w:hAnsi="Times New Roman"/>
          <w:b/>
          <w:color w:val="000000"/>
          <w:sz w:val="24"/>
        </w:rPr>
        <w:t>Termination for Bankruptcy</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11.4.1</w:t>
      </w:r>
    </w:p>
    <w:p>
      <w:pPr>
        <w:pStyle w:val="TextBody"/>
        <w:bidi w:val="0"/>
        <w:spacing w:before="0" w:after="240"/>
        <w:jc w:val="both"/>
        <w:rPr/>
      </w:pPr>
      <w:r>
        <w:rPr>
          <w:rFonts w:ascii="Times New Roman" w:hAnsi="Times New Roman"/>
          <w:b/>
          <w:color w:val="000000"/>
          <w:sz w:val="24"/>
        </w:rPr>
        <w:t>Right to</w:t>
      </w:r>
      <w:r>
        <w:rPr>
          <w:color w:val="000000"/>
        </w:rPr>
        <w:t xml:space="preserve"> </w:t>
      </w:r>
      <w:r>
        <w:rPr>
          <w:rFonts w:ascii="Times New Roman" w:hAnsi="Times New Roman"/>
          <w:b/>
          <w:color w:val="000000"/>
          <w:sz w:val="24"/>
        </w:rPr>
        <w:t>Terminate</w:t>
      </w:r>
      <w:r>
        <w:rPr>
          <w:rFonts w:ascii="Times New Roman" w:hAnsi="Times New Roman"/>
          <w:color w:val="000000"/>
          <w:sz w:val="24"/>
        </w:rPr>
        <w:t>. Each Party shall have the right to terminate this Agreement effective immediately upon delivery of written notice to the other Party in the event that (i)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(ii) such other Party is served with an involuntary petition against it in any insolvency proceeding and such involuntary petition has not been stayed or dismissed within sixty (60) days of its filing, or (iii) such other Party makes an assignment of substantially all of its assets for the benefit of its creditors (each of (i) through (iii), an “</w:t>
      </w:r>
      <w:r>
        <w:rPr>
          <w:rFonts w:ascii="Times New Roman" w:hAnsi="Times New Roman"/>
          <w:b/>
          <w:color w:val="000000"/>
          <w:sz w:val="24"/>
        </w:rPr>
        <w:t>Insolvent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11.4.2</w:t>
      </w:r>
    </w:p>
    <w:p>
      <w:pPr>
        <w:pStyle w:val="TextBody"/>
        <w:bidi w:val="0"/>
        <w:spacing w:before="0" w:after="240"/>
        <w:jc w:val="both"/>
        <w:rPr/>
      </w:pPr>
      <w:r>
        <w:rPr>
          <w:rFonts w:ascii="Times New Roman" w:hAnsi="Times New Roman"/>
          <w:b/>
          <w:color w:val="000000"/>
          <w:sz w:val="24"/>
        </w:rPr>
        <w:t>Rights in Bankruptcy</w:t>
      </w:r>
      <w:r>
        <w:rPr>
          <w:rFonts w:ascii="Times New Roman" w:hAnsi="Times New Roman"/>
          <w:color w:val="000000"/>
          <w:sz w:val="24"/>
        </w:rPr>
        <w:t>.</w:t>
      </w:r>
      <w:r>
        <w:rPr>
          <w:color w:val="000000"/>
        </w:rPr>
        <w:t xml:space="preserve"> </w:t>
      </w:r>
      <w:r>
        <w:rPr>
          <w:rFonts w:ascii="Times New Roman" w:hAnsi="Times New Roman"/>
          <w:color w:val="000000"/>
          <w:sz w:val="24"/>
        </w:rPr>
        <w:t>All rights and licenses granted under or pursuant to this Agreement by one Party to the other Party are, and otherwise will be deemed to be, for purposes of Section 365(n) of Title 11 of the United States Code (“</w:t>
      </w:r>
      <w:r>
        <w:rPr>
          <w:rFonts w:ascii="Times New Roman" w:hAnsi="Times New Roman"/>
          <w:b/>
          <w:color w:val="000000"/>
          <w:sz w:val="24"/>
        </w:rPr>
        <w:t>U.S. Bankruptcy Code</w:t>
      </w:r>
      <w:r>
        <w:rPr>
          <w:color w:val="000000"/>
        </w:rPr>
        <w:t>”</w:t>
      </w:r>
      <w:r>
        <w:rPr>
          <w:rFonts w:ascii="Times New Roman" w:hAnsi="Times New Roman"/>
          <w:color w:val="000000"/>
          <w:sz w:val="24"/>
        </w:rPr>
        <w:t>) or comparable provision of applicable bankruptcy or insolvency laws, licenses of right to “intellectual property” as defined under Section 101 of the U.S. Bankruptcy Code or comparable provision of applicable bankruptcy or insolvency laws. In the event that a case under the U.S. Bankruptcy Code or comparable provision of applicable bankruptcy or insolvency laws is commenced by or against a Party, the other Party shall have all of the rights and elections set forth in Section 365(n) or comparable provision of applicable bankruptcy or insolvency laws to the maximum extent permitted thereby. The Parties further agree that, in the event of the commencement of a bankruptcy proceeding by or against a Party under U.S. Bankruptcy Code or any comparable provision of applicable bankruptcy or insolvency laws, the other Party shall be entitled to a complete duplicate of (or complete access to, as appropriate) any such intellectual property and all embodiments of such intellectual property, which, if not already in such other Party’s possession, shall be promptly delivered to such other Party (i) upon any such commencement of a bankruptcy proceeding upon such other Party’s written request therefor, unless such Party elects to continue to perform all of its obligations under this Agreement, or (ii) if not delivered under clause (i), following the rejection of this Agreement by such Party upon written request therefor by such other Party. The Parties agree that they intend the following rights to extend to the maximum extent permitted by law in the case an Insolvent Event occurs with respect to a licensor, including for purposes of the U.S. Bankruptcy Code or comparable provision of applicable bankruptcy or insolvency laws: (a) the right of access to any intellectual property (including all embodiments thereof) of the licensor, or any Third Party with whom the licensor contracts to perform an obligation of such licensor under this Agreement which is necessary for the Development, Manufacture or Commercialization of Licensed Compounds and Licensed Products; (b) the right to contract directly with any Third Party described in (a) to complete the contracted work and (c) the right to cure any default under any such agreement with a Third Party and set off the costs thereof against amounts payable to such licensor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rFonts w:ascii="Times New Roman" w:hAnsi="Times New Roman"/>
          <w:b/>
          <w:color w:val="000000"/>
          <w:sz w:val="24"/>
        </w:rPr>
        <w:t>MabCare Remedy for Patent Challenge</w:t>
      </w:r>
      <w:r>
        <w:rPr>
          <w:rFonts w:ascii="Times New Roman" w:hAnsi="Times New Roman"/>
          <w:color w:val="000000"/>
          <w:sz w:val="24"/>
        </w:rPr>
        <w:t>. If Day One or any of its Affiliates directly or indirectly takes any action, or knowingly provides assistance to any Third Party, to challenge in a court or administrative proceeding any claim in any MabCare Patent as being invalid, unenforceable or otherwise not patentable (“</w:t>
      </w:r>
      <w:r>
        <w:rPr>
          <w:rFonts w:ascii="Times New Roman" w:hAnsi="Times New Roman"/>
          <w:b/>
          <w:color w:val="000000"/>
          <w:sz w:val="24"/>
        </w:rPr>
        <w:t>Patent Challenge</w:t>
      </w:r>
      <w:r>
        <w:rPr>
          <w:color w:val="000000"/>
        </w:rPr>
        <w:t>”</w:t>
      </w:r>
      <w:r>
        <w:rPr>
          <w:rFonts w:ascii="Times New Roman" w:hAnsi="Times New Roman"/>
          <w:color w:val="000000"/>
          <w:sz w:val="24"/>
        </w:rPr>
        <w:t xml:space="preserve">), then MabCare, at its discretion, may give notice to Day One that MabCare will terminate the Agreement unless such Patent Challenge is withdrawn, abandoned or terminated (as appropriate) [*] from the date of such notice. If Day One or its Affiliate (as the case may be) does not withdraw, abandon or terminate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(as appropriate) such Patent Challenge within such [*] then, subject to the remainder of this Section 11.5, MabCare may terminate this Agreement. In the event that MabCare notifies Day One in writing that any Sublicensee has initiated a Patent Challenge, then Day One shall terminate such Sublicensee’s sublicense agreement in its entirety, unless such action by such Sublicensee is withdrawn [*] after MabCare’s notice to Day One thereof. This Section 11.5 does not apply to, and MabCare shall have no right to terminate in the event that,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rFonts w:ascii="Times New Roman" w:hAnsi="Times New Roman"/>
          <w:b/>
          <w:color w:val="000000"/>
          <w:sz w:val="24"/>
        </w:rPr>
        <w:t>Termination for Cessation of Development and Commercialization</w:t>
      </w:r>
      <w:r>
        <w:rPr>
          <w:rFonts w:ascii="Times New Roman" w:hAnsi="Times New Roman"/>
          <w:color w:val="000000"/>
          <w:sz w:val="24"/>
        </w:rPr>
        <w:t>. If following [*] there is a consecutive 24-month period during which Day One, its Affiliates and Sublicensees do not conduct any material Development or Commercialization activities with respect to any Licensed Compound or Licensed Product in or for any Major Market (the “</w:t>
      </w:r>
      <w:r>
        <w:rPr>
          <w:rFonts w:ascii="Times New Roman" w:hAnsi="Times New Roman"/>
          <w:b/>
          <w:color w:val="000000"/>
          <w:sz w:val="24"/>
        </w:rPr>
        <w:t>Cessation Period</w:t>
      </w:r>
      <w:r>
        <w:rPr>
          <w:color w:val="000000"/>
        </w:rPr>
        <w:t>”</w:t>
      </w:r>
      <w:r>
        <w:rPr>
          <w:rFonts w:ascii="Times New Roman" w:hAnsi="Times New Roman"/>
          <w:color w:val="000000"/>
          <w:sz w:val="24"/>
        </w:rPr>
        <w:t>), then MabCare will have the right to terminate this Agreement pursuant to Section 11.3 (for clarity, subject to the cure period and resolution of any dispute with respect to such termination pursuant to Section 11.3). Such Cessation Period shall be tolled to the extent that such cessation is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rFonts w:ascii="Times New Roman" w:hAnsi="Times New Roman"/>
          <w:b/>
          <w:color w:val="000000"/>
          <w:sz w:val="24"/>
        </w:rPr>
        <w:t>Full Force and Effect During Notice Period</w:t>
      </w:r>
      <w:r>
        <w:rPr>
          <w:rFonts w:ascii="Times New Roman" w:hAnsi="Times New Roman"/>
          <w:color w:val="000000"/>
          <w:sz w:val="24"/>
        </w:rPr>
        <w:t>.</w:t>
      </w:r>
      <w:r>
        <w:rPr>
          <w:color w:val="000000"/>
        </w:rPr>
        <w:t xml:space="preserve"> </w:t>
      </w:r>
      <w:r>
        <w:rPr>
          <w:rFonts w:ascii="Times New Roman" w:hAnsi="Times New Roman"/>
          <w:color w:val="000000"/>
          <w:sz w:val="24"/>
        </w:rPr>
        <w:t>This Agreement shall remain in full force and effect during the period commencing on the date of notice of termination of this Agreement and ending on the effective date of termination of this Agreement, including any payment obligations accrued during such notice period, even if the due date of such payment may come after the effective date of the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rFonts w:ascii="Times New Roman" w:hAnsi="Times New Roman"/>
          <w:b/>
          <w:color w:val="000000"/>
          <w:sz w:val="24"/>
        </w:rPr>
        <w:t>Modification in Lieu of Termination</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11.8.2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11.8.3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11.8.4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Effect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11.9.1</w:t>
      </w:r>
    </w:p>
    <w:p>
      <w:pPr>
        <w:pStyle w:val="TextBody"/>
        <w:bidi w:val="0"/>
        <w:spacing w:before="0" w:after="240"/>
        <w:jc w:val="both"/>
        <w:rPr/>
      </w:pPr>
      <w:r>
        <w:rPr>
          <w:rFonts w:ascii="Times New Roman" w:hAnsi="Times New Roman"/>
          <w:b/>
          <w:color w:val="000000"/>
          <w:sz w:val="24"/>
        </w:rPr>
        <w:t>Termination in the Entirety</w:t>
      </w:r>
      <w:r>
        <w:rPr>
          <w:rFonts w:ascii="Times New Roman" w:hAnsi="Times New Roman"/>
          <w:color w:val="000000"/>
          <w:sz w:val="24"/>
        </w:rPr>
        <w:t xml:space="preserve">. Without limiting any other legal or equitable remedies that either Party may have under this Agreement, in the event of termination of this Agreement in its entirety for any reason, the terms of this Section 11.9.1 will apply as of the effective date of such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License</w:t>
      </w:r>
      <w:r>
        <w:rPr>
          <w:rFonts w:ascii="Times New Roman" w:hAnsi="Times New Roman"/>
          <w:color w:val="000000"/>
          <w:sz w:val="24"/>
        </w:rPr>
        <w:t>.</w:t>
      </w:r>
      <w:r>
        <w:rPr>
          <w:color w:val="000000"/>
        </w:rPr>
        <w:t xml:space="preserve"> </w:t>
      </w:r>
      <w:r>
        <w:rPr>
          <w:rFonts w:ascii="Times New Roman" w:hAnsi="Times New Roman"/>
          <w:color w:val="000000"/>
          <w:sz w:val="24"/>
        </w:rPr>
        <w:t xml:space="preserve">All rights and licenses granted by a Party to the other Party pursuant to this Agreement shall terminate, and, subject to Section 11.9.1(b), all sublicenses granted hereunder by a Party or its Affiliates shall also terminate, provided that the rights and licenses granted to Day One hereunder shall survive to the extent necessary for Day One (and its Affiliates and Sublicensees) to conduct its rights and obligations under this Section 11.9.1.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Sublicense Survival</w:t>
      </w:r>
      <w:r>
        <w:rPr>
          <w:rFonts w:ascii="Times New Roman" w:hAnsi="Times New Roman"/>
          <w:color w:val="000000"/>
          <w:sz w:val="24"/>
        </w:rPr>
        <w:t xml:space="preserve">. Notwithstanding anything to the contrary in Section 11.9.1, at each Day One Sublicensee’s written request [*] following the effective date of termination, MabCare shall grant to such Sublicensee a direct license on the same terms and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conditions as the sublicense between Day One and such Sublicensee, provided that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Winddown; Sell-Off</w:t>
      </w:r>
      <w:r>
        <w:rPr>
          <w:rFonts w:ascii="Times New Roman" w:hAnsi="Times New Roman"/>
          <w:color w:val="000000"/>
          <w:sz w:val="24"/>
        </w:rPr>
        <w:t>. Day One shall be responsible for the prompt wind-down of Day One’s, its Affiliates’ and its Sublicensees’ Development, Manufacturing and Commercialization of Licensed Compounds and Licensed Products in the Territory in compliance with Applicable Laws; provided that [*] Day One and its Affiliates and Sublicensees shall have the right to sell or otherwise dispose of all Licensed Products then in its or their respective inventory and any in</w:t>
        <w:noBreakHyphen/>
        <w:t>progress inventory, provided further that Day One shall continue to make payments to MabCare on Net Sales of such Licensed Products in accordance with Section 6.4. If, as of the effective date of termination, Day One or its Affiliates are conducting any Clinical Trials for a Licensed Product, then Day One and its Affiliates shall conduct the orderly wind-down of any such Clinical Trial in accordance with Applicable Law and taking into account patient safety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11.9.2</w:t>
      </w:r>
    </w:p>
    <w:p>
      <w:pPr>
        <w:pStyle w:val="TextBody"/>
        <w:bidi w:val="0"/>
        <w:spacing w:before="0" w:after="240"/>
        <w:jc w:val="both"/>
        <w:rPr/>
      </w:pPr>
      <w:r>
        <w:rPr>
          <w:rFonts w:ascii="Times New Roman" w:hAnsi="Times New Roman"/>
          <w:b/>
          <w:color w:val="000000"/>
          <w:sz w:val="24"/>
        </w:rPr>
        <w:t>Reversion Products</w:t>
      </w:r>
      <w:r>
        <w:rPr>
          <w:rFonts w:ascii="Times New Roman" w:hAnsi="Times New Roman"/>
          <w:color w:val="000000"/>
          <w:sz w:val="24"/>
        </w:rPr>
        <w:t>. Subject to any Sublicensee’s right under Section 11.9.1(b), with respect to any Licensed Product being [*] as of the effective date of termination of this Agreement ( in the form as it exists on the effective date of termination, a “</w:t>
      </w:r>
      <w:r>
        <w:rPr>
          <w:rFonts w:ascii="Times New Roman" w:hAnsi="Times New Roman"/>
          <w:b/>
          <w:color w:val="000000"/>
          <w:sz w:val="24"/>
        </w:rPr>
        <w:t>Reversion Product</w:t>
      </w:r>
      <w:r>
        <w:rPr>
          <w:color w:val="000000"/>
        </w:rPr>
        <w:t>”</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11.9.3</w:t>
      </w:r>
    </w:p>
    <w:p>
      <w:pPr>
        <w:pStyle w:val="TextBody"/>
        <w:bidi w:val="0"/>
        <w:spacing w:before="0" w:after="240"/>
        <w:jc w:val="both"/>
        <w:rPr/>
      </w:pPr>
      <w:r>
        <w:rPr>
          <w:rFonts w:ascii="Times New Roman" w:hAnsi="Times New Roman"/>
          <w:b/>
          <w:color w:val="000000"/>
          <w:sz w:val="24"/>
        </w:rPr>
        <w:t>Effects of Termination-in-Part</w:t>
      </w:r>
      <w:r>
        <w:rPr>
          <w:rFonts w:ascii="Times New Roman" w:hAnsi="Times New Roman"/>
          <w:color w:val="000000"/>
          <w:sz w:val="24"/>
        </w:rPr>
        <w:t>. Without limiting any other legal or equitable remedies that either Party may have under this Agreement, in the event of any termination of this Agreement in part with respect to one (1) or more Licensed Product(s) pursuant to Section 11.2 or Section 11.3, then Section 11.9.1 shall apply accordingly, but solely with respect to the terminated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 Upon the expiration or termination of this Agreement in its entirety, at the disclosing Party’s election, the receiving Party shall return or destroy all tangible materials to the extent comprising, bearing or containing any Confidential Information of the disclosing Party that are in receiving Party’s or its Affiliates’ possession or control and provide written certification of such destruction (if applicable) to the disclosing Party, provided that the receiving Party may retain one (1) copy of such Confidential Information for its archives solely to monitor compliance with its obligations herein or may retain such Confidential Information for which it has any continuing rights, and provided further that the receiving Party shall not be required to destroy electronic files containing such Confidential Information that are made in the ordinary course of its business information back-up procedures.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0" w:after="240"/>
        <w:jc w:val="both"/>
        <w:rPr/>
      </w:pPr>
      <w:r>
        <w:rPr>
          <w:rFonts w:ascii="Times New Roman" w:hAnsi="Times New Roman"/>
          <w:b/>
          <w:color w:val="000000"/>
          <w:sz w:val="24"/>
        </w:rPr>
        <w:t>Termination Not Sole Remedy</w:t>
      </w:r>
      <w:r>
        <w:rPr>
          <w:rFonts w:ascii="Times New Roman" w:hAnsi="Times New Roman"/>
          <w:color w:val="000000"/>
          <w:sz w:val="24"/>
        </w:rPr>
        <w:t>. Termination is not the sole remedy under this Agreement and, whether or not termination is effected and notwithstanding anything contained in this Agreement to the contrary, all other remedies in law or equity shall remain available except as agreed to otherwise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11.12</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Expiration or termination of this Agreement shall not relieve the Parties of any obligation or right accruing prior to such expiration or termination. In addition, the following provisions of this Agreement shall survive expiration or termination of this Agreement: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rFonts w:ascii="Times New Roman" w:hAnsi="Times New Roman"/>
          <w:b/>
          <w:color w:val="000000"/>
          <w:sz w:val="24"/>
        </w:rPr>
        <w:t>Assignment; Notice of Sale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xml:space="preserve">. This Agreement may not be assigned or transferred, nor may any right or obligation hereunder be assigned or transferred, by either Party in whole or in part without the prior written consent of the other Party. Notwithstanding the foregoing, either Party shall have the right, without the prior written consent of the other Party, to assign or transfer this Agreement to an Affiliate or to a successor in interest in connection with a Change of Control or a sale of all or substantially all of its assets to which this Agreement relates. A Party shall notify the other Party in writing of any assignment or transfer of this Agreement by such Party as soon as practicable following such event. The terms of this Agreement will be binding upon and will inure to the benefit of the successors, heirs, administrators and permitted assigns of the applicable Party. </w:t>
      </w:r>
      <w:bookmarkStart w:id="41" w:name="ole_link4"/>
      <w:bookmarkEnd w:id="41"/>
      <w:r>
        <w:rPr>
          <w:rFonts w:ascii="Times New Roman" w:hAnsi="Times New Roman"/>
          <w:color w:val="000000"/>
          <w:sz w:val="24"/>
        </w:rPr>
        <w:t>Any attempted assignment not in accordance with this Section 12.1 shall be void. Any permitted assignee shall assume all assigned obligations of its assignor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12.1.2</w:t>
      </w:r>
    </w:p>
    <w:p>
      <w:pPr>
        <w:pStyle w:val="TextBody"/>
        <w:bidi w:val="0"/>
        <w:spacing w:before="0" w:after="240"/>
        <w:jc w:val="both"/>
        <w:rPr/>
      </w:pPr>
      <w:r>
        <w:rPr>
          <w:rFonts w:ascii="Times New Roman" w:hAnsi="Times New Roman"/>
          <w:b/>
          <w:color w:val="000000"/>
          <w:sz w:val="24"/>
        </w:rPr>
        <w:t>Effect of Change of Control</w:t>
      </w:r>
      <w:r>
        <w:rPr>
          <w:rFonts w:ascii="Times New Roman" w:hAnsi="Times New Roman"/>
          <w:color w:val="000000"/>
          <w:sz w:val="24"/>
        </w:rPr>
        <w:t xml:space="preserve">. Whether or not this Agreement is assigned pursuant to Section 12.1.1, the Parties agree that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rFonts w:ascii="Times New Roman" w:hAnsi="Times New Roman"/>
          <w:b/>
          <w:color w:val="000000"/>
          <w:sz w:val="24"/>
        </w:rPr>
        <w:t>Use of Affiliates</w:t>
      </w:r>
      <w:r>
        <w:rPr>
          <w:rFonts w:ascii="Times New Roman" w:hAnsi="Times New Roman"/>
          <w:color w:val="000000"/>
          <w:sz w:val="24"/>
        </w:rPr>
        <w:t xml:space="preserve">. Either Party shall have the right to exercise its rights and perform its obligations under this Agreement through any of its Affiliates, provided that any breach of the terms or conditions of this Agreement by such Affiliate shall be deemed a breach by such Party of such terms or conditions.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that conforms as nearly as possible with the original intent of the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rFonts w:ascii="Times New Roman" w:hAnsi="Times New Roman"/>
          <w:b/>
          <w:color w:val="000000"/>
          <w:sz w:val="24"/>
        </w:rPr>
        <w:t>Governing Law; English Language</w:t>
      </w:r>
      <w:r>
        <w:rPr>
          <w:rFonts w:ascii="Times New Roman" w:hAnsi="Times New Roman"/>
          <w:color w:val="000000"/>
          <w:sz w:val="24"/>
        </w:rPr>
        <w:t>. This Agreement shall be governed by and construed in accordance with the laws of the State of New York without reference to any rules of conflict of laws that might otherwise refer construction or interpretation of this Agreement to the substantive law of another jurisdiction. The United Nations Convention on Contracts for the International Sale of Goods (CISG) of 11 April 1980 shall not be applicable. This Agreement was prepared in the English language, which language shall govern the interpretation of, and any dispute regarding,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Dispute Resolution.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12.5.1</w:t>
      </w:r>
    </w:p>
    <w:p>
      <w:pPr>
        <w:pStyle w:val="TextBody"/>
        <w:bidi w:val="0"/>
        <w:spacing w:before="0" w:after="240"/>
        <w:jc w:val="both"/>
        <w:rPr/>
      </w:pPr>
      <w:r>
        <w:rPr>
          <w:rFonts w:ascii="Times New Roman" w:hAnsi="Times New Roman"/>
          <w:b/>
          <w:color w:val="000000"/>
          <w:sz w:val="24"/>
        </w:rPr>
        <w:t>Disputes</w:t>
      </w:r>
      <w:r>
        <w:rPr>
          <w:rFonts w:ascii="Times New Roman" w:hAnsi="Times New Roman"/>
          <w:color w:val="000000"/>
          <w:sz w:val="24"/>
        </w:rPr>
        <w:t>. Any dispute, controversy or claim arising from or related to this Agreement, including the formation, existence, validity, enforceability, performance, interpretation, breach, or termination hereof or thereof (a “</w:t>
      </w:r>
      <w:r>
        <w:rPr>
          <w:rFonts w:ascii="Times New Roman" w:hAnsi="Times New Roman"/>
          <w:b/>
          <w:color w:val="000000"/>
          <w:sz w:val="24"/>
        </w:rPr>
        <w:t>Dispute</w:t>
      </w:r>
      <w:r>
        <w:rPr>
          <w:color w:val="000000"/>
        </w:rPr>
        <w:t>”</w:t>
      </w:r>
      <w:r>
        <w:rPr>
          <w:rFonts w:ascii="Times New Roman" w:hAnsi="Times New Roman"/>
          <w:color w:val="000000"/>
          <w:sz w:val="24"/>
        </w:rPr>
        <w:t xml:space="preserve">) that is not an “Excluded Claim” (as defined below) shall be finally resolved in accordance with Section 12.5.2. Notwithstanding the foregoing, any decisions that are subject to the final decision-making authority of a Party (or mutual agreement of the Parties, as applicable), or the JSC, in each case as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expressly set forth in this Agreement, will not be subject to the provisions of this Section 12.5 so long as such decisions are made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Early Resolution; Arbitration.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 xml:space="preserve">Early Resolution. </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Arbitration</w:t>
      </w:r>
      <w:r>
        <w:rPr>
          <w:rFonts w:ascii="Times New Roman" w:hAnsi="Times New Roman"/>
          <w:color w:val="000000"/>
          <w:sz w:val="24"/>
        </w:rPr>
        <w:t xml:space="preserve">.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Confidentiality</w:t>
      </w:r>
      <w:r>
        <w:rPr>
          <w:rFonts w:ascii="Times New Roman" w:hAnsi="Times New Roman"/>
          <w:color w:val="000000"/>
          <w:sz w:val="24"/>
        </w:rPr>
        <w:t>. Except to the extent necessary to comply with Applicable Law, legal process or a court order or to enforce a final settlement agreement or secure enforcement of any arbitration award, the Parties agree that the existence, terms and content of any arbitration pursuant to Section 12.5.2(b), all information and documents disclosed in any such arbitration or evidencing any such arbitration results, award, judgment or settlement, or the performance thereof, and any allegations, statements and admissions made or positions taken by either Party in any such arbitration, shall be treated and maintained in confidence and are not intended to be used or disclosed for any other purpose or in any other forum.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12.5.3</w:t>
      </w:r>
    </w:p>
    <w:p>
      <w:pPr>
        <w:pStyle w:val="TextBody"/>
        <w:bidi w:val="0"/>
        <w:spacing w:before="0" w:after="240"/>
        <w:jc w:val="both"/>
        <w:rPr/>
      </w:pPr>
      <w:r>
        <w:rPr>
          <w:rFonts w:ascii="Times New Roman" w:hAnsi="Times New Roman"/>
          <w:b/>
          <w:color w:val="000000"/>
          <w:sz w:val="24"/>
        </w:rPr>
        <w:t>Excluded Claims</w:t>
      </w:r>
      <w:r>
        <w:rPr>
          <w:rFonts w:ascii="Times New Roman" w:hAnsi="Times New Roman"/>
          <w:color w:val="000000"/>
          <w:sz w:val="24"/>
        </w:rPr>
        <w:t xml:space="preserve">. As used in this Section 12.5, the term “Excluded Claim” means a dispute, controversy or claim that concerns (a) the validity or infringement of a Patent Right, trademark, copyright or trade secret, or (b) any antitrust-, anti-monopoly- or competition-related Applicable Law. Any action concerning Excluded Claims may be brought in any court having jurisdiction.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12.5.4</w:t>
      </w:r>
    </w:p>
    <w:p>
      <w:pPr>
        <w:pStyle w:val="TextBody"/>
        <w:bidi w:val="0"/>
        <w:spacing w:before="0" w:after="240"/>
        <w:jc w:val="both"/>
        <w:rPr/>
      </w:pPr>
      <w:r>
        <w:rPr>
          <w:rFonts w:ascii="Times New Roman" w:hAnsi="Times New Roman"/>
          <w:b/>
          <w:color w:val="000000"/>
          <w:sz w:val="24"/>
        </w:rPr>
        <w:t>Equitable Relief</w:t>
      </w:r>
      <w:r>
        <w:rPr>
          <w:rFonts w:ascii="Times New Roman" w:hAnsi="Times New Roman"/>
          <w:color w:val="000000"/>
          <w:sz w:val="24"/>
        </w:rPr>
        <w:t>. Nothing in this Section 12.5 shall preclude either Party from seeking equitable relief or interim or provisional relief from a court of competent jurisdiction, including a temporary restraining order, preliminary injunction or other interim equitable relief, either prior to or during any mediation or arbitration, to protect the interests of such Party or to preserve the status quo pending the mediation or arbitration proceeding.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rFonts w:ascii="Times New Roman" w:hAnsi="Times New Roman"/>
          <w:b/>
          <w:color w:val="000000"/>
          <w:sz w:val="24"/>
        </w:rPr>
        <w:t>Force Majeure</w:t>
      </w:r>
      <w:r>
        <w:rPr>
          <w:rFonts w:ascii="Times New Roman" w:hAnsi="Times New Roman"/>
          <w:color w:val="000000"/>
          <w:sz w:val="24"/>
        </w:rPr>
        <w:t>. Except for payment obligations hereunder, neither Party shall be responsible to the other for any failure or delay in performing any of its obligations under this Agreement or for other nonperformance hereunder, if such delay or nonperformance is caused by strike, fire, flood, earthquake, accident, war, act of terrorism, epidemic or pandemic, act of God or of the government of any country or of any local government (including emergency shut-down, lock-down or stay-at-home orders) or by any other cause unavoidable or beyond the control of any Party hereto (“</w:t>
      </w:r>
      <w:r>
        <w:rPr>
          <w:rFonts w:ascii="Times New Roman" w:hAnsi="Times New Roman"/>
          <w:b/>
          <w:color w:val="000000"/>
          <w:sz w:val="24"/>
        </w:rPr>
        <w:t>Force Majeure</w:t>
      </w:r>
      <w:r>
        <w:rPr>
          <w:color w:val="000000"/>
        </w:rPr>
        <w:t>”</w:t>
      </w:r>
      <w:r>
        <w:rPr>
          <w:rFonts w:ascii="Times New Roman" w:hAnsi="Times New Roman"/>
          <w:color w:val="000000"/>
          <w:sz w:val="24"/>
        </w:rPr>
        <w:t>). In such event, the Party affected will provide prompt notice thereof to the other Party and will use all reasonable efforts to resume performance of its obligations and will keep the other Party informed of actions related thereto, and the performance of any obligations of the Party not so affected, which obligations are directly dependent upon such performance by the affected Party, shall be tolled during such period. If any such failure or delay in a Party’s performance hereunder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rFonts w:ascii="Times New Roman" w:hAnsi="Times New Roman"/>
          <w:b/>
          <w:color w:val="000000"/>
          <w:sz w:val="24"/>
        </w:rPr>
        <w:t>Language for Communications</w:t>
      </w:r>
      <w:r>
        <w:rPr>
          <w:rFonts w:ascii="Times New Roman" w:hAnsi="Times New Roman"/>
          <w:color w:val="000000"/>
          <w:sz w:val="24"/>
        </w:rPr>
        <w:t xml:space="preserve">. All communications and notices to be made or given by one Party to the other Party pursuant to this Agreement will be in the English language. If any data, information, documentation or other materials required to be delivered by a Party to the other Party under this Agreement are not already in English, then, together with the original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form, such Party will provide to the other Party a full English translation of such data, information, documentation or other materials at such Party’s cost and expense, provided that if the requesting Party requires a full certified English translation of any such data, information, documentation or other materials, then the requesting Party shall bear the costs of such certified English translation.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rFonts w:ascii="Times New Roman" w:hAnsi="Times New Roman"/>
          <w:b/>
          <w:color w:val="000000"/>
          <w:sz w:val="24"/>
        </w:rPr>
        <w:t>Waivers and Amendments</w:t>
      </w:r>
      <w:r>
        <w:rPr>
          <w:rFonts w:ascii="Times New Roman" w:hAnsi="Times New Roman"/>
          <w:color w:val="000000"/>
          <w:sz w:val="24"/>
        </w:rPr>
        <w:t>. The waiver by either Party of any right hereunder, or of any failure of the other Party to perform, or of any breach by the other Party, shall not be deemed a waiver of any other right hereunder or of any other breach by or failure of such other Party whether of a similar nature or otherwise. Any waivers under this Agreement must be in writing to be effective. No provision of this Agreement may be amended or modified other than by a written document signed by authorized representatives of each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rFonts w:ascii="Times New Roman" w:hAnsi="Times New Roman"/>
          <w:b/>
          <w:color w:val="000000"/>
          <w:sz w:val="24"/>
        </w:rPr>
        <w:t>Relationship of the Parties</w:t>
      </w:r>
      <w:r>
        <w:rPr>
          <w:rFonts w:ascii="Times New Roman" w:hAnsi="Times New Roman"/>
          <w:color w:val="000000"/>
          <w:sz w:val="24"/>
        </w:rPr>
        <w:t>. The Parties relationship is that of independent contractors under this Agreement, and nothing contained herein is intended or is to be construed so as to constitute a Party as a partner, agent, or joint venturer of the other Party. In addition, nothing in this Agreement shall be construed to give a Party the power or authority to act for, bind or commit the other Party to any contract, agreement, or undertaking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12.10</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All notices, consents or waivers under this Agreement shall be in writing and will be deemed to have been duly given when (a) scanned and converted into a portable document format file (i.e., pdf file) and sent as an attachment to an e-mail message, where, when such message is received, a read receipt e-mail is received by the sender, or (b) the earlier of when received by the addressee or five (5) days after the date it was sent, if sent by registered mail or overnight courier by an internationally recognized overnight delivery service (receipt requested), in each case to the appropriate addresses or e-mail addresses set forth below (or to such other addresses and e-mail addresses as a Party may designate by notice):</w:t>
      </w:r>
    </w:p>
    <w:p>
      <w:pPr>
        <w:pStyle w:val="TextBody"/>
        <w:bidi w:val="0"/>
        <w:jc w:val="left"/>
        <w:rPr>
          <w:rFonts w:ascii="Times New Roman" w:hAnsi="Times New Roman"/>
          <w:sz w:val="20"/>
        </w:rPr>
      </w:pPr>
      <w:r>
        <w:rPr>
          <w:rFonts w:ascii="Times New Roman" w:hAnsi="Times New Roman"/>
          <w:color w:val="000000"/>
          <w:sz w:val="24"/>
        </w:rPr>
        <w:t>If to MabCare: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With a copy to (which shall not constitute notice) to: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 xml:space="preserve">If to Day One: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12.11</w:t>
      </w:r>
    </w:p>
    <w:p>
      <w:pPr>
        <w:pStyle w:val="TextBody"/>
        <w:bidi w:val="0"/>
        <w:spacing w:before="0" w:after="240"/>
        <w:jc w:val="both"/>
        <w:rPr/>
      </w:pPr>
      <w:r>
        <w:rPr>
          <w:rFonts w:ascii="Times New Roman" w:hAnsi="Times New Roman"/>
          <w:b/>
          <w:color w:val="000000"/>
          <w:sz w:val="24"/>
        </w:rPr>
        <w:t>No Third Party Beneficiary Rights</w:t>
      </w:r>
      <w:r>
        <w:rPr>
          <w:rFonts w:ascii="Times New Roman" w:hAnsi="Times New Roman"/>
          <w:color w:val="000000"/>
          <w:sz w:val="24"/>
        </w:rPr>
        <w:t xml:space="preserve">. This Agreement is not intended to and shall not be construed to give any Third Party any interest or rights (including any Third Party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beneficiary rights) with respect to or in connection with any agreement or provision contained herein or contemplated 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12.12</w:t>
      </w:r>
    </w:p>
    <w:p>
      <w:pPr>
        <w:pStyle w:val="TextBody"/>
        <w:bidi w:val="0"/>
        <w:spacing w:before="0" w:after="240"/>
        <w:jc w:val="both"/>
        <w:rPr/>
      </w:pPr>
      <w:r>
        <w:rPr>
          <w:rFonts w:ascii="Times New Roman" w:hAnsi="Times New Roman"/>
          <w:b/>
          <w:color w:val="000000"/>
          <w:sz w:val="24"/>
        </w:rPr>
        <w:t>Registration of License</w:t>
      </w:r>
      <w:r>
        <w:rPr>
          <w:rFonts w:ascii="Times New Roman" w:hAnsi="Times New Roman"/>
          <w:color w:val="000000"/>
          <w:sz w:val="24"/>
        </w:rPr>
        <w:t>. Day One shall have the right to register the exclusive rights and licenses granted by MabCare to Day One under this Agreement with the relevant Governmental Authority in a country or other jurisdiction of the Day One Territory (subject to Article 7). MabCare shall reasonably and promptly cooperate with Day One’s efforts to obtain and maintain any such registration, including by promptly executing any forms (including confirmatory licenses) or other documents submitted to MabCare by Day One from time to time in order to effect such registration in a country or other jurisdiction, and the Parties will coordinate to apply for confidentiality protection in connection with such registration to the extent permitted by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12.13</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MabCare and Day One hereby agree without the necessity of any further consideration to execute, acknowledge and deliver any and all documents and take any ministerial action as may be reasonably necessary to carry out the intent and purposes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12.14</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including all Schedules hereto, sets forth the entire agreement and understanding of the Parties as to the subject matter hereof, and supersedes all proposals, oral or written, and all other communications between the Parties with respect to such subject matter, including the CDA.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12.15</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counterparts with the same effect as if both Parties had signed the same document. All such counterparts shall be deemed an original, shall be construed together, and shall constitute one and the same instrument. Any such counterpart, to the extent delivered by means of a fax machine or by .pdf, .tif, .gif, .jpeg or similar attachment to electronic mail (any such delivery, an “</w:t>
      </w:r>
      <w:r>
        <w:rPr>
          <w:rFonts w:ascii="Times New Roman" w:hAnsi="Times New Roman"/>
          <w:b/>
          <w:color w:val="000000"/>
          <w:sz w:val="24"/>
        </w:rPr>
        <w:t>Electronic Delivery</w:t>
      </w:r>
      <w:r>
        <w:rPr>
          <w:color w:val="000000"/>
        </w:rPr>
        <w:t>”</w:t>
      </w:r>
      <w:r>
        <w:rPr>
          <w:rFonts w:ascii="Times New Roman" w:hAnsi="Times New Roman"/>
          <w:color w:val="000000"/>
          <w:sz w:val="24"/>
        </w:rPr>
        <w:t xml:space="preserve">) shall be treated in all manners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12.16</w:t>
      </w:r>
    </w:p>
    <w:p>
      <w:pPr>
        <w:pStyle w:val="TextBody"/>
        <w:bidi w:val="0"/>
        <w:spacing w:before="0" w:after="240"/>
        <w:jc w:val="both"/>
        <w:rPr/>
      </w:pPr>
      <w:r>
        <w:rPr>
          <w:rFonts w:ascii="Times New Roman" w:hAnsi="Times New Roman"/>
          <w:b/>
          <w:color w:val="000000"/>
          <w:sz w:val="24"/>
        </w:rPr>
        <w:t>Expenses</w:t>
      </w:r>
      <w:r>
        <w:rPr>
          <w:rFonts w:ascii="Times New Roman" w:hAnsi="Times New Roman"/>
          <w:color w:val="000000"/>
          <w:sz w:val="24"/>
        </w:rPr>
        <w:t>. Each Party shall pay its own costs, charges and expenses incurred in connection with the negotiation, preparation and signing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12.17</w:t>
      </w:r>
    </w:p>
    <w:p>
      <w:pPr>
        <w:pStyle w:val="TextBody"/>
        <w:bidi w:val="0"/>
        <w:spacing w:before="0" w:after="240"/>
        <w:jc w:val="both"/>
        <w:rPr/>
      </w:pPr>
      <w:r>
        <w:rPr>
          <w:rFonts w:ascii="Times New Roman" w:hAnsi="Times New Roman"/>
          <w:b/>
          <w:color w:val="000000"/>
          <w:sz w:val="24"/>
        </w:rPr>
        <w:t>Construction; Interpretation</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12.17.1</w:t>
      </w:r>
    </w:p>
    <w:p>
      <w:pPr>
        <w:pStyle w:val="TextBody"/>
        <w:bidi w:val="0"/>
        <w:spacing w:before="0" w:after="240"/>
        <w:jc w:val="both"/>
        <w:rPr/>
      </w:pPr>
      <w:r>
        <w:rPr>
          <w:rFonts w:ascii="Times New Roman" w:hAnsi="Times New Roman"/>
          <w:b/>
          <w:color w:val="000000"/>
          <w:sz w:val="24"/>
        </w:rPr>
        <w:t>Construction</w:t>
      </w:r>
      <w:r>
        <w:rPr>
          <w:rFonts w:ascii="Times New Roman" w:hAnsi="Times New Roman"/>
          <w:color w:val="000000"/>
          <w:sz w:val="24"/>
        </w:rPr>
        <w:t xml:space="preserve">. The Parties hereto acknowledge and agree that (a) each Party and its counsel reviewed and negotiated the terms and provisions of this Agreement and have contributed to its revision, and (b) the rule of construction to the effect that any ambiguities are resolved against the drafting Party shall not be employed in the interpretation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12.17.2</w:t>
      </w:r>
    </w:p>
    <w:p>
      <w:pPr>
        <w:pStyle w:val="TextBody"/>
        <w:bidi w:val="0"/>
        <w:spacing w:before="0" w:after="240"/>
        <w:jc w:val="both"/>
        <w:rPr/>
      </w:pPr>
      <w:r>
        <w:rPr>
          <w:rFonts w:ascii="Times New Roman" w:hAnsi="Times New Roman"/>
          <w:b/>
          <w:color w:val="000000"/>
          <w:sz w:val="24"/>
        </w:rPr>
        <w:t>Interpretation</w:t>
      </w:r>
      <w:r>
        <w:rPr>
          <w:rFonts w:ascii="Times New Roman" w:hAnsi="Times New Roman"/>
          <w:color w:val="000000"/>
          <w:sz w:val="24"/>
        </w:rPr>
        <w:t xml:space="preserve">. The captions and headings in this Agreement are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convenience only, and are to be of no force or effect in construing or interpreting any of the provisions of this Agreement. Unless specified to the contrary, references to Articles, Sections or Schedules mean the particular Articles, Sections or Schedules of or to this Agreement and references to this Agreement include all Schedules hereto. If any conflict exists between the main body of this Agreement and any Schedule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words “hereof,” “herein,” “hereby” and derivative or similar words refer to this Agreement as a whole and not merely to the particular provision in which such words appear; (d) the words “shall” and “will” have interchangeable meanings for purposes of this Agreement; (e) the word “or” shall have the inclusive meaning commonly associated with “and/or”; (f) words of any gender include the other genders; (g) words using the singular or plural number also include the plural or singular number, respectively; and (h) references to any specific law, rule or regulation, or article, section or other division thereof, shall be deemed to include the then-current amendments thereto or any replacement law, rule or regulation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12.18</w:t>
      </w:r>
    </w:p>
    <w:p>
      <w:pPr>
        <w:pStyle w:val="TextBody"/>
        <w:bidi w:val="0"/>
        <w:spacing w:before="0" w:after="240"/>
        <w:jc w:val="both"/>
        <w:rPr/>
      </w:pPr>
      <w:r>
        <w:rPr>
          <w:rFonts w:ascii="Times New Roman" w:hAnsi="Times New Roman"/>
          <w:b/>
          <w:color w:val="000000"/>
          <w:sz w:val="24"/>
        </w:rPr>
        <w:t>Cumulative Remedies</w:t>
      </w:r>
      <w:r>
        <w:rPr>
          <w:rFonts w:ascii="Times New Roman" w:hAnsi="Times New Roman"/>
          <w:color w:val="000000"/>
          <w:sz w:val="24"/>
        </w:rPr>
        <w:t>. No remedy referred to in this Agreement is intended to be exclusive unless explicitly stated to be so, and each shall be cumulative and in addition to any other remedy referred to in this Agreement or otherwise available under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12.19</w:t>
      </w:r>
    </w:p>
    <w:p>
      <w:pPr>
        <w:pStyle w:val="TextBody"/>
        <w:bidi w:val="0"/>
        <w:spacing w:before="0" w:after="240"/>
        <w:jc w:val="both"/>
        <w:rPr/>
      </w:pPr>
      <w:r>
        <w:rPr>
          <w:rFonts w:ascii="Times New Roman" w:hAnsi="Times New Roman"/>
          <w:b/>
          <w:color w:val="000000"/>
          <w:sz w:val="24"/>
        </w:rPr>
        <w:t>Export</w:t>
      </w:r>
      <w:r>
        <w:rPr>
          <w:rFonts w:ascii="Times New Roman" w:hAnsi="Times New Roman"/>
          <w:color w:val="000000"/>
          <w:sz w:val="24"/>
        </w:rPr>
        <w:t xml:space="preserve">. This Agreement is made subject to any restrictions concerning the export of products or technical information from the United States or other countries which may be imposed upon or related to Day One or MabCare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Authority approval, without first obtaining the written consent to do so from the appropriate Governmental Authority.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intending to be bound have caused this Agreement to be executed by their duly authorized representatives.</w:t>
      </w:r>
    </w:p>
    <w:p>
      <w:pPr>
        <w:pStyle w:val="TextBody"/>
        <w:bidi w:val="0"/>
        <w:jc w:val="both"/>
        <w:rPr/>
      </w:pPr>
      <w:r>
        <w:rPr/>
        <w:t> </w:t>
      </w:r>
    </w:p>
    <w:tbl>
      <w:tblPr>
        <w:tblW w:w="8012" w:type="dxa"/>
        <w:jc w:val="left"/>
        <w:tblInd w:w="0" w:type="dxa"/>
        <w:tblLayout w:type="fixed"/>
        <w:tblCellMar>
          <w:top w:w="28" w:type="dxa"/>
          <w:left w:w="28" w:type="dxa"/>
          <w:bottom w:w="28" w:type="dxa"/>
          <w:right w:w="28" w:type="dxa"/>
        </w:tblCellMar>
      </w:tblPr>
      <w:tblGrid>
        <w:gridCol w:w="4321"/>
        <w:gridCol w:w="3691"/>
      </w:tblGrid>
      <w:tr>
        <w:trPr/>
        <w:tc>
          <w:tcPr>
            <w:tcW w:w="432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b/>
                <w:color w:val="000000"/>
                <w:sz w:val="24"/>
              </w:rPr>
            </w:pPr>
            <w:r>
              <w:rPr>
                <w:rFonts w:ascii="Times New Roman" w:hAnsi="Times New Roman"/>
                <w:b/>
                <w:color w:val="000000"/>
                <w:sz w:val="24"/>
              </w:rPr>
              <w:t>Day One Biopharmaceuticals, Inc.</w:t>
            </w:r>
          </w:p>
        </w:tc>
        <w:tc>
          <w:tcPr>
            <w:tcW w:w="36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b/>
                <w:color w:val="000000"/>
                <w:sz w:val="24"/>
              </w:rPr>
            </w:pPr>
            <w:r>
              <w:rPr>
                <w:rFonts w:ascii="Times New Roman" w:hAnsi="Times New Roman"/>
                <w:b/>
                <w:color w:val="000000"/>
                <w:sz w:val="24"/>
              </w:rPr>
              <w:t>MabCare Therapeutics</w:t>
            </w:r>
          </w:p>
        </w:tc>
      </w:tr>
      <w:tr>
        <w:trPr/>
        <w:tc>
          <w:tcPr>
            <w:tcW w:w="432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321" w:type="dxa"/>
            <w:tcBorders/>
            <w:tcMar>
              <w:top w:w="0" w:type="dxa"/>
              <w:left w:w="0" w:type="dxa"/>
              <w:bottom w:w="0" w:type="dxa"/>
              <w:right w:w="0" w:type="dxa"/>
            </w:tcMar>
            <w:vAlign w:val="center"/>
          </w:tcPr>
          <w:p>
            <w:pPr>
              <w:pStyle w:val="TableContents"/>
              <w:bidi w:val="0"/>
              <w:ind w:left="720" w:right="0" w:firstLine="72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Jeremy Bender</w:t>
            </w:r>
            <w:r>
              <w:rPr>
                <w:rFonts w:ascii="Times New Roman" w:hAnsi="Times New Roman"/>
                <w:color w:val="000000"/>
                <w:sz w:val="24"/>
              </w:rPr>
              <w:t xml:space="preserve"> </w:t>
            </w:r>
          </w:p>
          <w:p>
            <w:pPr>
              <w:pStyle w:val="TableContents"/>
              <w:bidi w:val="0"/>
              <w:spacing w:before="0" w:after="283"/>
              <w:ind w:left="0" w:right="0" w:firstLine="702"/>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Tao Meng</w:t>
            </w:r>
            <w:r>
              <w:rPr>
                <w:rFonts w:ascii="Times New Roman" w:hAnsi="Times New Roman"/>
                <w:color w:val="000000"/>
                <w:sz w:val="24"/>
              </w:rPr>
              <w:t xml:space="preserve"> </w:t>
            </w:r>
          </w:p>
        </w:tc>
      </w:tr>
      <w:tr>
        <w:trPr/>
        <w:tc>
          <w:tcPr>
            <w:tcW w:w="4321" w:type="dxa"/>
            <w:tcBorders/>
            <w:tcMar>
              <w:top w:w="0" w:type="dxa"/>
              <w:left w:w="0" w:type="dxa"/>
              <w:bottom w:w="0" w:type="dxa"/>
              <w:right w:w="0" w:type="dxa"/>
            </w:tcMar>
            <w:vAlign w:val="center"/>
          </w:tcPr>
          <w:p>
            <w:pPr>
              <w:pStyle w:val="TableContents"/>
              <w:bidi w:val="0"/>
              <w:ind w:left="720" w:right="0" w:firstLine="720"/>
              <w:jc w:val="left"/>
              <w:rPr>
                <w:rFonts w:ascii="Times New Roman" w:hAnsi="Times New Roman"/>
                <w:color w:val="000000"/>
                <w:sz w:val="24"/>
              </w:rPr>
            </w:pPr>
            <w:r>
              <w:rPr>
                <w:rFonts w:ascii="Times New Roman" w:hAnsi="Times New Roman"/>
                <w:color w:val="000000"/>
                <w:sz w:val="24"/>
              </w:rPr>
              <w:t>Name: Jeremy Bender</w:t>
            </w:r>
          </w:p>
          <w:p>
            <w:pPr>
              <w:pStyle w:val="TableContents"/>
              <w:bidi w:val="0"/>
              <w:spacing w:before="0" w:after="283"/>
              <w:ind w:left="0" w:right="0" w:firstLine="720"/>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Name: Tao Meng</w:t>
            </w:r>
          </w:p>
        </w:tc>
      </w:tr>
      <w:tr>
        <w:trPr/>
        <w:tc>
          <w:tcPr>
            <w:tcW w:w="4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 Chief Executive Officer</w:t>
            </w:r>
          </w:p>
        </w:tc>
        <w:tc>
          <w:tcPr>
            <w:tcW w:w="3691"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Times New Roman" w:hAnsi="Times New Roman"/>
                <w:color w:val="000000"/>
                <w:sz w:val="24"/>
              </w:rPr>
            </w:pPr>
            <w:r>
              <w:rPr>
                <w:rFonts w:ascii="Times New Roman" w:hAnsi="Times New Roman"/>
                <w:color w:val="000000"/>
                <w:sz w:val="24"/>
              </w:rPr>
              <w:t>Title: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Exclusive License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List of Schedules: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Schedule 1.14 CB-002</w:t>
      </w:r>
    </w:p>
    <w:p>
      <w:pPr>
        <w:pStyle w:val="TextBody"/>
        <w:bidi w:val="0"/>
        <w:jc w:val="left"/>
        <w:rPr>
          <w:rFonts w:ascii="Times New Roman" w:hAnsi="Times New Roman"/>
          <w:b/>
          <w:color w:val="000000"/>
          <w:sz w:val="24"/>
        </w:rPr>
      </w:pPr>
      <w:r>
        <w:rPr>
          <w:rFonts w:ascii="Times New Roman" w:hAnsi="Times New Roman"/>
          <w:b/>
          <w:color w:val="000000"/>
          <w:sz w:val="24"/>
        </w:rPr>
        <w:t>Schedule 1.103 MabCare Materials</w:t>
      </w:r>
    </w:p>
    <w:p>
      <w:pPr>
        <w:pStyle w:val="TextBody"/>
        <w:bidi w:val="0"/>
        <w:jc w:val="left"/>
        <w:rPr>
          <w:rFonts w:ascii="Times New Roman" w:hAnsi="Times New Roman"/>
          <w:b/>
          <w:color w:val="000000"/>
          <w:sz w:val="24"/>
        </w:rPr>
      </w:pPr>
      <w:r>
        <w:rPr>
          <w:rFonts w:ascii="Times New Roman" w:hAnsi="Times New Roman"/>
          <w:b/>
          <w:color w:val="000000"/>
          <w:sz w:val="24"/>
        </w:rPr>
        <w:t>Schedule 1.104 MabCare Patents</w:t>
      </w:r>
    </w:p>
    <w:p>
      <w:pPr>
        <w:pStyle w:val="TextBody"/>
        <w:bidi w:val="0"/>
        <w:jc w:val="left"/>
        <w:rPr>
          <w:rFonts w:ascii="Times New Roman" w:hAnsi="Times New Roman"/>
          <w:b/>
          <w:color w:val="000000"/>
          <w:sz w:val="24"/>
        </w:rPr>
      </w:pPr>
      <w:r>
        <w:rPr>
          <w:rFonts w:ascii="Times New Roman" w:hAnsi="Times New Roman"/>
          <w:b/>
          <w:color w:val="000000"/>
          <w:sz w:val="24"/>
        </w:rPr>
        <w:t>Schedule 4.1.2 Transferred Regulatory Materials</w:t>
      </w:r>
    </w:p>
    <w:p>
      <w:pPr>
        <w:pStyle w:val="TextBody"/>
        <w:bidi w:val="0"/>
        <w:jc w:val="left"/>
        <w:rPr>
          <w:rFonts w:ascii="Times New Roman" w:hAnsi="Times New Roman"/>
          <w:b/>
          <w:color w:val="000000"/>
          <w:sz w:val="24"/>
        </w:rPr>
      </w:pPr>
      <w:r>
        <w:rPr>
          <w:rFonts w:ascii="Times New Roman" w:hAnsi="Times New Roman"/>
          <w:b/>
          <w:color w:val="000000"/>
          <w:sz w:val="24"/>
        </w:rPr>
        <w:t>Schedule 4.1.3 Existing Inventory</w:t>
      </w:r>
    </w:p>
    <w:p>
      <w:pPr>
        <w:pStyle w:val="TextBody"/>
        <w:bidi w:val="0"/>
        <w:jc w:val="left"/>
        <w:rPr>
          <w:rFonts w:ascii="Times New Roman" w:hAnsi="Times New Roman"/>
          <w:b/>
          <w:color w:val="000000"/>
          <w:sz w:val="24"/>
        </w:rPr>
      </w:pPr>
      <w:r>
        <w:rPr>
          <w:rFonts w:ascii="Times New Roman" w:hAnsi="Times New Roman"/>
          <w:b/>
          <w:color w:val="000000"/>
          <w:sz w:val="24"/>
        </w:rPr>
        <w:t>Schedule 4.4.1 Day One Development Plan</w:t>
      </w:r>
    </w:p>
    <w:p>
      <w:pPr>
        <w:pStyle w:val="TextBody"/>
        <w:bidi w:val="0"/>
        <w:jc w:val="left"/>
        <w:rPr>
          <w:rFonts w:ascii="Times New Roman" w:hAnsi="Times New Roman"/>
          <w:b/>
          <w:color w:val="000000"/>
          <w:sz w:val="24"/>
        </w:rPr>
      </w:pPr>
      <w:r>
        <w:rPr>
          <w:rFonts w:ascii="Times New Roman" w:hAnsi="Times New Roman"/>
          <w:b/>
          <w:color w:val="000000"/>
          <w:sz w:val="24"/>
        </w:rPr>
        <w:t>Schedule 5.2 Clinical Supply Agreement Terms</w:t>
      </w:r>
    </w:p>
    <w:p>
      <w:pPr>
        <w:pStyle w:val="TextBody"/>
        <w:bidi w:val="0"/>
        <w:jc w:val="left"/>
        <w:rPr>
          <w:rFonts w:ascii="Times New Roman" w:hAnsi="Times New Roman"/>
          <w:b/>
          <w:color w:val="000000"/>
          <w:sz w:val="24"/>
        </w:rPr>
      </w:pPr>
      <w:r>
        <w:rPr>
          <w:rFonts w:ascii="Times New Roman" w:hAnsi="Times New Roman"/>
          <w:b/>
          <w:color w:val="000000"/>
          <w:sz w:val="24"/>
        </w:rPr>
        <w:t>Schedule 7.5.1 Day One Press Release</w:t>
      </w:r>
    </w:p>
    <w:p>
      <w:pPr>
        <w:pStyle w:val="TextBody"/>
        <w:bidi w:val="0"/>
        <w:jc w:val="left"/>
        <w:rPr>
          <w:rFonts w:ascii="Times New Roman" w:hAnsi="Times New Roman"/>
          <w:b/>
          <w:color w:val="000000"/>
          <w:sz w:val="24"/>
        </w:rPr>
      </w:pPr>
      <w:r>
        <w:rPr>
          <w:rFonts w:ascii="Times New Roman" w:hAnsi="Times New Roman"/>
          <w:b/>
          <w:color w:val="000000"/>
          <w:sz w:val="24"/>
        </w:rPr>
        <w:t>Schedule 9.2.3 Disclosure Schedule</w:t>
      </w:r>
    </w:p>
    <w:p>
      <w:pPr>
        <w:pStyle w:val="TextBody"/>
        <w:bidi w:val="0"/>
        <w:jc w:val="left"/>
        <w:rPr>
          <w:rFonts w:ascii="Times New Roman" w:hAnsi="Times New Roman"/>
          <w:b/>
          <w:color w:val="000000"/>
          <w:sz w:val="24"/>
        </w:rPr>
      </w:pPr>
      <w:r>
        <w:rPr>
          <w:rFonts w:ascii="Times New Roman" w:hAnsi="Times New Roman"/>
          <w:b/>
          <w:color w:val="000000"/>
          <w:sz w:val="24"/>
        </w:rPr>
        <w:t>Schedule 9.2.22 Disclosure Schedule</w:t>
      </w:r>
    </w:p>
    <w:p>
      <w:pPr>
        <w:pStyle w:val="TextBody"/>
        <w:bidi w:val="0"/>
        <w:jc w:val="left"/>
        <w:rPr>
          <w:rFonts w:ascii="Times New Roman" w:hAnsi="Times New Roman"/>
          <w:b/>
          <w:color w:val="000000"/>
          <w:sz w:val="24"/>
        </w:rPr>
      </w:pPr>
      <w:r>
        <w:rPr>
          <w:rFonts w:ascii="Times New Roman" w:hAnsi="Times New Roman"/>
          <w:b/>
          <w:color w:val="000000"/>
          <w:sz w:val="24"/>
        </w:rPr>
        <w:t>Schedule 11.9.2 Arbitration Terms relating to Reversion License Dispute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1.14</w:t>
      </w:r>
    </w:p>
    <w:p>
      <w:pPr>
        <w:pStyle w:val="TextBody"/>
        <w:bidi w:val="0"/>
        <w:jc w:val="center"/>
        <w:rPr>
          <w:rFonts w:ascii="Times New Roman" w:hAnsi="Times New Roman"/>
          <w:b/>
          <w:color w:val="000000"/>
          <w:sz w:val="24"/>
        </w:rPr>
      </w:pPr>
      <w:r>
        <w:rPr>
          <w:rFonts w:ascii="Times New Roman" w:hAnsi="Times New Roman"/>
          <w:b/>
          <w:color w:val="000000"/>
          <w:sz w:val="24"/>
        </w:rPr>
        <w:t>CB-002 Description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1.103</w:t>
      </w:r>
    </w:p>
    <w:p>
      <w:pPr>
        <w:pStyle w:val="TextBody"/>
        <w:bidi w:val="0"/>
        <w:jc w:val="center"/>
        <w:rPr>
          <w:rFonts w:ascii="Times New Roman" w:hAnsi="Times New Roman"/>
          <w:b/>
          <w:color w:val="000000"/>
          <w:sz w:val="24"/>
        </w:rPr>
      </w:pPr>
      <w:r>
        <w:rPr>
          <w:rFonts w:ascii="Times New Roman" w:hAnsi="Times New Roman"/>
          <w:b/>
          <w:color w:val="000000"/>
          <w:sz w:val="24"/>
        </w:rPr>
        <w:t>MabCare Material(s)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tbl>
      <w:tblPr>
        <w:tblW w:w="644" w:type="dxa"/>
        <w:jc w:val="left"/>
        <w:tblInd w:w="0" w:type="dxa"/>
        <w:tblLayout w:type="fixed"/>
        <w:tblCellMar>
          <w:top w:w="28" w:type="dxa"/>
          <w:left w:w="28" w:type="dxa"/>
          <w:bottom w:w="28" w:type="dxa"/>
          <w:right w:w="28" w:type="dxa"/>
        </w:tblCellMar>
      </w:tblPr>
      <w:tblGrid>
        <w:gridCol w:w="161"/>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1.104</w:t>
      </w:r>
    </w:p>
    <w:p>
      <w:pPr>
        <w:pStyle w:val="TextBody"/>
        <w:bidi w:val="0"/>
        <w:jc w:val="center"/>
        <w:rPr>
          <w:rFonts w:ascii="Times New Roman" w:hAnsi="Times New Roman"/>
          <w:b/>
          <w:color w:val="000000"/>
          <w:sz w:val="24"/>
        </w:rPr>
      </w:pPr>
      <w:r>
        <w:rPr>
          <w:rFonts w:ascii="Times New Roman" w:hAnsi="Times New Roman"/>
          <w:b/>
          <w:color w:val="000000"/>
          <w:sz w:val="24"/>
        </w:rPr>
        <w:t>MabCare Patents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36"/>
        <w:gridCol w:w="812"/>
        <w:gridCol w:w="1827"/>
        <w:gridCol w:w="511"/>
        <w:gridCol w:w="991"/>
        <w:gridCol w:w="871"/>
        <w:gridCol w:w="1145"/>
        <w:gridCol w:w="1321"/>
        <w:gridCol w:w="1391"/>
      </w:tblGrid>
      <w:tr>
        <w:trPr/>
        <w:tc>
          <w:tcPr>
            <w:tcW w:w="133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336"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Application NO.</w:t>
            </w:r>
          </w:p>
        </w:tc>
        <w:tc>
          <w:tcPr>
            <w:tcW w:w="812"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c>
          <w:tcPr>
            <w:tcW w:w="1827"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National/Regional phase entry date</w:t>
            </w:r>
          </w:p>
        </w:tc>
        <w:tc>
          <w:tcPr>
            <w:tcW w:w="51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Title</w:t>
            </w:r>
          </w:p>
        </w:tc>
        <w:tc>
          <w:tcPr>
            <w:tcW w:w="99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Applicant</w:t>
            </w:r>
          </w:p>
        </w:tc>
        <w:tc>
          <w:tcPr>
            <w:tcW w:w="87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Inventor</w:t>
            </w:r>
          </w:p>
        </w:tc>
        <w:tc>
          <w:tcPr>
            <w:tcW w:w="1145"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Country/Region</w:t>
            </w:r>
          </w:p>
        </w:tc>
        <w:tc>
          <w:tcPr>
            <w:tcW w:w="132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Publication NO.</w:t>
            </w:r>
          </w:p>
        </w:tc>
        <w:tc>
          <w:tcPr>
            <w:tcW w:w="139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Publication Date</w:t>
            </w:r>
          </w:p>
        </w:tc>
      </w:tr>
      <w:tr>
        <w:trPr/>
        <w:tc>
          <w:tcPr>
            <w:tcW w:w="1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8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5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3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4.1.2</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Transferred Regulatory Materials</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4.1.3</w:t>
      </w:r>
    </w:p>
    <w:p>
      <w:pPr>
        <w:pStyle w:val="TextBody"/>
        <w:bidi w:val="0"/>
        <w:jc w:val="center"/>
        <w:rPr>
          <w:rFonts w:ascii="Times New Roman" w:hAnsi="Times New Roman"/>
          <w:b/>
          <w:color w:val="000000"/>
          <w:sz w:val="24"/>
        </w:rPr>
      </w:pPr>
      <w:r>
        <w:rPr>
          <w:rFonts w:ascii="Times New Roman" w:hAnsi="Times New Roman"/>
          <w:b/>
          <w:color w:val="000000"/>
          <w:sz w:val="24"/>
        </w:rPr>
        <w:t>Existing Inventory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4.4.1</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5.2</w:t>
      </w:r>
    </w:p>
    <w:p>
      <w:pPr>
        <w:pStyle w:val="TextBody"/>
        <w:bidi w:val="0"/>
        <w:jc w:val="center"/>
        <w:rPr>
          <w:rFonts w:ascii="Times New Roman" w:hAnsi="Times New Roman"/>
          <w:b/>
          <w:color w:val="000000"/>
          <w:sz w:val="24"/>
        </w:rPr>
      </w:pPr>
      <w:r>
        <w:rPr>
          <w:rFonts w:ascii="Times New Roman" w:hAnsi="Times New Roman"/>
          <w:b/>
          <w:color w:val="000000"/>
          <w:sz w:val="24"/>
        </w:rPr>
        <w:t>Term Sheet of Clinical Supply Agreement</w:t>
      </w:r>
    </w:p>
    <w:p>
      <w:pPr>
        <w:pStyle w:val="TextBody"/>
        <w:bidi w:val="0"/>
        <w:jc w:val="center"/>
        <w:rPr/>
      </w:pPr>
      <w:r>
        <w:rPr/>
        <w:t> </w:t>
      </w:r>
    </w:p>
    <w:p>
      <w:pPr>
        <w:pStyle w:val="TextBody"/>
        <w:bidi w:val="0"/>
        <w:spacing w:before="10" w:after="240"/>
        <w:jc w:val="both"/>
        <w:rPr/>
      </w:pPr>
      <w:r>
        <w:rPr/>
        <w:t> </w:t>
      </w:r>
    </w:p>
    <w:tbl>
      <w:tblPr>
        <w:tblW w:w="5768" w:type="dxa"/>
        <w:jc w:val="left"/>
        <w:tblInd w:w="0" w:type="dxa"/>
        <w:tblLayout w:type="fixed"/>
        <w:tblCellMar>
          <w:top w:w="28" w:type="dxa"/>
          <w:left w:w="28" w:type="dxa"/>
          <w:bottom w:w="28" w:type="dxa"/>
          <w:right w:w="28" w:type="dxa"/>
        </w:tblCellMar>
      </w:tblPr>
      <w:tblGrid>
        <w:gridCol w:w="5134"/>
        <w:gridCol w:w="634"/>
      </w:tblGrid>
      <w:tr>
        <w:trPr/>
        <w:tc>
          <w:tcPr>
            <w:tcW w:w="51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ind w:left="0" w:right="0" w:firstLine="110"/>
              <w:jc w:val="left"/>
              <w:rPr>
                <w:sz w:val="4"/>
                <w:szCs w:val="4"/>
              </w:rPr>
            </w:pPr>
            <w:r>
              <w:rPr>
                <w:sz w:val="4"/>
                <w:szCs w:val="4"/>
              </w:rPr>
            </w:r>
          </w:p>
        </w:tc>
      </w:tr>
      <w:tr>
        <w:trPr/>
        <w:tc>
          <w:tcPr>
            <w:tcW w:w="5134" w:type="dxa"/>
            <w:tcBorders>
              <w:top w:val="single" w:sz="4" w:space="0" w:color="000000"/>
              <w:left w:val="single" w:sz="4" w:space="0" w:color="000000"/>
              <w:bottom w:val="single" w:sz="6" w:space="0" w:color="000000"/>
              <w:right w:val="single" w:sz="6" w:space="0" w:color="000000"/>
            </w:tcBorders>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Summary</w:t>
            </w:r>
          </w:p>
        </w:tc>
        <w:tc>
          <w:tcPr>
            <w:tcW w:w="634"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86"/>
              <w:jc w:val="left"/>
              <w:rPr>
                <w:rFonts w:ascii="Times New Roman" w:hAnsi="Times New Roman"/>
                <w:b/>
                <w:color w:val="000000"/>
                <w:sz w:val="24"/>
              </w:rPr>
            </w:pPr>
            <w:r>
              <w:rPr>
                <w:rFonts w:ascii="Times New Roman" w:hAnsi="Times New Roman"/>
                <w:b/>
                <w:color w:val="000000"/>
                <w:sz w:val="24"/>
              </w:rPr>
              <w:t>Manufacture and Supply</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Subcontracting</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4"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Forecast, Orders</w:t>
            </w:r>
          </w:p>
        </w:tc>
        <w:tc>
          <w:tcPr>
            <w:tcW w:w="634" w:type="dxa"/>
            <w:tcBorders>
              <w:bottom w:val="single" w:sz="4"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Delivery Terms</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Supply Price; Payment</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Quality &amp; Documentation</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8"/>
              <w:jc w:val="left"/>
              <w:rPr>
                <w:rFonts w:ascii="Times New Roman" w:hAnsi="Times New Roman"/>
                <w:b/>
                <w:color w:val="000000"/>
                <w:sz w:val="24"/>
              </w:rPr>
            </w:pPr>
            <w:r>
              <w:rPr>
                <w:rFonts w:ascii="Times New Roman" w:hAnsi="Times New Roman"/>
                <w:b/>
                <w:color w:val="000000"/>
                <w:sz w:val="24"/>
              </w:rPr>
              <w:t>Manufacturing Representations and Warranties</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sz w:val="24"/>
              </w:rPr>
            </w:pPr>
            <w:r>
              <w:rPr>
                <w:rFonts w:ascii="Times New Roman" w:hAnsi="Times New Roman"/>
                <w:b/>
                <w:color w:val="000000"/>
                <w:sz w:val="24"/>
              </w:rPr>
              <w:t>Inspection, Acceptance and Rejection</w:t>
            </w:r>
            <w:r>
              <w:rPr>
                <w:rFonts w:ascii="Times New Roman" w:hAnsi="Times New Roman"/>
                <w:color w:val="000000"/>
                <w:sz w:val="24"/>
              </w:rPr>
              <w:t xml:space="preserve"> </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Responsibilities of Day One</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05"/>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6" w:space="0" w:color="000000"/>
              <w:right w:val="single" w:sz="6" w:space="0" w:color="000000"/>
            </w:tcBorders>
            <w:tcMar>
              <w:top w:w="0" w:type="dxa"/>
            </w:tcMar>
            <w:vAlign w:val="center"/>
          </w:tcPr>
          <w:p>
            <w:pPr>
              <w:pStyle w:val="TableContents"/>
              <w:bidi w:val="0"/>
              <w:spacing w:before="80" w:after="80"/>
              <w:ind w:left="0" w:right="0" w:firstLine="105"/>
              <w:jc w:val="both"/>
              <w:rPr>
                <w:rFonts w:ascii="Times New Roman" w:hAnsi="Times New Roman"/>
                <w:b/>
                <w:color w:val="000000"/>
                <w:sz w:val="24"/>
              </w:rPr>
            </w:pPr>
            <w:r>
              <w:rPr>
                <w:rFonts w:ascii="Times New Roman" w:hAnsi="Times New Roman"/>
                <w:b/>
                <w:color w:val="000000"/>
                <w:sz w:val="24"/>
              </w:rPr>
              <w:t>Governing Law; Dispute Resolution</w:t>
            </w:r>
          </w:p>
        </w:tc>
        <w:tc>
          <w:tcPr>
            <w:tcW w:w="634" w:type="dxa"/>
            <w:tcBorders>
              <w:bottom w:val="single" w:sz="6" w:space="0" w:color="000000"/>
              <w:right w:val="single" w:sz="4" w:space="0" w:color="000000"/>
            </w:tcBorders>
            <w:tcMar>
              <w:top w:w="0" w:type="dxa"/>
              <w:left w:w="0" w:type="dxa"/>
            </w:tcMar>
            <w:vAlign w:val="center"/>
          </w:tcPr>
          <w:p>
            <w:pPr>
              <w:pStyle w:val="TableContents"/>
              <w:bidi w:val="0"/>
              <w:spacing w:before="80" w:after="80"/>
              <w:ind w:left="0" w:right="0" w:firstLine="110"/>
              <w:jc w:val="both"/>
              <w:rPr>
                <w:rFonts w:ascii="Times New Roman" w:hAnsi="Times New Roman"/>
                <w:color w:val="000000"/>
                <w:sz w:val="24"/>
              </w:rPr>
            </w:pPr>
            <w:r>
              <w:rPr>
                <w:rFonts w:ascii="Times New Roman" w:hAnsi="Times New Roman"/>
                <w:color w:val="000000"/>
                <w:sz w:val="24"/>
              </w:rPr>
              <w:t>[*]</w:t>
            </w:r>
          </w:p>
        </w:tc>
      </w:tr>
      <w:tr>
        <w:trPr/>
        <w:tc>
          <w:tcPr>
            <w:tcW w:w="5134" w:type="dxa"/>
            <w:tcBorders>
              <w:left w:val="single" w:sz="4" w:space="0" w:color="000000"/>
              <w:bottom w:val="single" w:sz="4" w:space="0" w:color="000000"/>
              <w:right w:val="single" w:sz="6" w:space="0" w:color="000000"/>
            </w:tcBorders>
            <w:tcMar>
              <w:top w:w="0" w:type="dxa"/>
            </w:tcMar>
            <w:vAlign w:val="center"/>
          </w:tcPr>
          <w:p>
            <w:pPr>
              <w:pStyle w:val="TableContents"/>
              <w:bidi w:val="0"/>
              <w:spacing w:before="80" w:after="80"/>
              <w:ind w:left="0" w:right="0" w:firstLine="105"/>
              <w:jc w:val="left"/>
              <w:rPr>
                <w:rFonts w:ascii="Times New Roman" w:hAnsi="Times New Roman"/>
                <w:b/>
                <w:color w:val="000000"/>
                <w:sz w:val="24"/>
              </w:rPr>
            </w:pPr>
            <w:r>
              <w:rPr>
                <w:rFonts w:ascii="Times New Roman" w:hAnsi="Times New Roman"/>
                <w:b/>
                <w:color w:val="000000"/>
                <w:sz w:val="24"/>
              </w:rPr>
              <w:t>Other Customary Provisions</w:t>
            </w:r>
          </w:p>
        </w:tc>
        <w:tc>
          <w:tcPr>
            <w:tcW w:w="634" w:type="dxa"/>
            <w:tcBorders>
              <w:bottom w:val="single" w:sz="4" w:space="0" w:color="000000"/>
              <w:right w:val="single" w:sz="4" w:space="0" w:color="000000"/>
            </w:tcBorders>
            <w:tcMar>
              <w:top w:w="0" w:type="dxa"/>
              <w:left w:w="0" w:type="dxa"/>
            </w:tcMar>
            <w:vAlign w:val="center"/>
          </w:tcPr>
          <w:p>
            <w:pPr>
              <w:pStyle w:val="TableContents"/>
              <w:bidi w:val="0"/>
              <w:spacing w:before="80" w:after="80"/>
              <w:ind w:left="105" w:right="108" w:firstLine="105"/>
              <w:jc w:val="both"/>
              <w:rPr>
                <w:rFonts w:ascii="Times New Roman" w:hAnsi="Times New Roman"/>
                <w:color w:val="000000"/>
                <w:sz w:val="24"/>
              </w:rPr>
            </w:pPr>
            <w:r>
              <w:rPr>
                <w:rFonts w:ascii="Times New Roman" w:hAnsi="Times New Roman"/>
                <w:color w:val="000000"/>
                <w:sz w:val="24"/>
              </w:rPr>
              <w:t>[*]</w:t>
            </w:r>
          </w:p>
        </w:tc>
      </w:tr>
    </w:tbl>
    <w:p>
      <w:pPr>
        <w:pStyle w:val="TextBody"/>
        <w:bidi w:val="0"/>
        <w:spacing w:before="3" w:after="24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7.5.1</w:t>
      </w:r>
    </w:p>
    <w:p>
      <w:pPr>
        <w:pStyle w:val="TextBody"/>
        <w:bidi w:val="0"/>
        <w:jc w:val="center"/>
        <w:rPr>
          <w:rFonts w:ascii="Times New Roman" w:hAnsi="Times New Roman"/>
          <w:b/>
          <w:color w:val="000000"/>
          <w:sz w:val="24"/>
        </w:rPr>
      </w:pPr>
      <w:r>
        <w:rPr>
          <w:rFonts w:ascii="Times New Roman" w:hAnsi="Times New Roman"/>
          <w:b/>
          <w:color w:val="000000"/>
          <w:sz w:val="24"/>
        </w:rPr>
        <w:t>Press Release</w:t>
      </w:r>
    </w:p>
    <w:p>
      <w:pPr>
        <w:pStyle w:val="TextBody"/>
        <w:bidi w:val="0"/>
        <w:jc w:val="center"/>
        <w:rPr/>
      </w:pPr>
      <w:r>
        <w:rPr/>
        <w:t> </w:t>
      </w:r>
    </w:p>
    <w:p>
      <w:pPr>
        <w:pStyle w:val="TextBody"/>
        <w:bidi w:val="0"/>
        <w:jc w:val="center"/>
        <w:rPr/>
      </w:pPr>
      <w:r>
        <w:rPr/>
        <w:drawing>
          <wp:inline distT="0" distB="0" distL="0" distR="0">
            <wp:extent cx="14478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723900"/>
                    </a:xfrm>
                    <a:prstGeom prst="rect">
                      <a:avLst/>
                    </a:prstGeom>
                  </pic:spPr>
                </pic:pic>
              </a:graphicData>
            </a:graphic>
          </wp:inline>
        </w:drawing>
      </w:r>
      <w:r>
        <w:rPr/>
        <w:t> </w:t>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8"/>
        </w:rPr>
        <w:t>Day One Expands Pipeline with Potential First-in-Class Clinical-Stage Antibody Drug Conjugate (ADC) Targeting PTK7 in Solid Tumors for Adult and Pediatric Cancers</w:t>
      </w:r>
      <w:r>
        <w:rPr>
          <w:rFonts w:ascii="Times New Roman" w:hAnsi="Times New Roman"/>
          <w:color w:val="000000"/>
          <w:sz w:val="20"/>
        </w:rPr>
        <w:t xml:space="preserve"> </w:t>
      </w:r>
    </w:p>
    <w:p>
      <w:pPr>
        <w:pStyle w:val="TextBody"/>
        <w:bidi w:val="0"/>
        <w:jc w:val="center"/>
        <w:rPr>
          <w:rFonts w:ascii="Calibri;sans-serif" w:hAnsi="Calibri;sans-serif"/>
          <w:i/>
          <w:color w:val="000000"/>
          <w:sz w:val="22"/>
        </w:rPr>
      </w:pPr>
      <w:r>
        <w:rPr>
          <w:rFonts w:ascii="Calibri;sans-serif" w:hAnsi="Calibri;sans-serif"/>
          <w:i/>
          <w:color w:val="000000"/>
          <w:sz w:val="22"/>
        </w:rPr>
        <w:t>Day One receives exclusive license for development and commercialization of MTX-13 (DAY301), which received IND clearance by the FDA in April 2024</w:t>
      </w:r>
    </w:p>
    <w:p>
      <w:pPr>
        <w:pStyle w:val="TextBody"/>
        <w:bidi w:val="0"/>
        <w:jc w:val="center"/>
        <w:rPr/>
      </w:pPr>
      <w:r>
        <w:rPr/>
        <w:t> </w:t>
      </w:r>
    </w:p>
    <w:p>
      <w:pPr>
        <w:pStyle w:val="TextBody"/>
        <w:bidi w:val="0"/>
        <w:jc w:val="center"/>
        <w:rPr>
          <w:rFonts w:ascii="Calibri;sans-serif" w:hAnsi="Calibri;sans-serif"/>
          <w:i/>
          <w:color w:val="000000"/>
          <w:sz w:val="22"/>
        </w:rPr>
      </w:pPr>
      <w:r>
        <w:rPr>
          <w:rFonts w:ascii="Calibri;sans-serif" w:hAnsi="Calibri;sans-serif"/>
          <w:i/>
          <w:color w:val="000000"/>
          <w:sz w:val="22"/>
        </w:rPr>
        <w:t>Targets PTK7, highly expressed in broad range of adult and pediatric solid tumors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b/>
          <w:color w:val="000000"/>
          <w:sz w:val="22"/>
        </w:rPr>
        <w:t>BRISBANE, Calif., June X, 2024 –</w:t>
      </w:r>
      <w:r>
        <w:rPr>
          <w:rFonts w:ascii="Times New Roman" w:hAnsi="Times New Roman"/>
          <w:color w:val="000000"/>
          <w:sz w:val="20"/>
        </w:rPr>
        <w:t xml:space="preserve"> </w:t>
      </w:r>
      <w:r>
        <w:rPr>
          <w:rFonts w:ascii="Calibri;sans-serif" w:hAnsi="Calibri;sans-serif"/>
          <w:color w:val="000000"/>
          <w:sz w:val="22"/>
        </w:rPr>
        <w:t>Day One Biopharmaceuticals (Nasdaq: DAWN) (“Day One” or the “Company”), a commercial-stage biopharmaceutical company dedicated to developing and commercializing targeted therapies for people of all ages with life-threatening diseases, today announced it has entered into an exclusive licensing agreement (the Agreement) with MabCare Therapeutics (MabCare) for MTX-13, a novel ADC targeting protein-tyrosine kinase 7 (PTK7). Pursuant to the terms of the Agreement, Day One has exclusive rights to develop, manufacture, and commercialize MTX-13 worldwide, excluding Greater China.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In April 2024, the U.S. Food and Drug Administration (FDA) cleared the investigational new drug (IND) application for MTX-13, which going forward will be identified as DAY301. In pre-clinical studies, DAY301 showed antitumor activity in a wide range of solid tumors.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2"/>
        </w:rPr>
        <w:t>Our priorities for 2024 are to successfully launch OJEMDA</w:t>
      </w:r>
      <w:r>
        <w:rPr>
          <w:rFonts w:ascii="Calibri;sans-serif" w:hAnsi="Calibri;sans-serif"/>
          <w:color w:val="000000"/>
          <w:sz w:val="15"/>
        </w:rPr>
        <w:t>TM</w:t>
      </w:r>
      <w:r>
        <w:rPr>
          <w:rFonts w:ascii="Times New Roman" w:hAnsi="Times New Roman"/>
          <w:color w:val="000000"/>
          <w:sz w:val="20"/>
        </w:rPr>
        <w:t xml:space="preserve"> </w:t>
      </w:r>
      <w:r>
        <w:rPr>
          <w:rFonts w:ascii="Calibri;sans-serif" w:hAnsi="Calibri;sans-serif"/>
          <w:color w:val="000000"/>
          <w:sz w:val="22"/>
        </w:rPr>
        <w:t>(tovorafenib), to advance our existing programs and to expand our pipeline by in-licensing clinical-stage assets that have the potential to transform outcomes for patients of all ages living with cancers,” said Jeremy Bender, Ph.D., chief executive officer of Day One. “We are excited by the opportunity presented by DAY301, and we believe we have the right team in place to develop the program to its full potential.”</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DAY301 targets PTK7, a highly-conserved, catalytically inactive transmembrane protein that is overexpressed in multiple adult cancers, including esophageal, ovarian, lung, and endometrial cancer, as well as pediatric cancers such as neuroblastoma, rhabdosarcoma and osteosarcoma. PTK7 has limited expression in normal tissues or organs, making it an attractive target for therapeutic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2"/>
        </w:rPr>
        <w:t>The addition of DAY301 to our pipeline strategically fits our mission of advancing both pediatric and adult medicines in areas of unmet need with equal urgency,” said Dr. Samuel Blackman, co-founder and head of research and development at Day One. “We believe the linker-payload technology embodied in DAY301 will overcome the limitations of earlier PTK7-targeted ADCs, giving us a potential first-in-class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drug against a clinically-validated target. We are excited to add this program to Day One and will look to enter the clinic in the coming months.”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Under the terms of the licensing agreement, MabCare will receive $55 million upfront, and is eligible to receive an additional $1.152 billion in development, regulatory and commercial success-based milestones, plus low-to-mid single-digit royalties on net sales outside of Greater China. Day One expects the first patient to be dosed in the Phase I study in late Q4 2024 or early Q1 2025.</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Day One Biopharmaceuticals</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Day One Biopharmaceuticals is a commercial-stage biopharmaceutical company that believes when it comes to pediatric cancer, we can do better. The Company was founded to address a critical unmet need: the dire lack of therapeutic development in pediatric cancer. Inspired by “The Day One Talk” that physicians have with patients and their families about an initial cancer diagnosis and treatment plan, Day One aims to re-envision cancer drug development and redefine what’s possible for all people living with cancer—regardless of age—starting from Day One.</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Day One partners with leading clinical oncologists, families, and scientists to identify, acquire, and develop important targeted cancer treatments. The Company’s pipeline includes tovorafenib (OJEMDA) and pimasertib.</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 xml:space="preserve">Day One is based in Brisbane, California. For more information, please visit </w:t>
      </w:r>
      <w:r>
        <w:rPr>
          <w:rFonts w:ascii="Calibri;sans-serif" w:hAnsi="Calibri;sans-serif"/>
          <w:sz w:val="22"/>
        </w:rPr>
        <w:t>www.dayonebio.com</w:t>
      </w:r>
      <w:r>
        <w:rPr>
          <w:rFonts w:ascii="Times New Roman" w:hAnsi="Times New Roman"/>
          <w:color w:val="000000"/>
          <w:sz w:val="20"/>
        </w:rPr>
        <w:t xml:space="preserve"> </w:t>
      </w:r>
      <w:r>
        <w:rPr>
          <w:rFonts w:ascii="Calibri;sans-serif" w:hAnsi="Calibri;sans-serif"/>
          <w:color w:val="000000"/>
          <w:sz w:val="22"/>
        </w:rPr>
        <w:t xml:space="preserve">or find the Company on </w:t>
      </w:r>
      <w:r>
        <w:rPr>
          <w:rFonts w:ascii="Calibri;sans-serif" w:hAnsi="Calibri;sans-serif"/>
          <w:sz w:val="22"/>
        </w:rPr>
        <w:t>LinkedIn</w:t>
      </w:r>
      <w:r>
        <w:rPr>
          <w:rFonts w:ascii="Times New Roman" w:hAnsi="Times New Roman"/>
          <w:color w:val="000000"/>
          <w:sz w:val="20"/>
        </w:rPr>
        <w:t xml:space="preserve"> </w:t>
      </w:r>
      <w:r>
        <w:rPr>
          <w:rFonts w:ascii="Calibri;sans-serif" w:hAnsi="Calibri;sans-serif"/>
          <w:color w:val="000000"/>
          <w:sz w:val="22"/>
        </w:rPr>
        <w:t xml:space="preserve">or </w:t>
      </w:r>
      <w:r>
        <w:rPr>
          <w:rFonts w:ascii="Calibri;sans-serif" w:hAnsi="Calibri;sans-serif"/>
          <w:sz w:val="22"/>
        </w:rPr>
        <w:t>X</w:t>
      </w:r>
      <w:r>
        <w:rPr>
          <w:rFonts w:ascii="Calibri;sans-serif" w:hAnsi="Calibri;sans-serif"/>
          <w:color w:val="000000"/>
          <w:sz w:val="22"/>
        </w:rPr>
        <w:t>.</w:t>
      </w:r>
    </w:p>
    <w:p>
      <w:pPr>
        <w:pStyle w:val="TextBody"/>
        <w:bidi w:val="0"/>
        <w:jc w:val="both"/>
        <w:rPr/>
      </w:pPr>
      <w:r>
        <w:rPr/>
        <w:t> </w:t>
      </w:r>
    </w:p>
    <w:p>
      <w:pPr>
        <w:pStyle w:val="TextBody"/>
        <w:bidi w:val="0"/>
        <w:jc w:val="both"/>
        <w:rPr>
          <w:rFonts w:ascii="Calibri;sans-serif" w:hAnsi="Calibri;sans-serif"/>
          <w:b/>
          <w:color w:val="000000"/>
          <w:sz w:val="22"/>
        </w:rPr>
      </w:pPr>
      <w:r>
        <w:rPr>
          <w:rFonts w:ascii="Calibri;sans-serif" w:hAnsi="Calibri;sans-serif"/>
          <w:b/>
          <w:color w:val="000000"/>
          <w:sz w:val="22"/>
        </w:rPr>
        <w:t>Cautionary Note Regarding Forward-Looking Statements</w:t>
      </w:r>
    </w:p>
    <w:p>
      <w:pPr>
        <w:pStyle w:val="TextBody"/>
        <w:bidi w:val="0"/>
        <w:jc w:val="left"/>
        <w:rPr>
          <w:rFonts w:ascii="Calibri;sans-serif" w:hAnsi="Calibri;sans-serif"/>
          <w:color w:val="000000"/>
          <w:sz w:val="22"/>
        </w:rPr>
      </w:pPr>
      <w:r>
        <w:rPr>
          <w:rFonts w:ascii="Calibri;sans-serif" w:hAnsi="Calibri;sans-serif"/>
          <w:color w:val="000000"/>
          <w:sz w:val="22"/>
        </w:rPr>
        <w:t>This press release contains “forward-looking” statements within the meaning of the “safe harbor” provisions of the Private Securities Litigation Reform Act of 1995, including, but not limited to: Day One’s plans to develop cancer therapies, including DAY301, expectations regarding planned and current clinical trials and the ability of tovorafenib to treat pLGG or related indications.</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Statements including words such as “believe,” “plan,” “continue,” “expect,” “will,” “develop,” “signal,” “potential,”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Forward-looking statements are subject to risks and uncertainties that may cause Day One’s actual activities or results to differ significantly from those expressed in any forward-looking statement, including risks and uncertainties in this press release and other risks set forth in our filings with the Securities and Exchange Commission, including Day One’s ability to develop, obtain regulatory approval for or commercialize any product candidate, Day One’s ability to protect intellectual property, the potential impact of global business or macroeconomic conditions, including as a result of inflation, rising interest rates, instability in the global banking system, geopolitical conflicts and the sufficiency of Day One’s cash, cash equivalents and investments to fund its operations. These forward-looking statements speak only as of the date hereof and Day One specifically disclaims any obligation to update these forward-looking statements or reasons why actual results might differ, whether as a result of new information, future events or otherwise, except as required by law.</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9.2.3</w:t>
      </w:r>
    </w:p>
    <w:p>
      <w:pPr>
        <w:pStyle w:val="TextBody"/>
        <w:bidi w:val="0"/>
        <w:jc w:val="center"/>
        <w:rPr>
          <w:rFonts w:ascii="Times New Roman" w:hAnsi="Times New Roman"/>
          <w:b/>
          <w:color w:val="000000"/>
          <w:sz w:val="24"/>
        </w:rPr>
      </w:pPr>
      <w:r>
        <w:rPr>
          <w:rFonts w:ascii="Times New Roman" w:hAnsi="Times New Roman"/>
          <w:b/>
          <w:color w:val="000000"/>
          <w:sz w:val="24"/>
        </w:rPr>
        <w:t>MabCare In-License and Other Agreement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9.2.22</w:t>
      </w:r>
    </w:p>
    <w:p>
      <w:pPr>
        <w:pStyle w:val="TextBody"/>
        <w:bidi w:val="0"/>
        <w:jc w:val="center"/>
        <w:rPr>
          <w:rFonts w:ascii="Times New Roman" w:hAnsi="Times New Roman"/>
          <w:b/>
          <w:color w:val="000000"/>
          <w:sz w:val="24"/>
        </w:rPr>
      </w:pPr>
      <w:r>
        <w:rPr>
          <w:rFonts w:ascii="Times New Roman" w:hAnsi="Times New Roman"/>
          <w:b/>
          <w:color w:val="000000"/>
          <w:sz w:val="24"/>
        </w:rPr>
        <w:t>INDs, MAAs and Regulatory Approvals</w:t>
      </w:r>
    </w:p>
    <w:p>
      <w:pPr>
        <w:pStyle w:val="TextBody"/>
        <w:bidi w:val="0"/>
        <w:jc w:val="center"/>
        <w:rPr>
          <w:rFonts w:ascii="Times New Roman" w:hAnsi="Times New Roman"/>
          <w:b/>
          <w:color w:val="000000"/>
          <w:sz w:val="24"/>
        </w:rPr>
      </w:pPr>
      <w:r>
        <w:rPr>
          <w:rFonts w:ascii="Times New Roman" w:hAnsi="Times New Roman"/>
          <w:b/>
          <w:color w:val="000000"/>
          <w:sz w:val="24"/>
        </w:rPr>
        <w:t>for the Licensed Compounds and Licensed Products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11.9.2</w:t>
      </w:r>
    </w:p>
    <w:p>
      <w:pPr>
        <w:pStyle w:val="TextBody"/>
        <w:bidi w:val="0"/>
        <w:jc w:val="center"/>
        <w:rPr>
          <w:rFonts w:ascii="Times New Roman" w:hAnsi="Times New Roman"/>
          <w:b/>
          <w:color w:val="000000"/>
          <w:sz w:val="22"/>
        </w:rPr>
      </w:pPr>
      <w:r>
        <w:rPr>
          <w:rFonts w:ascii="Times New Roman" w:hAnsi="Times New Roman"/>
          <w:b/>
          <w:color w:val="000000"/>
          <w:sz w:val="22"/>
        </w:rPr>
        <w:t>Arbitration Terms relating to Reversion License Dispute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42" w:name="dawn-ex31_1.htm"/>
      <w:bookmarkStart w:id="43" w:name="ksdawnex31_1"/>
      <w:bookmarkEnd w:id="42"/>
      <w:bookmarkEnd w:id="43"/>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086" w:type="dxa"/>
        <w:jc w:val="left"/>
        <w:tblInd w:w="0" w:type="dxa"/>
        <w:tblLayout w:type="fixed"/>
        <w:tblCellMar>
          <w:top w:w="28" w:type="dxa"/>
          <w:left w:w="28" w:type="dxa"/>
          <w:bottom w:w="28" w:type="dxa"/>
          <w:right w:w="28" w:type="dxa"/>
        </w:tblCellMar>
      </w:tblPr>
      <w:tblGrid>
        <w:gridCol w:w="1846"/>
        <w:gridCol w:w="335"/>
        <w:gridCol w:w="2905"/>
      </w:tblGrid>
      <w:tr>
        <w:trPr/>
        <w:tc>
          <w:tcPr>
            <w:tcW w:w="18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905"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Jeremy Bender, Ph.D.,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44" w:name="dawn-ex31_2.htm"/>
      <w:bookmarkStart w:id="45" w:name="ksdawnex31_2"/>
      <w:bookmarkEnd w:id="44"/>
      <w:bookmarkEnd w:id="4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7156" w:type="dxa"/>
        <w:jc w:val="left"/>
        <w:tblInd w:w="0" w:type="dxa"/>
        <w:tblLayout w:type="fixed"/>
        <w:tblCellMar>
          <w:top w:w="28" w:type="dxa"/>
          <w:left w:w="28" w:type="dxa"/>
          <w:bottom w:w="28" w:type="dxa"/>
          <w:right w:w="28" w:type="dxa"/>
        </w:tblCellMar>
      </w:tblPr>
      <w:tblGrid>
        <w:gridCol w:w="1846"/>
        <w:gridCol w:w="618"/>
        <w:gridCol w:w="4692"/>
      </w:tblGrid>
      <w:tr>
        <w:trPr/>
        <w:tc>
          <w:tcPr>
            <w:tcW w:w="18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46" w:name="dawn-ex32_1.htm"/>
      <w:bookmarkStart w:id="47" w:name="ksdawnex32_1"/>
      <w:bookmarkEnd w:id="46"/>
      <w:bookmarkEnd w:id="47"/>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Chief Executive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June 30, 2024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236" w:type="dxa"/>
        <w:jc w:val="left"/>
        <w:tblInd w:w="0" w:type="dxa"/>
        <w:tblLayout w:type="fixed"/>
        <w:tblCellMar>
          <w:top w:w="28" w:type="dxa"/>
          <w:left w:w="28" w:type="dxa"/>
          <w:bottom w:w="28" w:type="dxa"/>
          <w:right w:w="28" w:type="dxa"/>
        </w:tblCellMar>
      </w:tblPr>
      <w:tblGrid>
        <w:gridCol w:w="1996"/>
        <w:gridCol w:w="342"/>
        <w:gridCol w:w="2898"/>
      </w:tblGrid>
      <w:tr>
        <w:trPr/>
        <w:tc>
          <w:tcPr>
            <w:tcW w:w="199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Dated: August 2, 2024 </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8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48" w:name="dawn-ex32_2.htm"/>
      <w:bookmarkStart w:id="49" w:name="ksdawnex32_2"/>
      <w:bookmarkEnd w:id="48"/>
      <w:bookmarkEnd w:id="49"/>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Chief Financial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June 30, 2024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261" w:type="dxa"/>
        <w:jc w:val="left"/>
        <w:tblInd w:w="0" w:type="dxa"/>
        <w:tblLayout w:type="fixed"/>
        <w:tblCellMar>
          <w:top w:w="28" w:type="dxa"/>
          <w:left w:w="28" w:type="dxa"/>
          <w:bottom w:w="28" w:type="dxa"/>
          <w:right w:w="28" w:type="dxa"/>
        </w:tblCellMar>
      </w:tblPr>
      <w:tblGrid>
        <w:gridCol w:w="1951"/>
        <w:gridCol w:w="618"/>
        <w:gridCol w:w="4692"/>
      </w:tblGrid>
      <w:tr>
        <w:trPr/>
        <w:tc>
          <w:tcPr>
            <w:tcW w:w="195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2, 2024</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ptos">
    <w:altName w:val="serif"/>
    <w:charset w:val="01"/>
    <w:family w:val="auto"/>
    <w:pitch w:val="default"/>
  </w:font>
  <w:font w:name="MS Gothic">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115609</Words>
  <Characters>639620</Characters>
  <CharactersWithSpaces>754360</CharactersWithSpaces>
  <Paragraphs>8242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