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5" w:lineRule="exact"/>
        <w:rPr>
          <w:sz w:val="24"/>
          <w:szCs w:val="24"/>
          <w:color w:val="auto"/>
        </w:rPr>
      </w:pPr>
    </w:p>
    <w:p>
      <w:pPr>
        <w:ind w:left="120"/>
        <w:spacing w:after="0"/>
        <w:rPr>
          <w:sz w:val="20"/>
          <w:szCs w:val="20"/>
          <w:color w:val="auto"/>
        </w:rPr>
      </w:pPr>
      <w:r>
        <w:rPr>
          <w:rFonts w:ascii="Arial" w:cs="Arial" w:eastAsia="Arial" w:hAnsi="Arial"/>
          <w:sz w:val="14"/>
          <w:szCs w:val="14"/>
          <w:b w:val="1"/>
          <w:bCs w:val="1"/>
          <w:color w:val="auto"/>
        </w:rPr>
        <w:t>(Mark One)</w:t>
      </w:r>
    </w:p>
    <w:p>
      <w:pPr>
        <w:spacing w:after="0" w:line="7" w:lineRule="exact"/>
        <w:rPr>
          <w:sz w:val="24"/>
          <w:szCs w:val="24"/>
          <w:color w:val="auto"/>
        </w:rPr>
      </w:pPr>
    </w:p>
    <w:p>
      <w:pPr>
        <w:ind w:left="540" w:right="100" w:hanging="424"/>
        <w:spacing w:after="0" w:line="23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right="8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001-40431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DAY ONE BIOPHARMACEUTICALS, INC.</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620" w:type="dxa"/>
        <w:tblCellMar>
          <w:top w:w="0" w:type="dxa"/>
          <w:left w:w="0" w:type="dxa"/>
          <w:bottom w:w="0" w:type="dxa"/>
          <w:right w:w="0" w:type="dxa"/>
        </w:tblCellMar>
      </w:tblPr>
      <w:tr>
        <w:trPr>
          <w:trHeight w:val="212"/>
        </w:trPr>
        <w:tc>
          <w:tcPr>
            <w:tcW w:w="4400" w:type="dxa"/>
            <w:vAlign w:val="bottom"/>
          </w:tcPr>
          <w:p>
            <w:pPr>
              <w:jc w:val="center"/>
              <w:ind w:right="1759"/>
              <w:spacing w:after="0"/>
              <w:rPr>
                <w:sz w:val="20"/>
                <w:szCs w:val="20"/>
                <w:color w:val="auto"/>
              </w:rPr>
            </w:pPr>
            <w:r>
              <w:rPr>
                <w:rFonts w:ascii="Arial" w:cs="Arial" w:eastAsia="Arial" w:hAnsi="Arial"/>
                <w:sz w:val="18"/>
                <w:szCs w:val="18"/>
                <w:b w:val="1"/>
                <w:bCs w:val="1"/>
                <w:color w:val="auto"/>
                <w:w w:val="91"/>
              </w:rPr>
              <w:t>Delaware</w:t>
            </w:r>
          </w:p>
        </w:tc>
        <w:tc>
          <w:tcPr>
            <w:tcW w:w="3000" w:type="dxa"/>
            <w:vAlign w:val="bottom"/>
          </w:tcPr>
          <w:p>
            <w:pPr>
              <w:jc w:val="right"/>
              <w:ind w:right="41"/>
              <w:spacing w:after="0"/>
              <w:rPr>
                <w:sz w:val="20"/>
                <w:szCs w:val="20"/>
                <w:color w:val="auto"/>
              </w:rPr>
            </w:pPr>
            <w:r>
              <w:rPr>
                <w:rFonts w:ascii="Arial" w:cs="Arial" w:eastAsia="Arial" w:hAnsi="Arial"/>
                <w:sz w:val="18"/>
                <w:szCs w:val="18"/>
                <w:b w:val="1"/>
                <w:bCs w:val="1"/>
                <w:color w:val="auto"/>
              </w:rPr>
              <w:t>83-2415215</w:t>
            </w:r>
          </w:p>
        </w:tc>
      </w:tr>
      <w:tr>
        <w:trPr>
          <w:trHeight w:val="149"/>
        </w:trPr>
        <w:tc>
          <w:tcPr>
            <w:tcW w:w="4400" w:type="dxa"/>
            <w:vAlign w:val="bottom"/>
          </w:tcPr>
          <w:p>
            <w:pPr>
              <w:jc w:val="center"/>
              <w:ind w:right="17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00" w:type="dxa"/>
            <w:vAlign w:val="bottom"/>
          </w:tcPr>
          <w:p>
            <w:pPr>
              <w:jc w:val="center"/>
              <w:ind w:left="18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400" w:type="dxa"/>
            <w:vAlign w:val="bottom"/>
          </w:tcPr>
          <w:p>
            <w:pPr>
              <w:jc w:val="center"/>
              <w:ind w:right="1759"/>
              <w:spacing w:after="0"/>
              <w:rPr>
                <w:sz w:val="20"/>
                <w:szCs w:val="20"/>
                <w:color w:val="auto"/>
              </w:rPr>
            </w:pPr>
            <w:r>
              <w:rPr>
                <w:rFonts w:ascii="Arial" w:cs="Arial" w:eastAsia="Arial" w:hAnsi="Arial"/>
                <w:sz w:val="14"/>
                <w:szCs w:val="14"/>
                <w:b w:val="1"/>
                <w:bCs w:val="1"/>
                <w:color w:val="auto"/>
                <w:w w:val="94"/>
              </w:rPr>
              <w:t>incorporation or organization)</w:t>
            </w:r>
          </w:p>
        </w:tc>
        <w:tc>
          <w:tcPr>
            <w:tcW w:w="3000" w:type="dxa"/>
            <w:vAlign w:val="bottom"/>
          </w:tcPr>
          <w:p>
            <w:pPr>
              <w:jc w:val="center"/>
              <w:ind w:left="180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400" w:type="dxa"/>
            <w:vAlign w:val="bottom"/>
          </w:tcPr>
          <w:p>
            <w:pPr>
              <w:jc w:val="center"/>
              <w:ind w:right="1779"/>
              <w:spacing w:after="0"/>
              <w:rPr>
                <w:sz w:val="20"/>
                <w:szCs w:val="20"/>
                <w:color w:val="auto"/>
              </w:rPr>
            </w:pPr>
            <w:r>
              <w:rPr>
                <w:rFonts w:ascii="Arial" w:cs="Arial" w:eastAsia="Arial" w:hAnsi="Arial"/>
                <w:sz w:val="18"/>
                <w:szCs w:val="18"/>
                <w:b w:val="1"/>
                <w:bCs w:val="1"/>
                <w:color w:val="auto"/>
                <w:w w:val="90"/>
              </w:rPr>
              <w:t>395 Oyster Point Blvd., Suite 217</w:t>
            </w:r>
          </w:p>
        </w:tc>
        <w:tc>
          <w:tcPr>
            <w:tcW w:w="3000" w:type="dxa"/>
            <w:vAlign w:val="bottom"/>
          </w:tcPr>
          <w:p>
            <w:pPr>
              <w:jc w:val="right"/>
              <w:ind w:right="261"/>
              <w:spacing w:after="0"/>
              <w:rPr>
                <w:sz w:val="20"/>
                <w:szCs w:val="20"/>
                <w:color w:val="auto"/>
              </w:rPr>
            </w:pPr>
            <w:r>
              <w:rPr>
                <w:rFonts w:ascii="Arial" w:cs="Arial" w:eastAsia="Arial" w:hAnsi="Arial"/>
                <w:sz w:val="18"/>
                <w:szCs w:val="18"/>
                <w:b w:val="1"/>
                <w:bCs w:val="1"/>
                <w:color w:val="auto"/>
              </w:rPr>
              <w:t>94080</w:t>
            </w:r>
          </w:p>
        </w:tc>
      </w:tr>
      <w:tr>
        <w:trPr>
          <w:trHeight w:val="225"/>
        </w:trPr>
        <w:tc>
          <w:tcPr>
            <w:tcW w:w="4400" w:type="dxa"/>
            <w:vAlign w:val="bottom"/>
          </w:tcPr>
          <w:p>
            <w:pPr>
              <w:jc w:val="center"/>
              <w:ind w:right="1759"/>
              <w:spacing w:after="0"/>
              <w:rPr>
                <w:sz w:val="20"/>
                <w:szCs w:val="20"/>
                <w:color w:val="auto"/>
              </w:rPr>
            </w:pPr>
            <w:r>
              <w:rPr>
                <w:rFonts w:ascii="Arial" w:cs="Arial" w:eastAsia="Arial" w:hAnsi="Arial"/>
                <w:sz w:val="18"/>
                <w:szCs w:val="18"/>
                <w:b w:val="1"/>
                <w:bCs w:val="1"/>
                <w:color w:val="auto"/>
                <w:w w:val="89"/>
              </w:rPr>
              <w:t>South San Francisco, CA</w:t>
            </w:r>
          </w:p>
        </w:tc>
        <w:tc>
          <w:tcPr>
            <w:tcW w:w="3000" w:type="dxa"/>
            <w:vAlign w:val="bottom"/>
          </w:tcPr>
          <w:p>
            <w:pPr>
              <w:spacing w:after="0"/>
              <w:rPr>
                <w:sz w:val="19"/>
                <w:szCs w:val="19"/>
                <w:color w:val="auto"/>
              </w:rPr>
            </w:pPr>
          </w:p>
        </w:tc>
      </w:tr>
      <w:tr>
        <w:trPr>
          <w:trHeight w:val="186"/>
        </w:trPr>
        <w:tc>
          <w:tcPr>
            <w:tcW w:w="4400" w:type="dxa"/>
            <w:vAlign w:val="bottom"/>
          </w:tcPr>
          <w:p>
            <w:pPr>
              <w:jc w:val="center"/>
              <w:ind w:right="17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00" w:type="dxa"/>
            <w:vAlign w:val="bottom"/>
          </w:tcPr>
          <w:p>
            <w:pPr>
              <w:jc w:val="center"/>
              <w:ind w:left="180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(650) 484-0899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248920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48" w:lineRule="exact"/>
        <w:rPr>
          <w:sz w:val="24"/>
          <w:szCs w:val="24"/>
          <w:color w:val="auto"/>
        </w:rPr>
      </w:pPr>
    </w:p>
    <w:tbl>
      <w:tblPr>
        <w:tblLayout w:type="fixed"/>
        <w:tblInd w:w="120" w:type="dxa"/>
        <w:tblCellMar>
          <w:top w:w="0" w:type="dxa"/>
          <w:left w:w="0" w:type="dxa"/>
          <w:bottom w:w="0" w:type="dxa"/>
          <w:right w:w="0" w:type="dxa"/>
        </w:tblCellMar>
      </w:tblP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Trading 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par value $0.0001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9"/>
              </w:rPr>
              <w:t>DAWN</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r>
      <w:tr>
        <w:trPr>
          <w:trHeight w:val="234"/>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1"/>
              </w:rPr>
              <w:t>(Nasdaq Select Global Market)</w:t>
            </w:r>
          </w:p>
        </w:tc>
      </w:tr>
    </w:tbl>
    <w:p>
      <w:pPr>
        <w:spacing w:after="0" w:line="215" w:lineRule="exact"/>
        <w:rPr>
          <w:sz w:val="24"/>
          <w:szCs w:val="24"/>
          <w:color w:val="auto"/>
        </w:rPr>
      </w:pPr>
    </w:p>
    <w:p>
      <w:pPr>
        <w:ind w:left="120"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right="1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right="1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left="120"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120"/>
        <w:spacing w:after="0" w:line="207" w:lineRule="exact"/>
        <w:tabs>
          <w:tab w:leader="none" w:pos="8440" w:val="left"/>
          <w:tab w:leader="none" w:pos="91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ectPr>
          <w:pgSz w:w="11900" w:h="16838" w:orient="portrait"/>
          <w:cols w:equalWidth="0" w:num="1">
            <w:col w:w="11140"/>
          </w:cols>
          <w:pgMar w:left="320" w:top="230" w:right="439" w:bottom="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As of July 31, 2021, the registrant had 61,928,939 shares of common stock, $0.0001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175260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217805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12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This Quarterly Report contains forward-looking statements within the meaning of Section 21E of the Securities Exchange Act of 1934, as amended, or the Exchange Act, and section 27A of the Securities Act of 1933, as amended, or the Securities Act. All statements contained in this Quarterly Report other than statements of historical fact, including statements regarding our future results of operations and financial position, business strategy, market size, potential growth opportunities, nonclinical and clinical development activities, efficacy and safety profile of our product candidates, potential therapeutic benefits and economic value of our product candidates, use of net proceeds from our public offerings, our ability to maintain and recognize the benefits of certain designations received by product candidates, the timing and results of nonclinical studies and clinical trials, commercial collaboration with third parties, and our ability to recognize milestone and royalty payments from commercialization agreements, the expected impact of the COVID-19 pandemic on our operations, and the receipt and timing of potential regulatory designations, approvals and commercialization of product candidates, are forward-looking statements. The words “believe,” “may,” “will,” “potentially,” “estimate,” “continue,” “anticipate,” “predict,” “target,” “intend,” “could,” “would,” “should,” “project,” “plan,” “expect,” and similar expressions that convey uncertainty of future events or outcomes are intended to identify forward-looking statements, although not all forward-looking statements contain these identifying words.</w:t>
      </w:r>
    </w:p>
    <w:p>
      <w:pPr>
        <w:spacing w:after="0" w:line="172"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These forward-looking statements are subject to a number of risks, uncertainties and assumptions, including those described in Item 1A, “Risk Factors” and elsewhere in this Quarterly Report.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w:t>
      </w:r>
    </w:p>
    <w:p>
      <w:pPr>
        <w:spacing w:after="0" w:line="164"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report to conform these statements to actual results or to changes in our expectations, except as required by law. You should read this Quarterly Report with the understanding that our actual future results, levels of activity, performance and events and circumstances may be materially different from what we expect.</w:t>
      </w:r>
    </w:p>
    <w:p>
      <w:pPr>
        <w:spacing w:after="0" w:line="192"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Unless the context indicates otherwise, as used in this Quarterly Report on Form 10-Q, the terms “Day One,” “the Company,” “we,” “us,” and “our” refer to Day One Biopharmaceuticals, Inc., a Delaware corporation, and its consolidated subsidiaries taken as a whole, unless otherwise noted. “Day One” and all product candidate names are our common law trademarks. This Quarterly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ectPr>
          <w:pgSz w:w="11900" w:h="16838" w:orient="portrait"/>
          <w:cols w:equalWidth="0" w:num="1">
            <w:col w:w="11120"/>
          </w:cols>
          <w:pgMar w:left="320" w:top="486" w:right="4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9080" w:type="dxa"/>
            <w:vAlign w:val="bottom"/>
            <w:gridSpan w:val="2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20" w:type="dxa"/>
            <w:vAlign w:val="bottom"/>
            <w:gridSpan w:val="6"/>
          </w:tcPr>
          <w:p>
            <w:pPr>
              <w:ind w:left="280"/>
              <w:spacing w:after="0"/>
              <w:rPr>
                <w:sz w:val="20"/>
                <w:szCs w:val="20"/>
                <w:color w:val="auto"/>
              </w:rPr>
            </w:pPr>
            <w:r>
              <w:rPr>
                <w:rFonts w:ascii="Arial" w:cs="Arial" w:eastAsia="Arial" w:hAnsi="Arial"/>
                <w:sz w:val="18"/>
                <w:szCs w:val="18"/>
                <w:b w:val="1"/>
                <w:bCs w:val="1"/>
                <w:color w:val="auto"/>
              </w:rPr>
              <w:t>Table of Contents</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20" w:type="dxa"/>
            <w:vAlign w:val="bottom"/>
          </w:tcPr>
          <w:p>
            <w:pPr>
              <w:spacing w:after="0"/>
              <w:rPr>
                <w:sz w:val="24"/>
                <w:szCs w:val="24"/>
                <w:color w:val="auto"/>
              </w:rPr>
            </w:pPr>
          </w:p>
        </w:tc>
        <w:tc>
          <w:tcPr>
            <w:tcW w:w="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260" w:type="dxa"/>
            <w:vAlign w:val="bottom"/>
            <w:tcBorders>
              <w:bottom w:val="single" w:sz="8" w:color="0000EE"/>
            </w:tcBorders>
            <w:gridSpan w:val="10"/>
          </w:tcPr>
          <w:p>
            <w:pPr>
              <w:spacing w:after="0" w:line="190"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FINANCIAL INFORMATION</w:t>
              </w:r>
            </w:hyperlink>
          </w:p>
        </w:tc>
        <w:tc>
          <w:tcPr>
            <w:tcW w:w="5840" w:type="dxa"/>
            <w:vAlign w:val="bottom"/>
            <w:gridSpan w:val="9"/>
          </w:tcPr>
          <w:p>
            <w:pPr>
              <w:spacing w:after="0"/>
              <w:rPr>
                <w:sz w:val="16"/>
                <w:szCs w:val="16"/>
                <w:color w:val="auto"/>
              </w:rPr>
            </w:pPr>
          </w:p>
        </w:tc>
        <w:tc>
          <w:tcPr>
            <w:tcW w:w="2000" w:type="dxa"/>
            <w:vAlign w:val="bottom"/>
          </w:tcPr>
          <w:p>
            <w:pPr>
              <w:jc w:val="right"/>
              <w:spacing w:after="0" w:line="190"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30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Interim Financial Statements (Unaudited)</w:t>
              </w:r>
            </w:hyperlink>
          </w:p>
        </w:tc>
        <w:tc>
          <w:tcPr>
            <w:tcW w:w="5100" w:type="dxa"/>
            <w:vAlign w:val="bottom"/>
            <w:gridSpan w:val="7"/>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bottom w:val="single" w:sz="8" w:color="0000EE"/>
            </w:tcBorders>
            <w:gridSpan w:val="4"/>
          </w:tcPr>
          <w:p>
            <w:pPr>
              <w:spacing w:after="0" w:line="196"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Balance Sheets</w:t>
              </w:r>
            </w:hyperlink>
          </w:p>
        </w:tc>
        <w:tc>
          <w:tcPr>
            <w:tcW w:w="7000" w:type="dxa"/>
            <w:vAlign w:val="bottom"/>
            <w:gridSpan w:val="15"/>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100" w:type="dxa"/>
            <w:vAlign w:val="bottom"/>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Statements of Operations and Comprehensive Loss</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38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7">
              <w:r>
                <w:rPr>
                  <w:rFonts w:ascii="Arial" w:cs="Arial" w:eastAsia="Arial" w:hAnsi="Arial"/>
                  <w:sz w:val="18"/>
                  <w:szCs w:val="18"/>
                  <w:color w:val="0000EE"/>
                  <w:w w:val="92"/>
                </w:rPr>
                <w:t>Statements of Convertible Preferred Stock and Stockholders’ Equity/Members’ (Deficit)</w:t>
              </w:r>
            </w:hyperlink>
          </w:p>
        </w:tc>
        <w:tc>
          <w:tcPr>
            <w:tcW w:w="1720" w:type="dxa"/>
            <w:vAlign w:val="bottom"/>
            <w:gridSpan w:val="2"/>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Statements of Cash Flows</w:t>
              </w:r>
            </w:hyperlink>
          </w:p>
        </w:tc>
        <w:tc>
          <w:tcPr>
            <w:tcW w:w="6220" w:type="dxa"/>
            <w:vAlign w:val="bottom"/>
            <w:gridSpan w:val="10"/>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Notes to Condensed Consolidated Financial Statements</w:t>
              </w:r>
            </w:hyperlink>
          </w:p>
        </w:tc>
        <w:tc>
          <w:tcPr>
            <w:tcW w:w="4100" w:type="dxa"/>
            <w:vAlign w:val="bottom"/>
            <w:gridSpan w:val="5"/>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Management’s Discussion and Analysis of Financial Condition and Results of Operations</w:t>
              </w:r>
            </w:hyperlink>
          </w:p>
        </w:tc>
        <w:tc>
          <w:tcPr>
            <w:tcW w:w="1640" w:type="dxa"/>
            <w:vAlign w:val="bottom"/>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41">
              <w:r>
                <w:rPr>
                  <w:rFonts w:ascii="Arial" w:cs="Arial" w:eastAsia="Arial" w:hAnsi="Arial"/>
                  <w:sz w:val="18"/>
                  <w:szCs w:val="18"/>
                  <w:color w:val="0000EE"/>
                  <w:w w:val="92"/>
                </w:rPr>
                <w:t>Quantitative and Qualitative Disclosures About Market Risk</w:t>
              </w:r>
            </w:hyperlink>
          </w:p>
        </w:tc>
        <w:tc>
          <w:tcPr>
            <w:tcW w:w="3740" w:type="dxa"/>
            <w:vAlign w:val="bottom"/>
            <w:gridSpan w:val="3"/>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41">
              <w:r>
                <w:rPr>
                  <w:rFonts w:ascii="Arial" w:cs="Arial" w:eastAsia="Arial" w:hAnsi="Arial"/>
                  <w:sz w:val="18"/>
                  <w:szCs w:val="18"/>
                  <w:color w:val="0000EE"/>
                  <w:w w:val="88"/>
                </w:rPr>
                <w:t>Controls and Procedures</w:t>
              </w:r>
            </w:hyperlink>
          </w:p>
        </w:tc>
        <w:tc>
          <w:tcPr>
            <w:tcW w:w="6320" w:type="dxa"/>
            <w:vAlign w:val="bottom"/>
            <w:gridSpan w:val="11"/>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PART II.</w:t>
            </w:r>
          </w:p>
        </w:tc>
        <w:tc>
          <w:tcPr>
            <w:tcW w:w="8100" w:type="dxa"/>
            <w:vAlign w:val="bottom"/>
            <w:gridSpan w:val="19"/>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OTHER INFORMATION</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42">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3"/>
          </w:tcPr>
          <w:p>
            <w:pPr>
              <w:spacing w:after="0"/>
              <w:rPr>
                <w:sz w:val="17"/>
                <w:szCs w:val="17"/>
                <w:color w:val="auto"/>
              </w:rPr>
            </w:pPr>
          </w:p>
        </w:tc>
        <w:tc>
          <w:tcPr>
            <w:tcW w:w="6220" w:type="dxa"/>
            <w:vAlign w:val="bottom"/>
            <w:gridSpan w:val="10"/>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8100" w:type="dxa"/>
            <w:vAlign w:val="bottom"/>
            <w:gridSpan w:val="19"/>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Risk Factors</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8100" w:type="dxa"/>
            <w:vAlign w:val="bottom"/>
            <w:gridSpan w:val="19"/>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Unregistered Sales of Equity Securities and Use of Proceeds</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Defaults Upon Senior Securities</w:t>
              </w:r>
            </w:hyperlink>
          </w:p>
        </w:tc>
        <w:tc>
          <w:tcPr>
            <w:tcW w:w="3760" w:type="dxa"/>
            <w:vAlign w:val="bottom"/>
            <w:gridSpan w:val="4"/>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Mine Safety Disclosures</w:t>
              </w:r>
            </w:hyperlink>
          </w:p>
        </w:tc>
        <w:tc>
          <w:tcPr>
            <w:tcW w:w="5780" w:type="dxa"/>
            <w:vAlign w:val="bottom"/>
            <w:gridSpan w:val="8"/>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w:anchor="page111">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2"/>
          </w:tcPr>
          <w:p>
            <w:pPr>
              <w:spacing w:after="0"/>
              <w:rPr>
                <w:sz w:val="17"/>
                <w:szCs w:val="17"/>
                <w:color w:val="auto"/>
              </w:rPr>
            </w:pPr>
          </w:p>
        </w:tc>
        <w:tc>
          <w:tcPr>
            <w:tcW w:w="6340" w:type="dxa"/>
            <w:vAlign w:val="bottom"/>
            <w:gridSpan w:val="12"/>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8100" w:type="dxa"/>
            <w:vAlign w:val="bottom"/>
            <w:gridSpan w:val="19"/>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Exhibits</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60" w:type="dxa"/>
            <w:vAlign w:val="bottom"/>
            <w:gridSpan w:val="2"/>
          </w:tcPr>
          <w:p>
            <w:pPr>
              <w:spacing w:after="0" w:line="196" w:lineRule="exact"/>
              <w:rPr>
                <w:rFonts w:ascii="Arial" w:cs="Arial" w:eastAsia="Arial" w:hAnsi="Arial"/>
                <w:sz w:val="18"/>
                <w:szCs w:val="18"/>
                <w:color w:val="0000EE"/>
                <w:w w:val="97"/>
              </w:rPr>
            </w:pPr>
            <w:hyperlink w:anchor="page114">
              <w:r>
                <w:rPr>
                  <w:rFonts w:ascii="Arial" w:cs="Arial" w:eastAsia="Arial" w:hAnsi="Arial"/>
                  <w:sz w:val="18"/>
                  <w:szCs w:val="18"/>
                  <w:color w:val="0000EE"/>
                  <w:w w:val="97"/>
                </w:rPr>
                <w:t>Signatures</w:t>
              </w:r>
            </w:hyperlink>
          </w:p>
        </w:tc>
        <w:tc>
          <w:tcPr>
            <w:tcW w:w="3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385"/>
        </w:trPr>
        <w:tc>
          <w:tcPr>
            <w:tcW w:w="12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380" w:type="dxa"/>
            <w:vAlign w:val="bottom"/>
            <w:gridSpan w:val="17"/>
          </w:tcPr>
          <w:p>
            <w:pPr>
              <w:ind w:left="46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80"/>
          </w:cols>
          <w:pgMar w:left="320" w:top="473"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June 30,</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9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309,996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43,728</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6,029</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316,025</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45,071</w:t>
            </w:r>
          </w:p>
        </w:tc>
        <w:tc>
          <w:tcPr>
            <w:tcW w:w="0" w:type="dxa"/>
            <w:vAlign w:val="bottom"/>
          </w:tcPr>
          <w:p>
            <w:pPr>
              <w:spacing w:after="0"/>
              <w:rPr>
                <w:sz w:val="1"/>
                <w:szCs w:val="1"/>
                <w:color w:val="auto"/>
              </w:rPr>
            </w:pPr>
          </w:p>
        </w:tc>
      </w:tr>
      <w:tr>
        <w:trPr>
          <w:trHeight w:val="223"/>
        </w:trPr>
        <w:tc>
          <w:tcPr>
            <w:tcW w:w="890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right-of-use asset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319</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Deposits and other long-term assets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316,537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45,661</w:t>
            </w: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Arial" w:cs="Arial" w:eastAsia="Arial" w:hAnsi="Arial"/>
                <w:sz w:val="18"/>
                <w:szCs w:val="18"/>
                <w:b w:val="1"/>
                <w:bCs w:val="1"/>
                <w:color w:val="auto"/>
                <w:w w:val="99"/>
              </w:rPr>
              <w:t>Liabilities, redeemable convertible preferred shares, redeemable convertible noncontrolling interest and</w:t>
            </w: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9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900" w:type="dxa"/>
            <w:vAlign w:val="bottom"/>
          </w:tcPr>
          <w:p>
            <w:pPr>
              <w:ind w:left="180"/>
              <w:spacing w:after="0"/>
              <w:rPr>
                <w:sz w:val="20"/>
                <w:szCs w:val="20"/>
                <w:color w:val="auto"/>
              </w:rPr>
            </w:pPr>
            <w:r>
              <w:rPr>
                <w:rFonts w:ascii="Arial" w:cs="Arial" w:eastAsia="Arial" w:hAnsi="Arial"/>
                <w:sz w:val="18"/>
                <w:szCs w:val="18"/>
                <w:b w:val="1"/>
                <w:bCs w:val="1"/>
                <w:color w:val="auto"/>
              </w:rPr>
              <w:t>stockholders’ equity/members’ (deficit)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348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4,113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Current portion of operating lease liabilities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201</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4,662</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30"/>
        </w:trPr>
        <w:tc>
          <w:tcPr>
            <w:tcW w:w="8900" w:type="dxa"/>
            <w:vAlign w:val="bottom"/>
          </w:tcPr>
          <w:p>
            <w:pPr>
              <w:spacing w:after="0"/>
              <w:rPr>
                <w:sz w:val="20"/>
                <w:szCs w:val="20"/>
                <w:color w:val="auto"/>
              </w:rPr>
            </w:pPr>
            <w:r>
              <w:rPr>
                <w:rFonts w:ascii="Arial" w:cs="Arial" w:eastAsia="Arial" w:hAnsi="Arial"/>
                <w:sz w:val="18"/>
                <w:szCs w:val="18"/>
                <w:color w:val="auto"/>
              </w:rPr>
              <w:t>Operating lease liabilities, long-term</w:t>
            </w: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3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4,774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23"/>
        </w:trPr>
        <w:tc>
          <w:tcPr>
            <w:tcW w:w="8900" w:type="dxa"/>
            <w:vAlign w:val="bottom"/>
          </w:tcPr>
          <w:p>
            <w:pPr>
              <w:ind w:left="360"/>
              <w:spacing w:after="0"/>
              <w:rPr>
                <w:sz w:val="20"/>
                <w:szCs w:val="20"/>
                <w:color w:val="auto"/>
              </w:rPr>
            </w:pPr>
            <w:r>
              <w:rPr>
                <w:rFonts w:ascii="Arial" w:cs="Arial" w:eastAsia="Arial" w:hAnsi="Arial"/>
                <w:sz w:val="18"/>
                <w:szCs w:val="18"/>
                <w:color w:val="auto"/>
              </w:rPr>
              <w:t>Commitments and contingencies (Note 8)</w:t>
            </w: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9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3"/>
              </w:rPr>
              <w:t>Redeemable convertible preferred shares, no par value; no shares authorized, issued and outstanding at June 30,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2021; 22,851,257 shares authorized, issued and outstanding at December 31, 2020</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91,964</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Redeemable convertible noncontrolling interest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5,702</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equity/members’ (deficit)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900" w:type="dxa"/>
            <w:vAlign w:val="bottom"/>
          </w:tcPr>
          <w:p>
            <w:pPr>
              <w:ind w:left="360"/>
              <w:spacing w:after="0" w:line="201" w:lineRule="exact"/>
              <w:rPr>
                <w:sz w:val="20"/>
                <w:szCs w:val="20"/>
                <w:color w:val="auto"/>
              </w:rPr>
            </w:pPr>
            <w:r>
              <w:rPr>
                <w:rFonts w:ascii="Arial" w:cs="Arial" w:eastAsia="Arial" w:hAnsi="Arial"/>
                <w:sz w:val="18"/>
                <w:szCs w:val="18"/>
                <w:color w:val="auto"/>
                <w:w w:val="89"/>
              </w:rPr>
              <w:t>Preferred stock, 10,000,000 shares authorized, $0.0001 par value, no shares issued and outstanding at June 30, 2021;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00" w:type="dxa"/>
            <w:vAlign w:val="bottom"/>
          </w:tcPr>
          <w:p>
            <w:pPr>
              <w:ind w:left="540"/>
              <w:spacing w:after="0"/>
              <w:rPr>
                <w:sz w:val="20"/>
                <w:szCs w:val="20"/>
                <w:color w:val="auto"/>
              </w:rPr>
            </w:pPr>
            <w:r>
              <w:rPr>
                <w:rFonts w:ascii="Arial" w:cs="Arial" w:eastAsia="Arial" w:hAnsi="Arial"/>
                <w:sz w:val="18"/>
                <w:szCs w:val="18"/>
                <w:color w:val="auto"/>
              </w:rPr>
              <w:t>No shares authorized, issued, and outstanding at December 31, 2020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9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3"/>
              </w:rPr>
              <w:t>Common shares, no par value; no shares authorized, issued and outstanding at June 30, 2021; 28,887,127 shares</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authorized and 6,035,869 shares at December 31st, 2020</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02"/>
        </w:trPr>
        <w:tc>
          <w:tcPr>
            <w:tcW w:w="8900" w:type="dxa"/>
            <w:vAlign w:val="bottom"/>
          </w:tcPr>
          <w:p>
            <w:pPr>
              <w:ind w:left="360"/>
              <w:spacing w:after="0" w:line="201" w:lineRule="exact"/>
              <w:rPr>
                <w:sz w:val="20"/>
                <w:szCs w:val="20"/>
                <w:color w:val="auto"/>
              </w:rPr>
            </w:pPr>
            <w:r>
              <w:rPr>
                <w:rFonts w:ascii="Arial" w:cs="Arial" w:eastAsia="Arial" w:hAnsi="Arial"/>
                <w:sz w:val="18"/>
                <w:szCs w:val="18"/>
                <w:color w:val="auto"/>
                <w:w w:val="94"/>
              </w:rPr>
              <w:t>Common stock, 500,000,000 shares authorized, $0.0001 par value, 61,928,939 shares issued and outstanding at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00" w:type="dxa"/>
            <w:vAlign w:val="bottom"/>
          </w:tcPr>
          <w:p>
            <w:pPr>
              <w:ind w:left="540"/>
              <w:spacing w:after="0"/>
              <w:rPr>
                <w:sz w:val="20"/>
                <w:szCs w:val="20"/>
                <w:color w:val="auto"/>
              </w:rPr>
            </w:pPr>
            <w:r>
              <w:rPr>
                <w:rFonts w:ascii="Arial" w:cs="Arial" w:eastAsia="Arial" w:hAnsi="Arial"/>
                <w:sz w:val="18"/>
                <w:szCs w:val="18"/>
                <w:color w:val="auto"/>
              </w:rPr>
              <w:t>June 30, 2021; No shares authorized, issued, and outstanding at December 31, 2020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paid-in-capital</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398,065</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900" w:type="dxa"/>
            <w:vAlign w:val="bottom"/>
          </w:tcPr>
          <w:p>
            <w:pPr>
              <w:ind w:left="360"/>
              <w:spacing w:after="0" w:line="201" w:lineRule="exact"/>
              <w:rPr>
                <w:sz w:val="20"/>
                <w:szCs w:val="20"/>
                <w:color w:val="auto"/>
              </w:rPr>
            </w:pPr>
            <w:r>
              <w:rPr>
                <w:rFonts w:ascii="Arial" w:cs="Arial" w:eastAsia="Arial" w:hAnsi="Arial"/>
                <w:sz w:val="18"/>
                <w:szCs w:val="18"/>
                <w:color w:val="auto"/>
                <w:w w:val="94"/>
              </w:rPr>
              <w:t>Incentive shares, no par value; no shares authorized, issued and outstanding at June 30, 2021; 4,312,540 shares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00" w:type="dxa"/>
            <w:vAlign w:val="bottom"/>
          </w:tcPr>
          <w:p>
            <w:pPr>
              <w:ind w:left="540"/>
              <w:spacing w:after="0"/>
              <w:rPr>
                <w:sz w:val="20"/>
                <w:szCs w:val="20"/>
                <w:color w:val="auto"/>
              </w:rPr>
            </w:pPr>
            <w:r>
              <w:rPr>
                <w:rFonts w:ascii="Arial" w:cs="Arial" w:eastAsia="Arial" w:hAnsi="Arial"/>
                <w:sz w:val="18"/>
                <w:szCs w:val="18"/>
                <w:color w:val="auto"/>
              </w:rPr>
              <w:t>authorized and 4,112,012 shares issued and outstanding at December 31, 2020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(86,308)</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(56,842)</w:t>
            </w:r>
          </w:p>
        </w:tc>
        <w:tc>
          <w:tcPr>
            <w:tcW w:w="0" w:type="dxa"/>
            <w:vAlign w:val="bottom"/>
          </w:tcPr>
          <w:p>
            <w:pPr>
              <w:spacing w:after="0"/>
              <w:rPr>
                <w:sz w:val="1"/>
                <w:szCs w:val="1"/>
                <w:color w:val="auto"/>
              </w:rPr>
            </w:pPr>
          </w:p>
        </w:tc>
      </w:tr>
      <w:tr>
        <w:trPr>
          <w:trHeight w:val="230"/>
        </w:trPr>
        <w:tc>
          <w:tcPr>
            <w:tcW w:w="8900" w:type="dxa"/>
            <w:vAlign w:val="bottom"/>
          </w:tcPr>
          <w:p>
            <w:pPr>
              <w:ind w:left="360"/>
              <w:spacing w:after="0"/>
              <w:rPr>
                <w:sz w:val="20"/>
                <w:szCs w:val="20"/>
                <w:color w:val="auto"/>
              </w:rPr>
            </w:pPr>
            <w:r>
              <w:rPr>
                <w:rFonts w:ascii="Arial" w:cs="Arial" w:eastAsia="Arial" w:hAnsi="Arial"/>
                <w:sz w:val="18"/>
                <w:szCs w:val="18"/>
                <w:b w:val="1"/>
                <w:bCs w:val="1"/>
                <w:color w:val="auto"/>
              </w:rPr>
              <w:t>Total stockholders’ equity/members’ (deficit)</w:t>
            </w: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311,763</w:t>
            </w:r>
          </w:p>
        </w:tc>
        <w:tc>
          <w:tcPr>
            <w:tcW w:w="3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(54,205)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900" w:type="dxa"/>
            <w:vAlign w:val="bottom"/>
            <w:shd w:val="clear" w:color="auto" w:fill="CCEEFF"/>
          </w:tcPr>
          <w:p>
            <w:pPr>
              <w:ind w:left="360"/>
              <w:spacing w:after="0" w:line="198" w:lineRule="exact"/>
              <w:rPr>
                <w:sz w:val="20"/>
                <w:szCs w:val="20"/>
                <w:color w:val="auto"/>
              </w:rPr>
            </w:pPr>
            <w:r>
              <w:rPr>
                <w:rFonts w:ascii="Arial" w:cs="Arial" w:eastAsia="Arial" w:hAnsi="Arial"/>
                <w:sz w:val="18"/>
                <w:szCs w:val="18"/>
                <w:b w:val="1"/>
                <w:bCs w:val="1"/>
                <w:color w:val="auto"/>
                <w:w w:val="91"/>
              </w:rPr>
              <w:t>Total liabilities, redeemable convertible preferred shares, redeemable convertible noncontrolling interest and</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90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members’ deficit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316,537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45,661</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86"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2580"/>
        <w:spacing w:after="0" w:line="266" w:lineRule="auto"/>
        <w:rPr>
          <w:sz w:val="20"/>
          <w:szCs w:val="20"/>
          <w:color w:val="auto"/>
        </w:rPr>
      </w:pPr>
      <w:r>
        <w:rPr>
          <w:rFonts w:ascii="Arial" w:cs="Arial" w:eastAsia="Arial" w:hAnsi="Arial"/>
          <w:sz w:val="18"/>
          <w:szCs w:val="18"/>
          <w:b w:val="1"/>
          <w:bCs w:val="1"/>
          <w:color w:val="auto"/>
        </w:rPr>
        <w:t xml:space="preserve">Condensed Consolidated Statements of Operations and Comprehensive Loss </w:t>
      </w:r>
      <w:r>
        <w:rPr>
          <w:rFonts w:ascii="Arial" w:cs="Arial" w:eastAsia="Arial" w:hAnsi="Arial"/>
          <w:sz w:val="18"/>
          <w:szCs w:val="18"/>
          <w:color w:val="auto"/>
        </w:rPr>
        <w:t>(</w:t>
      </w:r>
      <w:r>
        <w:rPr>
          <w:rFonts w:ascii="Arial" w:cs="Arial" w:eastAsia="Arial" w:hAnsi="Arial"/>
          <w:sz w:val="18"/>
          <w:szCs w:val="18"/>
          <w:b w:val="1"/>
          <w:bCs w:val="1"/>
          <w:color w:val="auto"/>
        </w:rPr>
        <w:t>in thousands, except share and per share amounts)</w:t>
      </w:r>
      <w:r>
        <w:rPr>
          <w:rFonts w:ascii="Arial" w:cs="Arial" w:eastAsia="Arial" w:hAnsi="Arial"/>
          <w:sz w:val="18"/>
          <w:szCs w:val="18"/>
          <w:color w:val="auto"/>
        </w:rPr>
        <w:t xml:space="preserve"> </w:t>
      </w:r>
      <w:r>
        <w:rPr>
          <w:rFonts w:ascii="Arial" w:cs="Arial" w:eastAsia="Arial" w:hAnsi="Arial"/>
          <w:sz w:val="18"/>
          <w:szCs w:val="18"/>
          <w:b w:val="1"/>
          <w:bCs w:val="1"/>
          <w:color w:val="auto"/>
        </w:rPr>
        <w:t>(unaudited)</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7"/>
          </w:tcPr>
          <w:p>
            <w:pPr>
              <w:jc w:val="right"/>
              <w:ind w:right="561"/>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jc w:val="right"/>
              <w:ind w:right="52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6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12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9,914</w:t>
            </w:r>
          </w:p>
        </w:tc>
        <w:tc>
          <w:tcPr>
            <w:tcW w:w="2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1,437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1"/>
              <w:spacing w:after="0"/>
              <w:rPr>
                <w:sz w:val="20"/>
                <w:szCs w:val="20"/>
                <w:color w:val="auto"/>
              </w:rPr>
            </w:pPr>
            <w:r>
              <w:rPr>
                <w:rFonts w:ascii="Arial" w:cs="Arial" w:eastAsia="Arial" w:hAnsi="Arial"/>
                <w:sz w:val="18"/>
                <w:szCs w:val="18"/>
                <w:color w:val="auto"/>
              </w:rPr>
              <w:t>22,547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2,398</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8,990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30"/>
        </w:trPr>
        <w:tc>
          <w:tcPr>
            <w:tcW w:w="6120" w:type="dxa"/>
            <w:vAlign w:val="bottom"/>
          </w:tcPr>
          <w:p>
            <w:pPr>
              <w:ind w:left="820"/>
              <w:spacing w:after="0"/>
              <w:rPr>
                <w:sz w:val="20"/>
                <w:szCs w:val="20"/>
                <w:color w:val="auto"/>
              </w:rPr>
            </w:pPr>
            <w:r>
              <w:rPr>
                <w:rFonts w:ascii="Arial" w:cs="Arial" w:eastAsia="Arial" w:hAnsi="Arial"/>
                <w:sz w:val="18"/>
                <w:szCs w:val="18"/>
                <w:b w:val="1"/>
                <w:bCs w:val="1"/>
                <w:color w:val="auto"/>
              </w:rPr>
              <w:t>Total operating expenses</w:t>
            </w: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15,439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31,537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(15,439)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(2,309)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(31,537)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Changes in fair value of derivative tranche liability</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1"/>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and comprehensive loss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(15,473)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(2,409)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(31,575)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Net loss attributable to redeemable convertible noncontrolling interests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(1,191)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1"/>
              <w:spacing w:after="0"/>
              <w:rPr>
                <w:sz w:val="20"/>
                <w:szCs w:val="20"/>
                <w:color w:val="auto"/>
              </w:rPr>
            </w:pPr>
            <w:r>
              <w:rPr>
                <w:rFonts w:ascii="Arial" w:cs="Arial" w:eastAsia="Arial" w:hAnsi="Arial"/>
                <w:sz w:val="18"/>
                <w:szCs w:val="18"/>
                <w:color w:val="auto"/>
              </w:rPr>
              <w:t>(649)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1"/>
              <w:spacing w:after="0"/>
              <w:rPr>
                <w:sz w:val="20"/>
                <w:szCs w:val="20"/>
                <w:color w:val="auto"/>
              </w:rPr>
            </w:pPr>
            <w:r>
              <w:rPr>
                <w:rFonts w:ascii="Arial" w:cs="Arial" w:eastAsia="Arial" w:hAnsi="Arial"/>
                <w:sz w:val="18"/>
                <w:szCs w:val="18"/>
                <w:color w:val="auto"/>
              </w:rPr>
              <w:t>(2,109)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Exchange of redeemable noncontrolling interest shares – deemed dividend</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(99,994)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(99,994)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Net loss attributable to common share members/common stockholders</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(114,276</w:t>
            </w:r>
          </w:p>
        </w:tc>
        <w:tc>
          <w:tcPr>
            <w:tcW w:w="220" w:type="dxa"/>
            <w:vAlign w:val="bottom"/>
            <w:gridSpan w:val="2"/>
          </w:tcPr>
          <w:p>
            <w:pPr>
              <w:jc w:val="right"/>
              <w:ind w:right="16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(1,760</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(129,460</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(5.04)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(0.32)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(10.81)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color w:val="auto"/>
                <w:w w:val="90"/>
              </w:rPr>
              <w:t>Weighted-average number of common shares used in computing net loss per share,</w:t>
            </w: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8"/>
              </w:rPr>
              <w:t>22,661,889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w w:val="89"/>
              </w:rPr>
              <w:t>5,456,203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61"/>
              <w:spacing w:after="0"/>
              <w:rPr>
                <w:sz w:val="20"/>
                <w:szCs w:val="20"/>
                <w:color w:val="auto"/>
              </w:rPr>
            </w:pPr>
            <w:r>
              <w:rPr>
                <w:rFonts w:ascii="Arial" w:cs="Arial" w:eastAsia="Arial" w:hAnsi="Arial"/>
                <w:sz w:val="18"/>
                <w:szCs w:val="18"/>
                <w:color w:val="auto"/>
                <w:w w:val="86"/>
              </w:rPr>
              <w:t>11,976,577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w w:val="87"/>
              </w:rPr>
              <w:t>5,383,549</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86"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Redeemable Convertible Preferred Shares, Redeemable Noncontrolling Interest and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Stockholders’ Equity/ Members’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1660" w:type="dxa"/>
            <w:vAlign w:val="bottom"/>
          </w:tcPr>
          <w:p>
            <w:pPr>
              <w:spacing w:after="0"/>
              <w:rPr>
                <w:sz w:val="13"/>
                <w:szCs w:val="13"/>
                <w:color w:val="auto"/>
              </w:rPr>
            </w:pPr>
          </w:p>
        </w:tc>
        <w:tc>
          <w:tcPr>
            <w:tcW w:w="1660" w:type="dxa"/>
            <w:vAlign w:val="bottom"/>
            <w:gridSpan w:val="5"/>
          </w:tcPr>
          <w:p>
            <w:pPr>
              <w:jc w:val="right"/>
              <w:ind w:right="240"/>
              <w:spacing w:after="0"/>
              <w:rPr>
                <w:sz w:val="20"/>
                <w:szCs w:val="20"/>
                <w:color w:val="auto"/>
              </w:rPr>
            </w:pPr>
            <w:r>
              <w:rPr>
                <w:rFonts w:ascii="Arial" w:cs="Arial" w:eastAsia="Arial" w:hAnsi="Arial"/>
                <w:sz w:val="13"/>
                <w:szCs w:val="13"/>
                <w:b w:val="1"/>
                <w:bCs w:val="1"/>
                <w:color w:val="auto"/>
                <w:w w:val="92"/>
              </w:rPr>
              <w:t>Redeemable Convertible</w:t>
            </w:r>
          </w:p>
        </w:tc>
        <w:tc>
          <w:tcPr>
            <w:tcW w:w="80" w:type="dxa"/>
            <w:vAlign w:val="bottom"/>
          </w:tcPr>
          <w:p>
            <w:pPr>
              <w:spacing w:after="0"/>
              <w:rPr>
                <w:sz w:val="13"/>
                <w:szCs w:val="13"/>
                <w:color w:val="auto"/>
              </w:rPr>
            </w:pPr>
          </w:p>
        </w:tc>
        <w:tc>
          <w:tcPr>
            <w:tcW w:w="102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3"/>
                <w:szCs w:val="13"/>
                <w:b w:val="1"/>
                <w:bCs w:val="1"/>
                <w:color w:val="auto"/>
                <w:w w:val="83"/>
              </w:rPr>
              <w:t>Redeemable</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3"/>
          </w:tcPr>
          <w:p>
            <w:pPr>
              <w:spacing w:after="0"/>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1660" w:type="dxa"/>
            <w:vAlign w:val="bottom"/>
            <w:gridSpan w:val="5"/>
          </w:tcPr>
          <w:p>
            <w:pPr>
              <w:jc w:val="right"/>
              <w:ind w:right="440"/>
              <w:spacing w:after="0" w:line="115" w:lineRule="exact"/>
              <w:rPr>
                <w:sz w:val="20"/>
                <w:szCs w:val="20"/>
                <w:color w:val="auto"/>
              </w:rPr>
            </w:pPr>
            <w:r>
              <w:rPr>
                <w:rFonts w:ascii="Arial" w:cs="Arial" w:eastAsia="Arial" w:hAnsi="Arial"/>
                <w:sz w:val="13"/>
                <w:szCs w:val="13"/>
                <w:b w:val="1"/>
                <w:bCs w:val="1"/>
                <w:color w:val="auto"/>
              </w:rPr>
              <w:t>Preferred Shares</w:t>
            </w:r>
          </w:p>
        </w:tc>
        <w:tc>
          <w:tcPr>
            <w:tcW w:w="1100" w:type="dxa"/>
            <w:vAlign w:val="bottom"/>
            <w:tcBorders>
              <w:right w:val="single" w:sz="8" w:color="auto"/>
            </w:tcBorders>
            <w:gridSpan w:val="3"/>
          </w:tcPr>
          <w:p>
            <w:pPr>
              <w:spacing w:after="0" w:line="115" w:lineRule="exact"/>
              <w:rPr>
                <w:sz w:val="20"/>
                <w:szCs w:val="20"/>
                <w:color w:val="auto"/>
              </w:rPr>
            </w:pPr>
            <w:r>
              <w:rPr>
                <w:rFonts w:ascii="Arial" w:cs="Arial" w:eastAsia="Arial" w:hAnsi="Arial"/>
                <w:sz w:val="13"/>
                <w:szCs w:val="13"/>
                <w:b w:val="1"/>
                <w:bCs w:val="1"/>
                <w:color w:val="auto"/>
              </w:rPr>
              <w:t>Noncontrolling</w:t>
            </w:r>
          </w:p>
        </w:tc>
        <w:tc>
          <w:tcPr>
            <w:tcW w:w="220" w:type="dxa"/>
            <w:vAlign w:val="bottom"/>
          </w:tcPr>
          <w:p>
            <w:pPr>
              <w:spacing w:after="0"/>
              <w:rPr>
                <w:sz w:val="11"/>
                <w:szCs w:val="11"/>
                <w:color w:val="auto"/>
              </w:rPr>
            </w:pPr>
          </w:p>
        </w:tc>
        <w:tc>
          <w:tcPr>
            <w:tcW w:w="1320" w:type="dxa"/>
            <w:vAlign w:val="bottom"/>
            <w:gridSpan w:val="5"/>
          </w:tcPr>
          <w:p>
            <w:pPr>
              <w:ind w:left="200"/>
              <w:spacing w:after="0" w:line="115" w:lineRule="exact"/>
              <w:rPr>
                <w:sz w:val="20"/>
                <w:szCs w:val="20"/>
                <w:color w:val="auto"/>
              </w:rPr>
            </w:pPr>
            <w:r>
              <w:rPr>
                <w:rFonts w:ascii="Arial" w:cs="Arial" w:eastAsia="Arial" w:hAnsi="Arial"/>
                <w:sz w:val="13"/>
                <w:szCs w:val="13"/>
                <w:b w:val="1"/>
                <w:bCs w:val="1"/>
                <w:color w:val="auto"/>
              </w:rPr>
              <w:t>Common Stock</w:t>
            </w:r>
          </w:p>
        </w:tc>
        <w:tc>
          <w:tcPr>
            <w:tcW w:w="1440" w:type="dxa"/>
            <w:vAlign w:val="bottom"/>
            <w:gridSpan w:val="6"/>
          </w:tcPr>
          <w:p>
            <w:pPr>
              <w:jc w:val="right"/>
              <w:ind w:right="360"/>
              <w:spacing w:after="0" w:line="115" w:lineRule="exact"/>
              <w:rPr>
                <w:sz w:val="20"/>
                <w:szCs w:val="20"/>
                <w:color w:val="auto"/>
              </w:rPr>
            </w:pPr>
            <w:r>
              <w:rPr>
                <w:rFonts w:ascii="Arial" w:cs="Arial" w:eastAsia="Arial" w:hAnsi="Arial"/>
                <w:sz w:val="13"/>
                <w:szCs w:val="13"/>
                <w:b w:val="1"/>
                <w:bCs w:val="1"/>
                <w:color w:val="auto"/>
              </w:rPr>
              <w:t>Common Shares</w:t>
            </w:r>
          </w:p>
        </w:tc>
        <w:tc>
          <w:tcPr>
            <w:tcW w:w="1420" w:type="dxa"/>
            <w:vAlign w:val="bottom"/>
            <w:gridSpan w:val="6"/>
          </w:tcPr>
          <w:p>
            <w:pPr>
              <w:jc w:val="right"/>
              <w:ind w:right="340"/>
              <w:spacing w:after="0" w:line="115" w:lineRule="exact"/>
              <w:rPr>
                <w:sz w:val="20"/>
                <w:szCs w:val="20"/>
                <w:color w:val="auto"/>
              </w:rPr>
            </w:pPr>
            <w:r>
              <w:rPr>
                <w:rFonts w:ascii="Arial" w:cs="Arial" w:eastAsia="Arial" w:hAnsi="Arial"/>
                <w:sz w:val="13"/>
                <w:szCs w:val="13"/>
                <w:b w:val="1"/>
                <w:bCs w:val="1"/>
                <w:color w:val="auto"/>
              </w:rPr>
              <w:t>Incentive Shares</w:t>
            </w:r>
          </w:p>
        </w:tc>
        <w:tc>
          <w:tcPr>
            <w:tcW w:w="80" w:type="dxa"/>
            <w:vAlign w:val="bottom"/>
          </w:tcPr>
          <w:p>
            <w:pPr>
              <w:spacing w:after="0"/>
              <w:rPr>
                <w:sz w:val="11"/>
                <w:szCs w:val="11"/>
                <w:color w:val="auto"/>
              </w:rPr>
            </w:pPr>
          </w:p>
        </w:tc>
        <w:tc>
          <w:tcPr>
            <w:tcW w:w="600" w:type="dxa"/>
            <w:vAlign w:val="bottom"/>
            <w:gridSpan w:val="2"/>
          </w:tcPr>
          <w:p>
            <w:pPr>
              <w:jc w:val="right"/>
              <w:ind w:right="180"/>
              <w:spacing w:after="0" w:line="115" w:lineRule="exact"/>
              <w:rPr>
                <w:sz w:val="20"/>
                <w:szCs w:val="20"/>
                <w:color w:val="auto"/>
              </w:rPr>
            </w:pPr>
            <w:r>
              <w:rPr>
                <w:rFonts w:ascii="Arial" w:cs="Arial" w:eastAsia="Arial" w:hAnsi="Arial"/>
                <w:sz w:val="13"/>
                <w:szCs w:val="13"/>
                <w:b w:val="1"/>
                <w:bCs w:val="1"/>
                <w:color w:val="auto"/>
                <w:w w:val="92"/>
              </w:rPr>
              <w:t>Paid-In</w:t>
            </w:r>
          </w:p>
        </w:tc>
        <w:tc>
          <w:tcPr>
            <w:tcW w:w="860" w:type="dxa"/>
            <w:vAlign w:val="bottom"/>
            <w:gridSpan w:val="3"/>
          </w:tcPr>
          <w:p>
            <w:pPr>
              <w:spacing w:after="0" w:line="115" w:lineRule="exact"/>
              <w:rPr>
                <w:sz w:val="20"/>
                <w:szCs w:val="20"/>
                <w:color w:val="auto"/>
              </w:rPr>
            </w:pPr>
            <w:r>
              <w:rPr>
                <w:rFonts w:ascii="Arial" w:cs="Arial" w:eastAsia="Arial" w:hAnsi="Arial"/>
                <w:sz w:val="13"/>
                <w:szCs w:val="13"/>
                <w:b w:val="1"/>
                <w:bCs w:val="1"/>
                <w:color w:val="auto"/>
              </w:rPr>
              <w:t>Accumulated</w:t>
            </w:r>
          </w:p>
        </w:tc>
        <w:tc>
          <w:tcPr>
            <w:tcW w:w="660" w:type="dxa"/>
            <w:vAlign w:val="bottom"/>
            <w:gridSpan w:val="2"/>
          </w:tcPr>
          <w:p>
            <w:pPr>
              <w:jc w:val="center"/>
              <w:ind w:right="100"/>
              <w:spacing w:after="0" w:line="115" w:lineRule="exact"/>
              <w:rPr>
                <w:sz w:val="20"/>
                <w:szCs w:val="20"/>
                <w:color w:val="auto"/>
              </w:rPr>
            </w:pPr>
            <w:r>
              <w:rPr>
                <w:rFonts w:ascii="Arial" w:cs="Arial" w:eastAsia="Arial" w:hAnsi="Arial"/>
                <w:sz w:val="13"/>
                <w:szCs w:val="13"/>
                <w:b w:val="1"/>
                <w:bCs w:val="1"/>
                <w:color w:val="auto"/>
                <w:w w:val="92"/>
              </w:rPr>
              <w:t>Members’</w:t>
            </w:r>
          </w:p>
        </w:tc>
        <w:tc>
          <w:tcPr>
            <w:tcW w:w="0" w:type="dxa"/>
            <w:vAlign w:val="bottom"/>
          </w:tcPr>
          <w:p>
            <w:pPr>
              <w:spacing w:after="0"/>
              <w:rPr>
                <w:sz w:val="1"/>
                <w:szCs w:val="1"/>
                <w:color w:val="auto"/>
              </w:rPr>
            </w:pPr>
          </w:p>
        </w:tc>
      </w:tr>
      <w:tr>
        <w:trPr>
          <w:trHeight w:val="142"/>
        </w:trPr>
        <w:tc>
          <w:tcPr>
            <w:tcW w:w="166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
              <w:spacing w:after="0" w:line="142" w:lineRule="exact"/>
              <w:rPr>
                <w:sz w:val="20"/>
                <w:szCs w:val="20"/>
                <w:color w:val="auto"/>
              </w:rPr>
            </w:pPr>
            <w:r>
              <w:rPr>
                <w:rFonts w:ascii="Arial" w:cs="Arial" w:eastAsia="Arial" w:hAnsi="Arial"/>
                <w:sz w:val="13"/>
                <w:szCs w:val="13"/>
                <w:b w:val="1"/>
                <w:bCs w:val="1"/>
                <w:color w:val="auto"/>
                <w:w w:val="85"/>
              </w:rPr>
              <w:t>Amount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480"/>
              <w:spacing w:after="0" w:line="142" w:lineRule="exact"/>
              <w:rPr>
                <w:sz w:val="20"/>
                <w:szCs w:val="20"/>
                <w:color w:val="auto"/>
              </w:rPr>
            </w:pPr>
            <w:r>
              <w:rPr>
                <w:rFonts w:ascii="Arial" w:cs="Arial" w:eastAsia="Arial" w:hAnsi="Arial"/>
                <w:sz w:val="13"/>
                <w:szCs w:val="13"/>
                <w:b w:val="1"/>
                <w:bCs w:val="1"/>
                <w:color w:val="auto"/>
              </w:rPr>
              <w:t>Interest</w:t>
            </w:r>
          </w:p>
        </w:tc>
        <w:tc>
          <w:tcPr>
            <w:tcW w:w="220" w:type="dxa"/>
            <w:vAlign w:val="bottom"/>
          </w:tcPr>
          <w:p>
            <w:pPr>
              <w:spacing w:after="0"/>
              <w:rPr>
                <w:sz w:val="12"/>
                <w:szCs w:val="12"/>
                <w:color w:val="auto"/>
              </w:rPr>
            </w:pPr>
          </w:p>
        </w:tc>
        <w:tc>
          <w:tcPr>
            <w:tcW w:w="78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3"/>
                <w:szCs w:val="13"/>
                <w:b w:val="1"/>
                <w:bCs w:val="1"/>
                <w:color w:val="auto"/>
              </w:rPr>
              <w:t>Shares</w:t>
            </w:r>
          </w:p>
        </w:tc>
        <w:tc>
          <w:tcPr>
            <w:tcW w:w="4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3"/>
                <w:szCs w:val="13"/>
                <w:b w:val="1"/>
                <w:bCs w:val="1"/>
                <w:color w:val="auto"/>
                <w:w w:val="85"/>
              </w:rPr>
              <w:t>Amount</w:t>
            </w:r>
          </w:p>
        </w:tc>
        <w:tc>
          <w:tcPr>
            <w:tcW w:w="100" w:type="dxa"/>
            <w:vAlign w:val="bottom"/>
          </w:tcPr>
          <w:p>
            <w:pPr>
              <w:spacing w:after="0"/>
              <w:rPr>
                <w:sz w:val="12"/>
                <w:szCs w:val="12"/>
                <w:color w:val="auto"/>
              </w:rPr>
            </w:pPr>
          </w:p>
        </w:tc>
        <w:tc>
          <w:tcPr>
            <w:tcW w:w="78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3"/>
                <w:szCs w:val="13"/>
                <w:b w:val="1"/>
                <w:bCs w:val="1"/>
                <w:color w:val="auto"/>
              </w:rPr>
              <w:t>Shares</w:t>
            </w:r>
          </w:p>
        </w:tc>
        <w:tc>
          <w:tcPr>
            <w:tcW w:w="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3"/>
                <w:szCs w:val="13"/>
                <w:b w:val="1"/>
                <w:bCs w:val="1"/>
                <w:color w:val="auto"/>
                <w:w w:val="85"/>
              </w:rPr>
              <w:t>Amount</w:t>
            </w:r>
          </w:p>
        </w:tc>
        <w:tc>
          <w:tcPr>
            <w:tcW w:w="160" w:type="dxa"/>
            <w:vAlign w:val="bottom"/>
          </w:tcPr>
          <w:p>
            <w:pPr>
              <w:spacing w:after="0"/>
              <w:rPr>
                <w:sz w:val="12"/>
                <w:szCs w:val="12"/>
                <w:color w:val="auto"/>
              </w:rPr>
            </w:pPr>
          </w:p>
        </w:tc>
        <w:tc>
          <w:tcPr>
            <w:tcW w:w="76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3"/>
                <w:szCs w:val="13"/>
                <w:b w:val="1"/>
                <w:bCs w:val="1"/>
                <w:color w:val="auto"/>
              </w:rPr>
              <w:t>Shares</w:t>
            </w:r>
          </w:p>
        </w:tc>
        <w:tc>
          <w:tcPr>
            <w:tcW w:w="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3"/>
                <w:szCs w:val="13"/>
                <w:b w:val="1"/>
                <w:bCs w:val="1"/>
                <w:color w:val="auto"/>
                <w:w w:val="89"/>
              </w:rPr>
              <w:t>Amount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80"/>
              <w:spacing w:after="0" w:line="142" w:lineRule="exact"/>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2"/>
                <w:szCs w:val="12"/>
                <w:color w:val="auto"/>
              </w:rPr>
            </w:pPr>
          </w:p>
        </w:tc>
        <w:tc>
          <w:tcPr>
            <w:tcW w:w="740" w:type="dxa"/>
            <w:vAlign w:val="bottom"/>
            <w:gridSpan w:val="2"/>
          </w:tcPr>
          <w:p>
            <w:pPr>
              <w:jc w:val="right"/>
              <w:ind w:right="279"/>
              <w:spacing w:after="0" w:line="142" w:lineRule="exact"/>
              <w:rPr>
                <w:sz w:val="20"/>
                <w:szCs w:val="20"/>
                <w:color w:val="auto"/>
              </w:rPr>
            </w:pPr>
            <w:r>
              <w:rPr>
                <w:rFonts w:ascii="Arial" w:cs="Arial" w:eastAsia="Arial" w:hAnsi="Arial"/>
                <w:sz w:val="13"/>
                <w:szCs w:val="13"/>
                <w:b w:val="1"/>
                <w:bCs w:val="1"/>
                <w:color w:val="auto"/>
              </w:rPr>
              <w:t>Deficit</w:t>
            </w:r>
          </w:p>
        </w:tc>
        <w:tc>
          <w:tcPr>
            <w:tcW w:w="660" w:type="dxa"/>
            <w:vAlign w:val="bottom"/>
            <w:gridSpan w:val="2"/>
          </w:tcPr>
          <w:p>
            <w:pPr>
              <w:jc w:val="center"/>
              <w:ind w:right="100"/>
              <w:spacing w:after="0" w:line="142" w:lineRule="exact"/>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19"/>
        </w:trPr>
        <w:tc>
          <w:tcPr>
            <w:tcW w:w="1660" w:type="dxa"/>
            <w:vAlign w:val="bottom"/>
            <w:shd w:val="clear" w:color="auto" w:fill="CCEEFF"/>
          </w:tcPr>
          <w:p>
            <w:pPr>
              <w:spacing w:after="0" w:line="119" w:lineRule="exact"/>
              <w:rPr>
                <w:sz w:val="20"/>
                <w:szCs w:val="20"/>
                <w:color w:val="auto"/>
              </w:rPr>
            </w:pPr>
            <w:r>
              <w:rPr>
                <w:rFonts w:ascii="Arial" w:cs="Arial" w:eastAsia="Arial" w:hAnsi="Arial"/>
                <w:sz w:val="13"/>
                <w:szCs w:val="13"/>
                <w:b w:val="1"/>
                <w:bCs w:val="1"/>
                <w:color w:val="auto"/>
              </w:rPr>
              <w:t>Balance at December 31,</w:t>
            </w:r>
          </w:p>
        </w:tc>
        <w:tc>
          <w:tcPr>
            <w:tcW w:w="76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300" w:type="dxa"/>
            <w:vAlign w:val="bottom"/>
            <w:tcBorders>
              <w:right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66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2020</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22,851,257</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91,964</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02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5,702</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6,035,869</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2,000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4,112,012</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637</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(56,842)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0"/>
              </w:rPr>
              <w:t>$ (54,205)</w:t>
            </w:r>
          </w:p>
        </w:tc>
        <w:tc>
          <w:tcPr>
            <w:tcW w:w="0" w:type="dxa"/>
            <w:vAlign w:val="bottom"/>
          </w:tcPr>
          <w:p>
            <w:pPr>
              <w:spacing w:after="0"/>
              <w:rPr>
                <w:sz w:val="1"/>
                <w:szCs w:val="1"/>
                <w:color w:val="auto"/>
              </w:rPr>
            </w:pPr>
          </w:p>
        </w:tc>
      </w:tr>
      <w:tr>
        <w:trPr>
          <w:trHeight w:val="137"/>
        </w:trPr>
        <w:tc>
          <w:tcPr>
            <w:tcW w:w="1660" w:type="dxa"/>
            <w:vAlign w:val="bottom"/>
          </w:tcPr>
          <w:p>
            <w:pPr>
              <w:spacing w:after="0" w:line="137" w:lineRule="exact"/>
              <w:rPr>
                <w:sz w:val="20"/>
                <w:szCs w:val="20"/>
                <w:color w:val="auto"/>
              </w:rPr>
            </w:pPr>
            <w:r>
              <w:rPr>
                <w:rFonts w:ascii="Arial" w:cs="Arial" w:eastAsia="Arial" w:hAnsi="Arial"/>
                <w:sz w:val="14"/>
                <w:szCs w:val="14"/>
                <w:color w:val="auto"/>
              </w:rPr>
              <w:t>Issuance of Series B</w:t>
            </w:r>
          </w:p>
        </w:tc>
        <w:tc>
          <w:tcPr>
            <w:tcW w:w="7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60" w:type="dxa"/>
            <w:vAlign w:val="bottom"/>
          </w:tcPr>
          <w:p>
            <w:pPr>
              <w:ind w:left="140"/>
              <w:spacing w:after="0" w:line="149" w:lineRule="exact"/>
              <w:rPr>
                <w:sz w:val="20"/>
                <w:szCs w:val="20"/>
                <w:color w:val="auto"/>
              </w:rPr>
            </w:pPr>
            <w:r>
              <w:rPr>
                <w:rFonts w:ascii="Arial" w:cs="Arial" w:eastAsia="Arial" w:hAnsi="Arial"/>
                <w:sz w:val="14"/>
                <w:szCs w:val="14"/>
                <w:color w:val="auto"/>
              </w:rPr>
              <w:t>redeemable convertible</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Pr>
          <w:p>
            <w:pPr>
              <w:ind w:left="140"/>
              <w:spacing w:after="0" w:line="149" w:lineRule="exact"/>
              <w:rPr>
                <w:sz w:val="20"/>
                <w:szCs w:val="20"/>
                <w:color w:val="auto"/>
              </w:rPr>
            </w:pPr>
            <w:r>
              <w:rPr>
                <w:rFonts w:ascii="Arial" w:cs="Arial" w:eastAsia="Arial" w:hAnsi="Arial"/>
                <w:sz w:val="14"/>
                <w:szCs w:val="14"/>
                <w:color w:val="auto"/>
                <w:w w:val="93"/>
              </w:rPr>
              <w:t>preferred shares for cash,</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ind w:left="140"/>
              <w:spacing w:after="0" w:line="149" w:lineRule="exact"/>
              <w:rPr>
                <w:sz w:val="20"/>
                <w:szCs w:val="20"/>
                <w:color w:val="auto"/>
              </w:rPr>
            </w:pPr>
            <w:r>
              <w:rPr>
                <w:rFonts w:ascii="Arial" w:cs="Arial" w:eastAsia="Arial" w:hAnsi="Arial"/>
                <w:sz w:val="14"/>
                <w:szCs w:val="14"/>
                <w:color w:val="auto"/>
              </w:rPr>
              <w:t>net of issuance costs of</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60" w:type="dxa"/>
            <w:vAlign w:val="bottom"/>
          </w:tcPr>
          <w:p>
            <w:pPr>
              <w:ind w:left="140"/>
              <w:spacing w:after="0"/>
              <w:rPr>
                <w:sz w:val="20"/>
                <w:szCs w:val="20"/>
                <w:color w:val="auto"/>
              </w:rPr>
            </w:pPr>
            <w:r>
              <w:rPr>
                <w:rFonts w:ascii="Arial" w:cs="Arial" w:eastAsia="Arial" w:hAnsi="Arial"/>
                <w:sz w:val="14"/>
                <w:szCs w:val="14"/>
                <w:color w:val="auto"/>
              </w:rPr>
              <w:t>$243</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9,638,141</w:t>
            </w:r>
          </w:p>
        </w:tc>
        <w:tc>
          <w:tcPr>
            <w:tcW w:w="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w w:val="98"/>
              </w:rPr>
              <w:t>129,757</w:t>
            </w:r>
          </w:p>
        </w:tc>
        <w:tc>
          <w:tcPr>
            <w:tcW w:w="80" w:type="dxa"/>
            <w:vAlign w:val="bottom"/>
          </w:tcPr>
          <w:p>
            <w:pPr>
              <w:spacing w:after="0"/>
              <w:rPr>
                <w:sz w:val="14"/>
                <w:szCs w:val="14"/>
                <w:color w:val="auto"/>
              </w:rPr>
            </w:pPr>
          </w:p>
        </w:tc>
        <w:tc>
          <w:tcPr>
            <w:tcW w:w="102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Share-based compensation</w:t>
            </w: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expenses</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2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538</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538</w:t>
            </w:r>
          </w:p>
        </w:tc>
        <w:tc>
          <w:tcPr>
            <w:tcW w:w="0" w:type="dxa"/>
            <w:vAlign w:val="bottom"/>
          </w:tcPr>
          <w:p>
            <w:pPr>
              <w:spacing w:after="0"/>
              <w:rPr>
                <w:sz w:val="1"/>
                <w:szCs w:val="1"/>
                <w:color w:val="auto"/>
              </w:rPr>
            </w:pPr>
          </w:p>
        </w:tc>
      </w:tr>
      <w:tr>
        <w:trPr>
          <w:trHeight w:val="149"/>
        </w:trPr>
        <w:tc>
          <w:tcPr>
            <w:tcW w:w="1660" w:type="dxa"/>
            <w:vAlign w:val="bottom"/>
          </w:tcPr>
          <w:p>
            <w:pPr>
              <w:spacing w:after="0" w:line="149" w:lineRule="exact"/>
              <w:rPr>
                <w:sz w:val="20"/>
                <w:szCs w:val="20"/>
                <w:color w:val="auto"/>
              </w:rPr>
            </w:pPr>
            <w:r>
              <w:rPr>
                <w:rFonts w:ascii="Arial" w:cs="Arial" w:eastAsia="Arial" w:hAnsi="Arial"/>
                <w:sz w:val="14"/>
                <w:szCs w:val="14"/>
                <w:color w:val="auto"/>
                <w:w w:val="92"/>
              </w:rPr>
              <w:t>Issuance of incentive shares</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874,335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loss attributable to</w:t>
            </w: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redeemable</w:t>
            </w: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noncontrolling interest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(919)</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660" w:type="dxa"/>
            <w:vAlign w:val="bottom"/>
          </w:tcPr>
          <w:p>
            <w:pPr>
              <w:spacing w:after="0" w:line="130" w:lineRule="exact"/>
              <w:rPr>
                <w:sz w:val="20"/>
                <w:szCs w:val="20"/>
                <w:color w:val="auto"/>
              </w:rPr>
            </w:pPr>
            <w:r>
              <w:rPr>
                <w:rFonts w:ascii="Arial" w:cs="Arial" w:eastAsia="Arial" w:hAnsi="Arial"/>
                <w:sz w:val="14"/>
                <w:szCs w:val="14"/>
                <w:color w:val="auto"/>
                <w:w w:val="97"/>
              </w:rPr>
              <w:t>Net loss attributable to Day</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60" w:type="dxa"/>
            <w:vAlign w:val="bottom"/>
          </w:tcPr>
          <w:p>
            <w:pPr>
              <w:ind w:left="140"/>
              <w:spacing w:after="0" w:line="149" w:lineRule="exact"/>
              <w:rPr>
                <w:sz w:val="20"/>
                <w:szCs w:val="20"/>
                <w:color w:val="auto"/>
              </w:rPr>
            </w:pPr>
            <w:r>
              <w:rPr>
                <w:rFonts w:ascii="Arial" w:cs="Arial" w:eastAsia="Arial" w:hAnsi="Arial"/>
                <w:sz w:val="14"/>
                <w:szCs w:val="14"/>
                <w:color w:val="auto"/>
                <w:w w:val="98"/>
              </w:rPr>
              <w:t>One Biopharmaceuticals</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ind w:left="140"/>
              <w:spacing w:after="0" w:line="149" w:lineRule="exact"/>
              <w:rPr>
                <w:sz w:val="20"/>
                <w:szCs w:val="20"/>
                <w:color w:val="auto"/>
              </w:rPr>
            </w:pPr>
            <w:r>
              <w:rPr>
                <w:rFonts w:ascii="Arial" w:cs="Arial" w:eastAsia="Arial" w:hAnsi="Arial"/>
                <w:sz w:val="14"/>
                <w:szCs w:val="14"/>
                <w:color w:val="auto"/>
              </w:rPr>
              <w:t>Holding Company, LLC</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60" w:type="dxa"/>
            <w:vAlign w:val="bottom"/>
          </w:tcPr>
          <w:p>
            <w:pPr>
              <w:ind w:left="140"/>
              <w:spacing w:after="0"/>
              <w:rPr>
                <w:sz w:val="20"/>
                <w:szCs w:val="20"/>
                <w:color w:val="auto"/>
              </w:rPr>
            </w:pPr>
            <w:r>
              <w:rPr>
                <w:rFonts w:ascii="Arial" w:cs="Arial" w:eastAsia="Arial" w:hAnsi="Arial"/>
                <w:sz w:val="14"/>
                <w:szCs w:val="14"/>
                <w:color w:val="auto"/>
              </w:rPr>
              <w:t>members</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ind w:lef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59"/>
              <w:spacing w:after="0"/>
              <w:rPr>
                <w:sz w:val="20"/>
                <w:szCs w:val="20"/>
                <w:color w:val="auto"/>
              </w:rPr>
            </w:pPr>
            <w:r>
              <w:rPr>
                <w:rFonts w:ascii="Arial" w:cs="Arial" w:eastAsia="Arial" w:hAnsi="Arial"/>
                <w:sz w:val="14"/>
                <w:szCs w:val="14"/>
                <w:color w:val="auto"/>
              </w:rPr>
              <w:t>(15,182)</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(15,182)</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4"/>
              </w:rPr>
              <w:t>Balance at March 31, 2021</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32,489,398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8"/>
              </w:rPr>
              <w:t>221,721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tcBorders>
              <w:right w:val="single" w:sz="8" w:color="auto"/>
            </w:tcBorders>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4,783</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6,035,869</w:t>
            </w:r>
          </w:p>
        </w:tc>
        <w:tc>
          <w:tcPr>
            <w:tcW w:w="1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2,000</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4,986,352</w:t>
            </w:r>
          </w:p>
        </w:tc>
        <w:tc>
          <w:tcPr>
            <w:tcW w:w="1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1,175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(72,024)</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0"/>
              </w:rPr>
              <w:t>$ (68,849)</w:t>
            </w:r>
          </w:p>
        </w:tc>
        <w:tc>
          <w:tcPr>
            <w:tcW w:w="0" w:type="dxa"/>
            <w:vAlign w:val="bottom"/>
          </w:tcPr>
          <w:p>
            <w:pPr>
              <w:spacing w:after="0"/>
              <w:rPr>
                <w:sz w:val="1"/>
                <w:szCs w:val="1"/>
                <w:color w:val="auto"/>
              </w:rPr>
            </w:pPr>
          </w:p>
        </w:tc>
      </w:tr>
      <w:tr>
        <w:trPr>
          <w:trHeight w:val="20"/>
        </w:trPr>
        <w:tc>
          <w:tcPr>
            <w:tcW w:w="1660" w:type="dxa"/>
            <w:vAlign w:val="bottom"/>
            <w:vMerge w:val="restart"/>
          </w:tcPr>
          <w:p>
            <w:pPr>
              <w:spacing w:after="0"/>
              <w:rPr>
                <w:sz w:val="20"/>
                <w:szCs w:val="20"/>
                <w:color w:val="auto"/>
              </w:rPr>
            </w:pPr>
            <w:r>
              <w:rPr>
                <w:rFonts w:ascii="Arial" w:cs="Arial" w:eastAsia="Arial" w:hAnsi="Arial"/>
                <w:sz w:val="14"/>
                <w:szCs w:val="14"/>
                <w:color w:val="auto"/>
                <w:w w:val="92"/>
              </w:rPr>
              <w:t>Issuance of incentive shares</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660" w:type="dxa"/>
            <w:vAlign w:val="bottom"/>
            <w:vMerge w:val="continue"/>
          </w:tcPr>
          <w:p>
            <w:pPr>
              <w:spacing w:after="0"/>
              <w:rPr>
                <w:sz w:val="12"/>
                <w:szCs w:val="12"/>
                <w:color w:val="auto"/>
              </w:rPr>
            </w:pPr>
          </w:p>
        </w:tc>
        <w:tc>
          <w:tcPr>
            <w:tcW w:w="760" w:type="dxa"/>
            <w:vAlign w:val="bottom"/>
          </w:tcPr>
          <w:p>
            <w:pPr>
              <w:jc w:val="right"/>
              <w:ind w:right="9"/>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ind w:left="80"/>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tcPr>
          <w:p>
            <w:pPr>
              <w:jc w:val="right"/>
              <w:ind w:right="9"/>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2,085,460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ind w:left="160"/>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9"/>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60" w:type="dxa"/>
            <w:vAlign w:val="bottom"/>
          </w:tcPr>
          <w:p>
            <w:pPr>
              <w:jc w:val="right"/>
              <w:ind w:right="9"/>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Cancellations of incentive</w:t>
            </w: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shares</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2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(265,596)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660" w:type="dxa"/>
            <w:vAlign w:val="bottom"/>
          </w:tcPr>
          <w:p>
            <w:pPr>
              <w:spacing w:after="0" w:line="130" w:lineRule="exact"/>
              <w:rPr>
                <w:sz w:val="20"/>
                <w:szCs w:val="20"/>
                <w:color w:val="auto"/>
              </w:rPr>
            </w:pPr>
            <w:r>
              <w:rPr>
                <w:rFonts w:ascii="Arial" w:cs="Arial" w:eastAsia="Arial" w:hAnsi="Arial"/>
                <w:sz w:val="14"/>
                <w:szCs w:val="14"/>
                <w:color w:val="auto"/>
                <w:w w:val="97"/>
              </w:rPr>
              <w:t>Net loss attributable to Day</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60" w:type="dxa"/>
            <w:vAlign w:val="bottom"/>
          </w:tcPr>
          <w:p>
            <w:pPr>
              <w:ind w:left="140"/>
              <w:spacing w:after="0" w:line="149" w:lineRule="exact"/>
              <w:rPr>
                <w:sz w:val="20"/>
                <w:szCs w:val="20"/>
                <w:color w:val="auto"/>
              </w:rPr>
            </w:pPr>
            <w:r>
              <w:rPr>
                <w:rFonts w:ascii="Arial" w:cs="Arial" w:eastAsia="Arial" w:hAnsi="Arial"/>
                <w:sz w:val="14"/>
                <w:szCs w:val="14"/>
                <w:color w:val="auto"/>
                <w:w w:val="98"/>
              </w:rPr>
              <w:t>One Biopharmaceuticals</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Pr>
          <w:p>
            <w:pPr>
              <w:ind w:left="140"/>
              <w:spacing w:after="0" w:line="149" w:lineRule="exact"/>
              <w:rPr>
                <w:sz w:val="20"/>
                <w:szCs w:val="20"/>
                <w:color w:val="auto"/>
              </w:rPr>
            </w:pPr>
            <w:r>
              <w:rPr>
                <w:rFonts w:ascii="Arial" w:cs="Arial" w:eastAsia="Arial" w:hAnsi="Arial"/>
                <w:sz w:val="14"/>
                <w:szCs w:val="14"/>
                <w:color w:val="auto"/>
              </w:rPr>
              <w:t>Holding Company, LLC</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60" w:type="dxa"/>
            <w:vAlign w:val="bottom"/>
          </w:tcPr>
          <w:p>
            <w:pPr>
              <w:ind w:left="140"/>
              <w:spacing w:after="0"/>
              <w:rPr>
                <w:sz w:val="20"/>
                <w:szCs w:val="20"/>
                <w:color w:val="auto"/>
              </w:rPr>
            </w:pPr>
            <w:r>
              <w:rPr>
                <w:rFonts w:ascii="Arial" w:cs="Arial" w:eastAsia="Arial" w:hAnsi="Arial"/>
                <w:sz w:val="14"/>
                <w:szCs w:val="14"/>
                <w:color w:val="auto"/>
              </w:rPr>
              <w:t>members</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(1,191)</w:t>
            </w:r>
          </w:p>
        </w:tc>
        <w:tc>
          <w:tcPr>
            <w:tcW w:w="2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Conversion of redeemable</w:t>
            </w: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convertible preferred,</w:t>
            </w: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common, and incentive</w:t>
            </w: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shares into common</w:t>
            </w: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8"/>
              </w:rPr>
              <w:t>(32,489,398)</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3"/>
              </w:rPr>
              <w:t>(221,721)</w:t>
            </w:r>
          </w:p>
        </w:tc>
        <w:tc>
          <w:tcPr>
            <w:tcW w:w="80" w:type="dxa"/>
            <w:vAlign w:val="bottom"/>
            <w:shd w:val="clear" w:color="auto" w:fill="CCEEFF"/>
          </w:tcPr>
          <w:p>
            <w:pPr>
              <w:spacing w:after="0"/>
              <w:rPr>
                <w:sz w:val="14"/>
                <w:szCs w:val="14"/>
                <w:color w:val="auto"/>
              </w:rPr>
            </w:pPr>
          </w:p>
        </w:tc>
        <w:tc>
          <w:tcPr>
            <w:tcW w:w="102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4"/>
              </w:rPr>
              <w:t>43,958,557</w:t>
            </w:r>
          </w:p>
        </w:tc>
        <w:tc>
          <w:tcPr>
            <w:tcW w:w="1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4</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7"/>
              </w:rPr>
              <w:t>(6,035,869)</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4"/>
              </w:rPr>
              <w:t>(2,000)</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7"/>
              </w:rPr>
              <w:t>(6,806,216)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0"/>
              </w:rPr>
              <w:t>(1,175)</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4"/>
              </w:rPr>
              <w:t>224,892</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221,721</w:t>
            </w:r>
          </w:p>
        </w:tc>
        <w:tc>
          <w:tcPr>
            <w:tcW w:w="0" w:type="dxa"/>
            <w:vAlign w:val="bottom"/>
          </w:tcPr>
          <w:p>
            <w:pPr>
              <w:spacing w:after="0"/>
              <w:rPr>
                <w:sz w:val="1"/>
                <w:szCs w:val="1"/>
                <w:color w:val="auto"/>
              </w:rPr>
            </w:pPr>
          </w:p>
        </w:tc>
      </w:tr>
      <w:tr>
        <w:trPr>
          <w:trHeight w:val="130"/>
        </w:trPr>
        <w:tc>
          <w:tcPr>
            <w:tcW w:w="1660" w:type="dxa"/>
            <w:vAlign w:val="bottom"/>
          </w:tcPr>
          <w:p>
            <w:pPr>
              <w:spacing w:after="0" w:line="130" w:lineRule="exact"/>
              <w:rPr>
                <w:sz w:val="20"/>
                <w:szCs w:val="20"/>
                <w:color w:val="auto"/>
              </w:rPr>
            </w:pPr>
            <w:r>
              <w:rPr>
                <w:rFonts w:ascii="Arial" w:cs="Arial" w:eastAsia="Arial" w:hAnsi="Arial"/>
                <w:sz w:val="14"/>
                <w:szCs w:val="14"/>
                <w:color w:val="auto"/>
                <w:w w:val="99"/>
              </w:rPr>
              <w:t>Conversion of redeemable</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60" w:type="dxa"/>
            <w:vAlign w:val="bottom"/>
          </w:tcPr>
          <w:p>
            <w:pPr>
              <w:ind w:left="140"/>
              <w:spacing w:after="0" w:line="149" w:lineRule="exact"/>
              <w:rPr>
                <w:sz w:val="20"/>
                <w:szCs w:val="20"/>
                <w:color w:val="auto"/>
              </w:rPr>
            </w:pPr>
            <w:r>
              <w:rPr>
                <w:rFonts w:ascii="Arial" w:cs="Arial" w:eastAsia="Arial" w:hAnsi="Arial"/>
                <w:sz w:val="14"/>
                <w:szCs w:val="14"/>
                <w:color w:val="auto"/>
                <w:w w:val="98"/>
              </w:rPr>
              <w:t>noncontrolling interest to</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60" w:type="dxa"/>
            <w:vAlign w:val="bottom"/>
          </w:tcPr>
          <w:p>
            <w:pPr>
              <w:ind w:left="140"/>
              <w:spacing w:after="0"/>
              <w:rPr>
                <w:sz w:val="20"/>
                <w:szCs w:val="20"/>
                <w:color w:val="auto"/>
              </w:rPr>
            </w:pPr>
            <w:r>
              <w:rPr>
                <w:rFonts w:ascii="Arial" w:cs="Arial" w:eastAsia="Arial" w:hAnsi="Arial"/>
                <w:sz w:val="14"/>
                <w:szCs w:val="14"/>
                <w:color w:val="auto"/>
              </w:rPr>
              <w:t>common stock</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(3,592)</w:t>
            </w:r>
          </w:p>
        </w:tc>
        <w:tc>
          <w:tcPr>
            <w:tcW w:w="2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6,470,382</w:t>
            </w:r>
          </w:p>
        </w:tc>
        <w:tc>
          <w:tcPr>
            <w:tcW w:w="160" w:type="dxa"/>
            <w:vAlign w:val="bottom"/>
          </w:tcPr>
          <w:p>
            <w:pPr>
              <w:spacing w:after="0"/>
              <w:rPr>
                <w:sz w:val="14"/>
                <w:szCs w:val="14"/>
                <w:color w:val="auto"/>
              </w:rPr>
            </w:pPr>
          </w:p>
        </w:tc>
        <w:tc>
          <w:tcPr>
            <w:tcW w:w="380" w:type="dxa"/>
            <w:vAlign w:val="bottom"/>
            <w:gridSpan w:val="2"/>
          </w:tcPr>
          <w:p>
            <w:pPr>
              <w:ind w:left="220"/>
              <w:spacing w:after="0"/>
              <w:rPr>
                <w:sz w:val="20"/>
                <w:szCs w:val="20"/>
                <w:color w:val="auto"/>
              </w:rPr>
            </w:pPr>
            <w:r>
              <w:rPr>
                <w:rFonts w:ascii="Arial" w:cs="Arial" w:eastAsia="Arial" w:hAnsi="Arial"/>
                <w:sz w:val="14"/>
                <w:szCs w:val="14"/>
                <w:color w:val="auto"/>
              </w:rPr>
              <w:t>1</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3,592</w:t>
            </w:r>
          </w:p>
        </w:tc>
        <w:tc>
          <w:tcPr>
            <w:tcW w:w="120" w:type="dxa"/>
            <w:vAlign w:val="bottom"/>
          </w:tcPr>
          <w:p>
            <w:pPr>
              <w:spacing w:after="0"/>
              <w:rPr>
                <w:sz w:val="14"/>
                <w:szCs w:val="14"/>
                <w:color w:val="auto"/>
              </w:rPr>
            </w:pPr>
          </w:p>
        </w:tc>
        <w:tc>
          <w:tcPr>
            <w:tcW w:w="74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3,592</w:t>
            </w:r>
          </w:p>
        </w:tc>
        <w:tc>
          <w:tcPr>
            <w:tcW w:w="0" w:type="dxa"/>
            <w:vAlign w:val="bottom"/>
          </w:tcPr>
          <w:p>
            <w:pPr>
              <w:spacing w:after="0"/>
              <w:rPr>
                <w:sz w:val="1"/>
                <w:szCs w:val="1"/>
                <w:color w:val="auto"/>
              </w:rPr>
            </w:pPr>
          </w:p>
        </w:tc>
      </w:tr>
      <w:tr>
        <w:trPr>
          <w:trHeight w:val="130"/>
        </w:trPr>
        <w:tc>
          <w:tcPr>
            <w:tcW w:w="1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issued in</w:t>
            </w: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2"/>
              </w:rPr>
              <w:t>IPO, net of issuance costs</w:t>
            </w: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of $16,995</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2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4"/>
              </w:rPr>
              <w:t>11,500,000</w:t>
            </w:r>
          </w:p>
        </w:tc>
        <w:tc>
          <w:tcPr>
            <w:tcW w:w="1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1</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4"/>
              </w:rPr>
              <w:t>167,044</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167,045</w:t>
            </w:r>
          </w:p>
        </w:tc>
        <w:tc>
          <w:tcPr>
            <w:tcW w:w="0" w:type="dxa"/>
            <w:vAlign w:val="bottom"/>
          </w:tcPr>
          <w:p>
            <w:pPr>
              <w:spacing w:after="0"/>
              <w:rPr>
                <w:sz w:val="1"/>
                <w:szCs w:val="1"/>
                <w:color w:val="auto"/>
              </w:rPr>
            </w:pPr>
          </w:p>
        </w:tc>
      </w:tr>
      <w:tr>
        <w:trPr>
          <w:trHeight w:val="130"/>
        </w:trPr>
        <w:tc>
          <w:tcPr>
            <w:tcW w:w="1660" w:type="dxa"/>
            <w:vAlign w:val="bottom"/>
          </w:tcPr>
          <w:p>
            <w:pPr>
              <w:spacing w:after="0" w:line="130" w:lineRule="exact"/>
              <w:rPr>
                <w:sz w:val="20"/>
                <w:szCs w:val="20"/>
                <w:color w:val="auto"/>
              </w:rPr>
            </w:pPr>
            <w:r>
              <w:rPr>
                <w:rFonts w:ascii="Arial" w:cs="Arial" w:eastAsia="Arial" w:hAnsi="Arial"/>
                <w:sz w:val="14"/>
                <w:szCs w:val="14"/>
                <w:color w:val="auto"/>
                <w:w w:val="95"/>
              </w:rPr>
              <w:t>Share-based compensation</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60" w:type="dxa"/>
            <w:vAlign w:val="bottom"/>
          </w:tcPr>
          <w:p>
            <w:pPr>
              <w:ind w:left="140"/>
              <w:spacing w:after="0"/>
              <w:rPr>
                <w:sz w:val="20"/>
                <w:szCs w:val="20"/>
                <w:color w:val="auto"/>
              </w:rPr>
            </w:pPr>
            <w:r>
              <w:rPr>
                <w:rFonts w:ascii="Arial" w:cs="Arial" w:eastAsia="Arial" w:hAnsi="Arial"/>
                <w:sz w:val="14"/>
                <w:szCs w:val="14"/>
                <w:color w:val="auto"/>
              </w:rPr>
              <w:t>expenses</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2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2,537</w:t>
            </w:r>
          </w:p>
        </w:tc>
        <w:tc>
          <w:tcPr>
            <w:tcW w:w="120" w:type="dxa"/>
            <w:vAlign w:val="bottom"/>
          </w:tcPr>
          <w:p>
            <w:pPr>
              <w:spacing w:after="0"/>
              <w:rPr>
                <w:sz w:val="14"/>
                <w:szCs w:val="14"/>
                <w:color w:val="auto"/>
              </w:rPr>
            </w:pPr>
          </w:p>
        </w:tc>
        <w:tc>
          <w:tcPr>
            <w:tcW w:w="74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2,537</w:t>
            </w:r>
          </w:p>
        </w:tc>
        <w:tc>
          <w:tcPr>
            <w:tcW w:w="0" w:type="dxa"/>
            <w:vAlign w:val="bottom"/>
          </w:tcPr>
          <w:p>
            <w:pPr>
              <w:spacing w:after="0"/>
              <w:rPr>
                <w:sz w:val="1"/>
                <w:szCs w:val="1"/>
                <w:color w:val="auto"/>
              </w:rPr>
            </w:pPr>
          </w:p>
        </w:tc>
      </w:tr>
      <w:tr>
        <w:trPr>
          <w:trHeight w:val="130"/>
        </w:trPr>
        <w:tc>
          <w:tcPr>
            <w:tcW w:w="1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loss attributable to</w:t>
            </w: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common members/</w:t>
            </w: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stockholders</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2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(14,284)</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(14,284)</w:t>
            </w:r>
          </w:p>
        </w:tc>
        <w:tc>
          <w:tcPr>
            <w:tcW w:w="0" w:type="dxa"/>
            <w:vAlign w:val="bottom"/>
          </w:tcPr>
          <w:p>
            <w:pPr>
              <w:spacing w:after="0"/>
              <w:rPr>
                <w:sz w:val="1"/>
                <w:szCs w:val="1"/>
                <w:color w:val="auto"/>
              </w:rPr>
            </w:pPr>
          </w:p>
        </w:tc>
      </w:tr>
      <w:tr>
        <w:trPr>
          <w:trHeight w:val="155"/>
        </w:trPr>
        <w:tc>
          <w:tcPr>
            <w:tcW w:w="1660" w:type="dxa"/>
            <w:vAlign w:val="bottom"/>
          </w:tcPr>
          <w:p>
            <w:pPr>
              <w:spacing w:after="0" w:line="155" w:lineRule="exact"/>
              <w:rPr>
                <w:sz w:val="20"/>
                <w:szCs w:val="20"/>
                <w:color w:val="auto"/>
              </w:rPr>
            </w:pPr>
            <w:r>
              <w:rPr>
                <w:rFonts w:ascii="Arial" w:cs="Arial" w:eastAsia="Arial" w:hAnsi="Arial"/>
                <w:sz w:val="14"/>
                <w:szCs w:val="14"/>
                <w:b w:val="1"/>
                <w:bCs w:val="1"/>
                <w:color w:val="auto"/>
                <w:w w:val="99"/>
              </w:rPr>
              <w:t>Balance at June 30, 2021</w:t>
            </w:r>
          </w:p>
        </w:tc>
        <w:tc>
          <w:tcPr>
            <w:tcW w:w="760" w:type="dxa"/>
            <w:vAlign w:val="bottom"/>
            <w:tcBorders>
              <w:top w:val="single" w:sz="8" w:color="auto"/>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61,928,939</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0"/>
                <w:szCs w:val="10"/>
                <w:color w:val="auto"/>
                <w:w w:val="71"/>
              </w:rPr>
              <w:t>6</w:t>
            </w:r>
          </w:p>
        </w:tc>
        <w:tc>
          <w:tcPr>
            <w:tcW w:w="10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tcPr>
          <w:p>
            <w:pPr>
              <w:ind w:left="16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398,065</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(86,308</w:t>
            </w:r>
          </w:p>
        </w:tc>
        <w:tc>
          <w:tcPr>
            <w:tcW w:w="140" w:type="dxa"/>
            <w:vAlign w:val="bottom"/>
          </w:tcPr>
          <w:p>
            <w:pPr>
              <w:jc w:val="right"/>
              <w:ind w:right="59"/>
              <w:spacing w:after="0"/>
              <w:rPr>
                <w:sz w:val="20"/>
                <w:szCs w:val="20"/>
                <w:color w:val="auto"/>
              </w:rPr>
            </w:pPr>
            <w:r>
              <w:rPr>
                <w:rFonts w:ascii="Arial" w:cs="Arial" w:eastAsia="Arial" w:hAnsi="Arial"/>
                <w:sz w:val="8"/>
                <w:szCs w:val="8"/>
                <w:color w:val="auto"/>
                <w:w w:val="73"/>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6"/>
              </w:rPr>
              <w:t>$ 311,763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86"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2360" w:type="dxa"/>
            <w:vAlign w:val="bottom"/>
          </w:tcPr>
          <w:p>
            <w:pPr>
              <w:spacing w:after="0"/>
              <w:rPr>
                <w:sz w:val="3"/>
                <w:szCs w:val="3"/>
                <w:color w:val="auto"/>
              </w:rPr>
            </w:pPr>
          </w:p>
        </w:tc>
        <w:tc>
          <w:tcPr>
            <w:tcW w:w="1620" w:type="dxa"/>
            <w:vAlign w:val="bottom"/>
            <w:gridSpan w:val="5"/>
            <w:vMerge w:val="restart"/>
          </w:tcPr>
          <w:p>
            <w:pPr>
              <w:jc w:val="center"/>
              <w:ind w:right="60"/>
              <w:spacing w:after="0"/>
              <w:rPr>
                <w:sz w:val="20"/>
                <w:szCs w:val="20"/>
                <w:color w:val="auto"/>
              </w:rPr>
            </w:pPr>
            <w:r>
              <w:rPr>
                <w:rFonts w:ascii="Arial" w:cs="Arial" w:eastAsia="Arial" w:hAnsi="Arial"/>
                <w:sz w:val="14"/>
                <w:szCs w:val="14"/>
                <w:b w:val="1"/>
                <w:bCs w:val="1"/>
                <w:color w:val="auto"/>
                <w:w w:val="92"/>
              </w:rPr>
              <w:t>Redeemable</w:t>
            </w: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360" w:type="dxa"/>
            <w:vAlign w:val="bottom"/>
          </w:tcPr>
          <w:p>
            <w:pPr>
              <w:spacing w:after="0"/>
              <w:rPr>
                <w:sz w:val="10"/>
                <w:szCs w:val="10"/>
                <w:color w:val="auto"/>
              </w:rPr>
            </w:pPr>
          </w:p>
        </w:tc>
        <w:tc>
          <w:tcPr>
            <w:tcW w:w="1620" w:type="dxa"/>
            <w:vAlign w:val="bottom"/>
            <w:gridSpan w:val="5"/>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60" w:type="dxa"/>
            <w:vAlign w:val="bottom"/>
          </w:tcPr>
          <w:p>
            <w:pPr>
              <w:spacing w:after="0"/>
              <w:rPr>
                <w:sz w:val="14"/>
                <w:szCs w:val="14"/>
                <w:color w:val="auto"/>
              </w:rPr>
            </w:pPr>
          </w:p>
        </w:tc>
        <w:tc>
          <w:tcPr>
            <w:tcW w:w="16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Convertible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w w:val="89"/>
              </w:rPr>
              <w:t>Redeemable</w:t>
            </w:r>
          </w:p>
        </w:tc>
        <w:tc>
          <w:tcPr>
            <w:tcW w:w="280" w:type="dxa"/>
            <w:vAlign w:val="bottom"/>
          </w:tcPr>
          <w:p>
            <w:pPr>
              <w:spacing w:after="0"/>
              <w:rPr>
                <w:sz w:val="14"/>
                <w:szCs w:val="14"/>
                <w:color w:val="auto"/>
              </w:rPr>
            </w:pPr>
          </w:p>
        </w:tc>
        <w:tc>
          <w:tcPr>
            <w:tcW w:w="150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rPr>
              <w:t>Common Shares</w:t>
            </w:r>
          </w:p>
        </w:tc>
        <w:tc>
          <w:tcPr>
            <w:tcW w:w="1520" w:type="dxa"/>
            <w:vAlign w:val="bottom"/>
            <w:gridSpan w:val="6"/>
            <w:vMerge w:val="restart"/>
          </w:tcPr>
          <w:p>
            <w:pPr>
              <w:jc w:val="right"/>
              <w:ind w:right="280"/>
              <w:spacing w:after="0"/>
              <w:rPr>
                <w:sz w:val="20"/>
                <w:szCs w:val="20"/>
                <w:color w:val="auto"/>
              </w:rPr>
            </w:pPr>
            <w:r>
              <w:rPr>
                <w:rFonts w:ascii="Arial" w:cs="Arial" w:eastAsia="Arial" w:hAnsi="Arial"/>
                <w:sz w:val="14"/>
                <w:szCs w:val="14"/>
                <w:b w:val="1"/>
                <w:bCs w:val="1"/>
                <w:color w:val="auto"/>
              </w:rPr>
              <w:t>Incentive Shares</w:t>
            </w:r>
          </w:p>
        </w:tc>
        <w:tc>
          <w:tcPr>
            <w:tcW w:w="4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4"/>
                <w:szCs w:val="14"/>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4"/>
                <w:szCs w:val="14"/>
                <w:color w:val="auto"/>
              </w:rPr>
            </w:pPr>
          </w:p>
        </w:tc>
        <w:tc>
          <w:tcPr>
            <w:tcW w:w="780" w:type="dxa"/>
            <w:vAlign w:val="bottom"/>
            <w:gridSpan w:val="2"/>
          </w:tcPr>
          <w:p>
            <w:pPr>
              <w:jc w:val="center"/>
              <w:ind w:right="2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1620" w:type="dxa"/>
            <w:vAlign w:val="bottom"/>
            <w:gridSpan w:val="5"/>
          </w:tcPr>
          <w:p>
            <w:pPr>
              <w:jc w:val="center"/>
              <w:ind w:right="60"/>
              <w:spacing w:after="0" w:line="129" w:lineRule="exact"/>
              <w:rPr>
                <w:sz w:val="20"/>
                <w:szCs w:val="20"/>
                <w:color w:val="auto"/>
              </w:rPr>
            </w:pPr>
            <w:r>
              <w:rPr>
                <w:rFonts w:ascii="Arial" w:cs="Arial" w:eastAsia="Arial" w:hAnsi="Arial"/>
                <w:sz w:val="14"/>
                <w:szCs w:val="14"/>
                <w:b w:val="1"/>
                <w:bCs w:val="1"/>
                <w:color w:val="auto"/>
                <w:w w:val="92"/>
              </w:rPr>
              <w:t>Preferred Shares</w:t>
            </w:r>
          </w:p>
        </w:tc>
        <w:tc>
          <w:tcPr>
            <w:tcW w:w="60" w:type="dxa"/>
            <w:vAlign w:val="bottom"/>
          </w:tcPr>
          <w:p>
            <w:pPr>
              <w:spacing w:after="0"/>
              <w:rPr>
                <w:sz w:val="12"/>
                <w:szCs w:val="12"/>
                <w:color w:val="auto"/>
              </w:rPr>
            </w:pPr>
          </w:p>
        </w:tc>
        <w:tc>
          <w:tcPr>
            <w:tcW w:w="1260" w:type="dxa"/>
            <w:vAlign w:val="bottom"/>
            <w:tcBorders>
              <w:right w:val="single" w:sz="8" w:color="auto"/>
            </w:tcBorders>
            <w:gridSpan w:val="3"/>
          </w:tcPr>
          <w:p>
            <w:pPr>
              <w:jc w:val="right"/>
              <w:ind w:right="340"/>
              <w:spacing w:after="0" w:line="129" w:lineRule="exact"/>
              <w:rPr>
                <w:sz w:val="20"/>
                <w:szCs w:val="20"/>
                <w:color w:val="auto"/>
              </w:rPr>
            </w:pPr>
            <w:r>
              <w:rPr>
                <w:rFonts w:ascii="Arial" w:cs="Arial" w:eastAsia="Arial" w:hAnsi="Arial"/>
                <w:sz w:val="14"/>
                <w:szCs w:val="14"/>
                <w:b w:val="1"/>
                <w:bCs w:val="1"/>
                <w:color w:val="auto"/>
                <w:w w:val="90"/>
              </w:rPr>
              <w:t>Noncontrolling</w:t>
            </w:r>
          </w:p>
        </w:tc>
        <w:tc>
          <w:tcPr>
            <w:tcW w:w="280" w:type="dxa"/>
            <w:vAlign w:val="bottom"/>
          </w:tcPr>
          <w:p>
            <w:pPr>
              <w:spacing w:after="0"/>
              <w:rPr>
                <w:sz w:val="12"/>
                <w:szCs w:val="12"/>
                <w:color w:val="auto"/>
              </w:rPr>
            </w:pPr>
          </w:p>
        </w:tc>
        <w:tc>
          <w:tcPr>
            <w:tcW w:w="1500" w:type="dxa"/>
            <w:vAlign w:val="bottom"/>
            <w:gridSpan w:val="5"/>
            <w:vMerge w:val="continue"/>
          </w:tcPr>
          <w:p>
            <w:pPr>
              <w:spacing w:after="0"/>
              <w:rPr>
                <w:sz w:val="12"/>
                <w:szCs w:val="12"/>
                <w:color w:val="auto"/>
              </w:rPr>
            </w:pPr>
          </w:p>
        </w:tc>
        <w:tc>
          <w:tcPr>
            <w:tcW w:w="1520" w:type="dxa"/>
            <w:vAlign w:val="bottom"/>
            <w:gridSpan w:val="6"/>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line="12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center"/>
              <w:ind w:right="21"/>
              <w:spacing w:after="0" w:line="129" w:lineRule="exact"/>
              <w:rPr>
                <w:sz w:val="20"/>
                <w:szCs w:val="20"/>
                <w:color w:val="auto"/>
              </w:rPr>
            </w:pPr>
            <w:r>
              <w:rPr>
                <w:rFonts w:ascii="Arial" w:cs="Arial" w:eastAsia="Arial" w:hAnsi="Arial"/>
                <w:sz w:val="14"/>
                <w:szCs w:val="14"/>
                <w:b w:val="1"/>
                <w:bCs w:val="1"/>
                <w:color w:val="auto"/>
                <w:w w:val="97"/>
              </w:rPr>
              <w:t>Members’</w:t>
            </w:r>
          </w:p>
        </w:tc>
        <w:tc>
          <w:tcPr>
            <w:tcW w:w="0" w:type="dxa"/>
            <w:vAlign w:val="bottom"/>
          </w:tcPr>
          <w:p>
            <w:pPr>
              <w:spacing w:after="0"/>
              <w:rPr>
                <w:sz w:val="1"/>
                <w:szCs w:val="1"/>
                <w:color w:val="auto"/>
              </w:rPr>
            </w:pPr>
          </w:p>
        </w:tc>
      </w:tr>
      <w:tr>
        <w:trPr>
          <w:trHeight w:val="156"/>
        </w:trPr>
        <w:tc>
          <w:tcPr>
            <w:tcW w:w="2360" w:type="dxa"/>
            <w:vAlign w:val="bottom"/>
          </w:tcPr>
          <w:p>
            <w:pPr>
              <w:spacing w:after="0"/>
              <w:rPr>
                <w:sz w:val="13"/>
                <w:szCs w:val="13"/>
                <w:color w:val="auto"/>
              </w:rPr>
            </w:pPr>
          </w:p>
        </w:tc>
        <w:tc>
          <w:tcPr>
            <w:tcW w:w="860" w:type="dxa"/>
            <w:vAlign w:val="bottom"/>
            <w:tcBorders>
              <w:top w:val="single" w:sz="8" w:color="auto"/>
              <w:bottom w:val="single" w:sz="8" w:color="auto"/>
            </w:tcBorders>
          </w:tcPr>
          <w:p>
            <w:pPr>
              <w:ind w:left="220"/>
              <w:spacing w:after="0" w:line="155" w:lineRule="exact"/>
              <w:rPr>
                <w:sz w:val="20"/>
                <w:szCs w:val="20"/>
                <w:color w:val="auto"/>
              </w:rPr>
            </w:pPr>
            <w:r>
              <w:rPr>
                <w:rFonts w:ascii="Arial" w:cs="Arial" w:eastAsia="Arial" w:hAnsi="Arial"/>
                <w:sz w:val="14"/>
                <w:szCs w:val="14"/>
                <w:b w:val="1"/>
                <w:bCs w:val="1"/>
                <w:color w:val="auto"/>
              </w:rPr>
              <w:t>Shares</w:t>
            </w: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8"/>
              </w:rPr>
              <w:t>Amount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Interest</w:t>
            </w:r>
          </w:p>
        </w:tc>
        <w:tc>
          <w:tcPr>
            <w:tcW w:w="3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Borders>
              <w:top w:val="single" w:sz="8" w:color="auto"/>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Shares</w:t>
            </w: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ind w:right="93"/>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520" w:type="dxa"/>
            <w:vAlign w:val="bottom"/>
            <w:tcBorders>
              <w:top w:val="single" w:sz="8" w:color="auto"/>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w w:val="90"/>
              </w:rPr>
              <w:t>Amount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5"/>
              </w:rPr>
              <w:t>(Deficit)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3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w w:val="90"/>
              </w:rPr>
              <w:t>Balance at December 31, 2019</w:t>
            </w:r>
          </w:p>
        </w:tc>
        <w:tc>
          <w:tcPr>
            <w:tcW w:w="880" w:type="dxa"/>
            <w:vAlign w:val="bottom"/>
            <w:gridSpan w:val="2"/>
            <w:shd w:val="clear" w:color="auto" w:fill="CCEEFF"/>
          </w:tcPr>
          <w:p>
            <w:pPr>
              <w:ind w:left="60"/>
              <w:spacing w:after="0" w:line="182" w:lineRule="exact"/>
              <w:rPr>
                <w:sz w:val="20"/>
                <w:szCs w:val="20"/>
                <w:color w:val="auto"/>
              </w:rPr>
            </w:pPr>
            <w:r>
              <w:rPr>
                <w:rFonts w:ascii="Arial" w:cs="Arial" w:eastAsia="Arial" w:hAnsi="Arial"/>
                <w:sz w:val="18"/>
                <w:szCs w:val="18"/>
                <w:color w:val="auto"/>
                <w:w w:val="88"/>
              </w:rPr>
              <w:t>12,502,752</w:t>
            </w:r>
          </w:p>
        </w:tc>
        <w:tc>
          <w:tcPr>
            <w:tcW w:w="740" w:type="dxa"/>
            <w:vAlign w:val="bottom"/>
            <w:gridSpan w:val="3"/>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$30,504</w:t>
            </w:r>
          </w:p>
        </w:tc>
        <w:tc>
          <w:tcPr>
            <w:tcW w:w="14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gridSpan w:val="2"/>
            <w:shd w:val="clear" w:color="auto" w:fill="CCEEFF"/>
          </w:tcPr>
          <w:p>
            <w:pPr>
              <w:jc w:val="right"/>
              <w:ind w:right="340"/>
              <w:spacing w:after="0" w:line="182" w:lineRule="exact"/>
              <w:rPr>
                <w:sz w:val="20"/>
                <w:szCs w:val="20"/>
                <w:color w:val="auto"/>
              </w:rPr>
            </w:pPr>
            <w:r>
              <w:rPr>
                <w:rFonts w:ascii="Arial" w:cs="Arial" w:eastAsia="Arial" w:hAnsi="Arial"/>
                <w:sz w:val="18"/>
                <w:szCs w:val="18"/>
                <w:color w:val="auto"/>
              </w:rPr>
              <w:t>5,487</w:t>
            </w:r>
          </w:p>
        </w:tc>
        <w:tc>
          <w:tcPr>
            <w:tcW w:w="2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60"/>
              <w:spacing w:after="0" w:line="182" w:lineRule="exact"/>
              <w:rPr>
                <w:sz w:val="20"/>
                <w:szCs w:val="20"/>
                <w:color w:val="auto"/>
              </w:rPr>
            </w:pPr>
            <w:r>
              <w:rPr>
                <w:rFonts w:ascii="Arial" w:cs="Arial" w:eastAsia="Arial" w:hAnsi="Arial"/>
                <w:sz w:val="18"/>
                <w:szCs w:val="18"/>
                <w:color w:val="auto"/>
                <w:w w:val="92"/>
              </w:rPr>
              <w:t>6,035,869</w:t>
            </w:r>
          </w:p>
        </w:tc>
        <w:tc>
          <w:tcPr>
            <w:tcW w:w="680" w:type="dxa"/>
            <w:vAlign w:val="bottom"/>
            <w:gridSpan w:val="3"/>
            <w:shd w:val="clear" w:color="auto" w:fill="CCEEFF"/>
          </w:tcPr>
          <w:p>
            <w:pPr>
              <w:ind w:left="60"/>
              <w:spacing w:after="0" w:line="182" w:lineRule="exact"/>
              <w:rPr>
                <w:sz w:val="20"/>
                <w:szCs w:val="20"/>
                <w:color w:val="auto"/>
              </w:rPr>
            </w:pPr>
            <w:r>
              <w:rPr>
                <w:rFonts w:ascii="Arial" w:cs="Arial" w:eastAsia="Arial" w:hAnsi="Arial"/>
                <w:sz w:val="18"/>
                <w:szCs w:val="18"/>
                <w:color w:val="auto"/>
              </w:rPr>
              <w:t>$2,000</w:t>
            </w:r>
          </w:p>
        </w:tc>
        <w:tc>
          <w:tcPr>
            <w:tcW w:w="90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w w:val="94"/>
              </w:rPr>
              <w:t>1,488,421</w:t>
            </w:r>
          </w:p>
        </w:tc>
        <w:tc>
          <w:tcPr>
            <w:tcW w:w="220" w:type="dxa"/>
            <w:vAlign w:val="bottom"/>
            <w:gridSpan w:val="2"/>
            <w:shd w:val="clear" w:color="auto" w:fill="CCEEFF"/>
          </w:tcPr>
          <w:p>
            <w:pPr>
              <w:ind w:left="40"/>
              <w:spacing w:after="0" w:line="182"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111</w:t>
            </w:r>
          </w:p>
        </w:tc>
        <w:tc>
          <w:tcPr>
            <w:tcW w:w="140" w:type="dxa"/>
            <w:vAlign w:val="bottom"/>
            <w:gridSpan w:val="2"/>
            <w:shd w:val="clear" w:color="auto" w:fill="CCEEFF"/>
          </w:tcPr>
          <w:p>
            <w:pPr>
              <w:ind w:left="40"/>
              <w:spacing w:after="0" w:line="18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300"/>
              <w:spacing w:after="0" w:line="182" w:lineRule="exact"/>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line="18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(12,784)</w:t>
            </w:r>
          </w:p>
        </w:tc>
        <w:tc>
          <w:tcPr>
            <w:tcW w:w="820" w:type="dxa"/>
            <w:vAlign w:val="bottom"/>
            <w:gridSpan w:val="3"/>
            <w:shd w:val="clear" w:color="auto" w:fill="CCEEFF"/>
          </w:tcPr>
          <w:p>
            <w:pPr>
              <w:jc w:val="right"/>
              <w:spacing w:after="0" w:line="182" w:lineRule="exact"/>
              <w:rPr>
                <w:sz w:val="20"/>
                <w:szCs w:val="20"/>
                <w:color w:val="auto"/>
              </w:rPr>
            </w:pPr>
            <w:r>
              <w:rPr>
                <w:rFonts w:ascii="Arial" w:cs="Arial" w:eastAsia="Arial" w:hAnsi="Arial"/>
                <w:sz w:val="18"/>
                <w:szCs w:val="18"/>
                <w:color w:val="auto"/>
                <w:w w:val="95"/>
              </w:rPr>
              <w:t>$(10,673)</w:t>
            </w:r>
          </w:p>
        </w:tc>
        <w:tc>
          <w:tcPr>
            <w:tcW w:w="0" w:type="dxa"/>
            <w:vAlign w:val="bottom"/>
          </w:tcPr>
          <w:p>
            <w:pPr>
              <w:spacing w:after="0"/>
              <w:rPr>
                <w:sz w:val="1"/>
                <w:szCs w:val="1"/>
                <w:color w:val="auto"/>
              </w:rPr>
            </w:pPr>
          </w:p>
        </w:tc>
      </w:tr>
      <w:tr>
        <w:trPr>
          <w:trHeight w:val="196"/>
        </w:trPr>
        <w:tc>
          <w:tcPr>
            <w:tcW w:w="2360" w:type="dxa"/>
            <w:vAlign w:val="bottom"/>
          </w:tcPr>
          <w:p>
            <w:pPr>
              <w:spacing w:after="0" w:line="196" w:lineRule="exact"/>
              <w:rPr>
                <w:sz w:val="20"/>
                <w:szCs w:val="20"/>
                <w:color w:val="auto"/>
              </w:rPr>
            </w:pPr>
            <w:r>
              <w:rPr>
                <w:rFonts w:ascii="Arial" w:cs="Arial" w:eastAsia="Arial" w:hAnsi="Arial"/>
                <w:sz w:val="18"/>
                <w:szCs w:val="18"/>
                <w:color w:val="auto"/>
              </w:rPr>
              <w:t>Issuance of incentive shares</w:t>
            </w:r>
          </w:p>
        </w:tc>
        <w:tc>
          <w:tcPr>
            <w:tcW w:w="860" w:type="dxa"/>
            <w:vAlign w:val="bottom"/>
            <w:tcBorders>
              <w:top w:val="single" w:sz="8" w:color="auto"/>
            </w:tcBorders>
          </w:tcPr>
          <w:p>
            <w:pPr>
              <w:ind w:left="600"/>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Borders>
              <w:top w:val="single" w:sz="8" w:color="auto"/>
            </w:tcBorders>
          </w:tcPr>
          <w:p>
            <w:pPr>
              <w:ind w:left="500"/>
              <w:spacing w:after="0" w:line="196"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Borders>
              <w:top w:val="single" w:sz="8" w:color="auto"/>
            </w:tcBorders>
          </w:tcPr>
          <w:p>
            <w:pPr>
              <w:ind w:left="240"/>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528,211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ind w:left="80"/>
              <w:spacing w:after="0" w:line="19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ind w:left="300"/>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Cancellations of incentive</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(477,582)</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360" w:type="dxa"/>
            <w:vAlign w:val="bottom"/>
          </w:tcPr>
          <w:p>
            <w:pPr>
              <w:spacing w:after="0" w:line="201" w:lineRule="exact"/>
              <w:rPr>
                <w:sz w:val="20"/>
                <w:szCs w:val="20"/>
                <w:color w:val="auto"/>
              </w:rPr>
            </w:pPr>
            <w:r>
              <w:rPr>
                <w:rFonts w:ascii="Arial" w:cs="Arial" w:eastAsia="Arial" w:hAnsi="Arial"/>
                <w:sz w:val="18"/>
                <w:szCs w:val="18"/>
                <w:color w:val="auto"/>
              </w:rPr>
              <w:t>Share-based compensation</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tcPr>
          <w:p>
            <w:pPr>
              <w:ind w:left="180"/>
              <w:spacing w:after="0"/>
              <w:rPr>
                <w:sz w:val="20"/>
                <w:szCs w:val="20"/>
                <w:color w:val="auto"/>
              </w:rPr>
            </w:pPr>
            <w:r>
              <w:rPr>
                <w:rFonts w:ascii="Arial" w:cs="Arial" w:eastAsia="Arial" w:hAnsi="Arial"/>
                <w:sz w:val="18"/>
                <w:szCs w:val="18"/>
                <w:color w:val="auto"/>
              </w:rPr>
              <w:t>expense</w:t>
            </w:r>
          </w:p>
        </w:tc>
        <w:tc>
          <w:tcPr>
            <w:tcW w:w="8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4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2"/>
        </w:trPr>
        <w:tc>
          <w:tcPr>
            <w:tcW w:w="2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attributable to</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redeemable convertible</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noncontrolling interest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(457)</w:t>
            </w:r>
          </w:p>
        </w:tc>
        <w:tc>
          <w:tcPr>
            <w:tcW w:w="2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36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rPr>
              <w:t>Net loss attributable to Day</w:t>
            </w: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tcBorders>
              <w:right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6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One Biopharmaceuticals</w:t>
            </w: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tcBorders>
              <w:right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6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Holding Company, LLC</w:t>
            </w: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tcBorders>
              <w:right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members</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196"/>
        </w:trPr>
        <w:tc>
          <w:tcPr>
            <w:tcW w:w="2360" w:type="dxa"/>
            <w:vAlign w:val="bottom"/>
          </w:tcPr>
          <w:p>
            <w:pPr>
              <w:spacing w:after="0" w:line="196" w:lineRule="exact"/>
              <w:rPr>
                <w:sz w:val="20"/>
                <w:szCs w:val="20"/>
                <w:color w:val="auto"/>
              </w:rPr>
            </w:pPr>
            <w:r>
              <w:rPr>
                <w:rFonts w:ascii="Arial" w:cs="Arial" w:eastAsia="Arial" w:hAnsi="Arial"/>
                <w:sz w:val="18"/>
                <w:szCs w:val="18"/>
                <w:b w:val="1"/>
                <w:bCs w:val="1"/>
                <w:color w:val="auto"/>
              </w:rPr>
              <w:t>Balance at March 31, 2020</w:t>
            </w:r>
          </w:p>
        </w:tc>
        <w:tc>
          <w:tcPr>
            <w:tcW w:w="860" w:type="dxa"/>
            <w:vAlign w:val="bottom"/>
            <w:tcBorders>
              <w:top w:val="single" w:sz="8" w:color="auto"/>
              <w:bottom w:val="single" w:sz="8" w:color="auto"/>
            </w:tcBorders>
          </w:tcPr>
          <w:p>
            <w:pPr>
              <w:ind w:left="60"/>
              <w:spacing w:after="0" w:line="196" w:lineRule="exact"/>
              <w:rPr>
                <w:sz w:val="20"/>
                <w:szCs w:val="20"/>
                <w:color w:val="auto"/>
              </w:rPr>
            </w:pPr>
            <w:r>
              <w:rPr>
                <w:rFonts w:ascii="Arial" w:cs="Arial" w:eastAsia="Arial" w:hAnsi="Arial"/>
                <w:sz w:val="18"/>
                <w:szCs w:val="18"/>
                <w:color w:val="auto"/>
                <w:w w:val="86"/>
              </w:rPr>
              <w:t>12,502,752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6"/>
              </w:rPr>
              <w:t>$30,504</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5,030</w:t>
            </w:r>
          </w:p>
        </w:tc>
        <w:tc>
          <w:tcPr>
            <w:tcW w:w="34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Borders>
              <w:top w:val="single" w:sz="8" w:color="auto"/>
              <w:bottom w:val="single" w:sz="8" w:color="auto"/>
            </w:tcBorders>
          </w:tcPr>
          <w:p>
            <w:pPr>
              <w:ind w:left="60"/>
              <w:spacing w:after="0" w:line="196" w:lineRule="exact"/>
              <w:rPr>
                <w:sz w:val="20"/>
                <w:szCs w:val="20"/>
                <w:color w:val="auto"/>
              </w:rPr>
            </w:pPr>
            <w:r>
              <w:rPr>
                <w:rFonts w:ascii="Arial" w:cs="Arial" w:eastAsia="Arial" w:hAnsi="Arial"/>
                <w:sz w:val="18"/>
                <w:szCs w:val="18"/>
                <w:color w:val="auto"/>
                <w:w w:val="87"/>
              </w:rPr>
              <w:t>6,035,869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90"/>
              </w:rPr>
              <w:t>$2,000</w:t>
            </w:r>
          </w:p>
        </w:tc>
        <w:tc>
          <w:tcPr>
            <w:tcW w:w="10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1,539,050</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ind w:left="80"/>
              <w:spacing w:after="0" w:line="196" w:lineRule="exact"/>
              <w:rPr>
                <w:sz w:val="20"/>
                <w:szCs w:val="20"/>
                <w:color w:val="auto"/>
              </w:rPr>
            </w:pPr>
            <w:r>
              <w:rPr>
                <w:rFonts w:ascii="Arial" w:cs="Arial" w:eastAsia="Arial" w:hAnsi="Arial"/>
                <w:sz w:val="18"/>
                <w:szCs w:val="18"/>
                <w:color w:val="auto"/>
                <w:w w:val="79"/>
              </w:rPr>
              <w:t>170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ind w:left="300"/>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(14,319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$(12,149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36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Issuance of incentive shares</w:t>
            </w:r>
          </w:p>
        </w:tc>
        <w:tc>
          <w:tcPr>
            <w:tcW w:w="860" w:type="dxa"/>
            <w:vAlign w:val="bottom"/>
            <w:tcBorders>
              <w:top w:val="single" w:sz="8" w:color="auto"/>
            </w:tcBorders>
            <w:shd w:val="clear" w:color="auto" w:fill="CCEEFF"/>
          </w:tcPr>
          <w:p>
            <w:pPr>
              <w:ind w:left="600"/>
              <w:spacing w:after="0" w:line="183"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ind w:left="500"/>
              <w:spacing w:after="0" w:line="183"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ind w:left="240"/>
              <w:spacing w:after="0" w:line="18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21,419</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ind w:left="80"/>
              <w:spacing w:after="0" w:line="183"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ind w:left="300"/>
              <w:spacing w:after="0" w:line="18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360" w:type="dxa"/>
            <w:vAlign w:val="bottom"/>
          </w:tcPr>
          <w:p>
            <w:pPr>
              <w:spacing w:after="0" w:line="161" w:lineRule="exact"/>
              <w:rPr>
                <w:sz w:val="20"/>
                <w:szCs w:val="20"/>
                <w:color w:val="auto"/>
              </w:rPr>
            </w:pPr>
            <w:r>
              <w:rPr>
                <w:rFonts w:ascii="Arial" w:cs="Arial" w:eastAsia="Arial" w:hAnsi="Arial"/>
                <w:sz w:val="18"/>
                <w:szCs w:val="18"/>
                <w:color w:val="auto"/>
              </w:rPr>
              <w:t>Share-based compensation</w:t>
            </w: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360" w:type="dxa"/>
            <w:vAlign w:val="bottom"/>
          </w:tcPr>
          <w:p>
            <w:pPr>
              <w:ind w:left="180"/>
              <w:spacing w:after="0"/>
              <w:rPr>
                <w:sz w:val="20"/>
                <w:szCs w:val="20"/>
                <w:color w:val="auto"/>
              </w:rPr>
            </w:pPr>
            <w:r>
              <w:rPr>
                <w:rFonts w:ascii="Arial" w:cs="Arial" w:eastAsia="Arial" w:hAnsi="Arial"/>
                <w:sz w:val="18"/>
                <w:szCs w:val="18"/>
                <w:color w:val="auto"/>
              </w:rPr>
              <w:t>expenses</w:t>
            </w:r>
          </w:p>
        </w:tc>
        <w:tc>
          <w:tcPr>
            <w:tcW w:w="8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4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61"/>
        </w:trPr>
        <w:tc>
          <w:tcPr>
            <w:tcW w:w="236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rPr>
              <w:t>Net loss attributable to</w:t>
            </w: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tcBorders>
              <w:right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(649)</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36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rPr>
              <w:t>Net loss attributable to</w:t>
            </w: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tcBorders>
              <w:right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6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common members/</w:t>
            </w: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tcBorders>
              <w:right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196"/>
        </w:trPr>
        <w:tc>
          <w:tcPr>
            <w:tcW w:w="2360" w:type="dxa"/>
            <w:vAlign w:val="bottom"/>
          </w:tcPr>
          <w:p>
            <w:pPr>
              <w:spacing w:after="0" w:line="196" w:lineRule="exact"/>
              <w:rPr>
                <w:sz w:val="20"/>
                <w:szCs w:val="20"/>
                <w:color w:val="auto"/>
              </w:rPr>
            </w:pPr>
            <w:r>
              <w:rPr>
                <w:rFonts w:ascii="Arial" w:cs="Arial" w:eastAsia="Arial" w:hAnsi="Arial"/>
                <w:sz w:val="18"/>
                <w:szCs w:val="18"/>
                <w:b w:val="1"/>
                <w:bCs w:val="1"/>
                <w:color w:val="auto"/>
              </w:rPr>
              <w:t>Balance at June 30, 2020</w:t>
            </w:r>
          </w:p>
        </w:tc>
        <w:tc>
          <w:tcPr>
            <w:tcW w:w="860" w:type="dxa"/>
            <w:vAlign w:val="bottom"/>
            <w:tcBorders>
              <w:top w:val="single" w:sz="8" w:color="auto"/>
              <w:bottom w:val="single" w:sz="8" w:color="auto"/>
            </w:tcBorders>
          </w:tcPr>
          <w:p>
            <w:pPr>
              <w:ind w:left="60"/>
              <w:spacing w:after="0" w:line="196" w:lineRule="exact"/>
              <w:rPr>
                <w:sz w:val="20"/>
                <w:szCs w:val="20"/>
                <w:color w:val="auto"/>
              </w:rPr>
            </w:pPr>
            <w:r>
              <w:rPr>
                <w:rFonts w:ascii="Arial" w:cs="Arial" w:eastAsia="Arial" w:hAnsi="Arial"/>
                <w:sz w:val="18"/>
                <w:szCs w:val="18"/>
                <w:color w:val="auto"/>
                <w:w w:val="86"/>
              </w:rPr>
              <w:t>12,502,752</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6"/>
              </w:rPr>
              <w:t>$30,504</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4,381</w:t>
            </w:r>
          </w:p>
        </w:tc>
        <w:tc>
          <w:tcPr>
            <w:tcW w:w="34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Borders>
              <w:top w:val="single" w:sz="8" w:color="auto"/>
              <w:bottom w:val="single" w:sz="8" w:color="auto"/>
            </w:tcBorders>
          </w:tcPr>
          <w:p>
            <w:pPr>
              <w:ind w:left="60"/>
              <w:spacing w:after="0" w:line="196" w:lineRule="exact"/>
              <w:rPr>
                <w:sz w:val="20"/>
                <w:szCs w:val="20"/>
                <w:color w:val="auto"/>
              </w:rPr>
            </w:pPr>
            <w:r>
              <w:rPr>
                <w:rFonts w:ascii="Arial" w:cs="Arial" w:eastAsia="Arial" w:hAnsi="Arial"/>
                <w:sz w:val="18"/>
                <w:szCs w:val="18"/>
                <w:color w:val="auto"/>
                <w:w w:val="87"/>
              </w:rPr>
              <w:t>6,035,869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90"/>
              </w:rPr>
              <w:t>$2,000</w:t>
            </w:r>
          </w:p>
        </w:tc>
        <w:tc>
          <w:tcPr>
            <w:tcW w:w="10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1,560,469</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ind w:left="80"/>
              <w:spacing w:after="0" w:line="196" w:lineRule="exact"/>
              <w:rPr>
                <w:sz w:val="20"/>
                <w:szCs w:val="20"/>
                <w:color w:val="auto"/>
              </w:rPr>
            </w:pPr>
            <w:r>
              <w:rPr>
                <w:rFonts w:ascii="Arial" w:cs="Arial" w:eastAsia="Arial" w:hAnsi="Arial"/>
                <w:sz w:val="18"/>
                <w:szCs w:val="18"/>
                <w:color w:val="auto"/>
                <w:w w:val="79"/>
              </w:rPr>
              <w:t>227</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ind w:left="300"/>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(16,079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$(13,852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1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00"/>
          </w:cols>
          <w:pgMar w:left="320" w:top="486"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8"/>
              </w:rPr>
              <w:t>Six Months Ended</w:t>
            </w:r>
          </w:p>
        </w:tc>
        <w:tc>
          <w:tcPr>
            <w:tcW w:w="0" w:type="dxa"/>
            <w:vAlign w:val="bottom"/>
          </w:tcPr>
          <w:p>
            <w:pPr>
              <w:spacing w:after="0"/>
              <w:rPr>
                <w:sz w:val="1"/>
                <w:szCs w:val="1"/>
                <w:color w:val="auto"/>
              </w:rPr>
            </w:pPr>
          </w:p>
        </w:tc>
      </w:tr>
      <w:tr>
        <w:trPr>
          <w:trHeight w:val="162"/>
        </w:trPr>
        <w:tc>
          <w:tcPr>
            <w:tcW w:w="8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Net loss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(31,575)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(4,401)</w:t>
            </w: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tcPr>
          <w:p>
            <w:pPr>
              <w:ind w:left="360"/>
              <w:spacing w:after="0"/>
              <w:rPr>
                <w:sz w:val="20"/>
                <w:szCs w:val="20"/>
                <w:color w:val="auto"/>
              </w:rPr>
            </w:pPr>
            <w:r>
              <w:rPr>
                <w:rFonts w:ascii="Arial" w:cs="Arial" w:eastAsia="Arial" w:hAnsi="Arial"/>
                <w:sz w:val="18"/>
                <w:szCs w:val="18"/>
                <w:color w:val="auto"/>
              </w:rPr>
              <w:t>Acquired in-process research and development assets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 expense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3,075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8840" w:type="dxa"/>
            <w:vAlign w:val="bottom"/>
          </w:tcPr>
          <w:p>
            <w:pPr>
              <w:ind w:left="360"/>
              <w:spacing w:after="0"/>
              <w:rPr>
                <w:sz w:val="20"/>
                <w:szCs w:val="20"/>
                <w:color w:val="auto"/>
              </w:rPr>
            </w:pPr>
            <w:r>
              <w:rPr>
                <w:rFonts w:ascii="Arial" w:cs="Arial" w:eastAsia="Arial" w:hAnsi="Arial"/>
                <w:sz w:val="18"/>
                <w:szCs w:val="18"/>
                <w:color w:val="auto"/>
              </w:rPr>
              <w:t>Depreciation and amortization expense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operating right-of-use assets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8840" w:type="dxa"/>
            <w:vAlign w:val="bottom"/>
          </w:tcPr>
          <w:p>
            <w:pPr>
              <w:ind w:left="360"/>
              <w:spacing w:after="0"/>
              <w:rPr>
                <w:sz w:val="20"/>
                <w:szCs w:val="20"/>
                <w:color w:val="auto"/>
              </w:rPr>
            </w:pPr>
            <w:r>
              <w:rPr>
                <w:rFonts w:ascii="Arial" w:cs="Arial" w:eastAsia="Arial" w:hAnsi="Arial"/>
                <w:sz w:val="18"/>
                <w:szCs w:val="18"/>
                <w:color w:val="auto"/>
              </w:rPr>
              <w:t>Non-cash interest expense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derivative tranche liabilities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884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(4,722)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8840" w:type="dxa"/>
            <w:vAlign w:val="bottom"/>
          </w:tcPr>
          <w:p>
            <w:pPr>
              <w:ind w:left="720"/>
              <w:spacing w:after="0"/>
              <w:rPr>
                <w:sz w:val="20"/>
                <w:szCs w:val="20"/>
                <w:color w:val="auto"/>
              </w:rPr>
            </w:pPr>
            <w:r>
              <w:rPr>
                <w:rFonts w:ascii="Arial" w:cs="Arial" w:eastAsia="Arial" w:hAnsi="Arial"/>
                <w:sz w:val="18"/>
                <w:szCs w:val="18"/>
                <w:color w:val="auto"/>
              </w:rPr>
              <w:t>Deposits and other long-term assets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8840" w:type="dxa"/>
            <w:vAlign w:val="bottom"/>
          </w:tcPr>
          <w:p>
            <w:pPr>
              <w:ind w:left="720"/>
              <w:spacing w:after="0"/>
              <w:rPr>
                <w:sz w:val="20"/>
                <w:szCs w:val="20"/>
                <w:color w:val="auto"/>
              </w:rPr>
            </w:pPr>
            <w:r>
              <w:rPr>
                <w:rFonts w:ascii="Arial" w:cs="Arial" w:eastAsia="Arial" w:hAnsi="Arial"/>
                <w:sz w:val="18"/>
                <w:szCs w:val="18"/>
                <w:color w:val="auto"/>
              </w:rPr>
              <w:t>Accrued expenses and other current liabilities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1,937</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Operating lease liabilities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8840" w:type="dxa"/>
            <w:vAlign w:val="bottom"/>
          </w:tcPr>
          <w:p>
            <w:pPr>
              <w:ind w:left="1080"/>
              <w:spacing w:after="0"/>
              <w:rPr>
                <w:sz w:val="20"/>
                <w:szCs w:val="20"/>
                <w:color w:val="auto"/>
              </w:rPr>
            </w:pPr>
            <w:r>
              <w:rPr>
                <w:rFonts w:ascii="Arial" w:cs="Arial" w:eastAsia="Arial" w:hAnsi="Arial"/>
                <w:sz w:val="18"/>
                <w:szCs w:val="18"/>
                <w:color w:val="auto"/>
              </w:rPr>
              <w:t>Net cash used in operating activities</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(23,149)</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(3,973)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tcPr>
          <w:p>
            <w:pPr>
              <w:ind w:left="360"/>
              <w:spacing w:after="0"/>
              <w:rPr>
                <w:sz w:val="20"/>
                <w:szCs w:val="20"/>
                <w:color w:val="auto"/>
              </w:rPr>
            </w:pPr>
            <w:r>
              <w:rPr>
                <w:rFonts w:ascii="Arial" w:cs="Arial" w:eastAsia="Arial" w:hAnsi="Arial"/>
                <w:sz w:val="18"/>
                <w:szCs w:val="18"/>
                <w:color w:val="auto"/>
              </w:rPr>
              <w:t>Purchases of property and equipment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acquired in-process research and development assets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(8,000)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840" w:type="dxa"/>
            <w:vAlign w:val="bottom"/>
          </w:tcPr>
          <w:p>
            <w:pPr>
              <w:ind w:left="1080"/>
              <w:spacing w:after="0"/>
              <w:rPr>
                <w:sz w:val="20"/>
                <w:szCs w:val="20"/>
                <w:color w:val="auto"/>
              </w:rPr>
            </w:pPr>
            <w:r>
              <w:rPr>
                <w:rFonts w:ascii="Arial" w:cs="Arial" w:eastAsia="Arial" w:hAnsi="Arial"/>
                <w:sz w:val="18"/>
                <w:szCs w:val="18"/>
                <w:color w:val="auto"/>
              </w:rPr>
              <w:t>Cash used in investing activities</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(8,000)</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tcPr>
          <w:p>
            <w:pPr>
              <w:ind w:left="360"/>
              <w:spacing w:after="0"/>
              <w:rPr>
                <w:sz w:val="20"/>
                <w:szCs w:val="20"/>
                <w:color w:val="auto"/>
              </w:rPr>
            </w:pPr>
            <w:r>
              <w:rPr>
                <w:rFonts w:ascii="Arial" w:cs="Arial" w:eastAsia="Arial" w:hAnsi="Arial"/>
                <w:sz w:val="18"/>
                <w:szCs w:val="18"/>
                <w:color w:val="auto"/>
              </w:rPr>
              <w:t>Proceeds from issuance of Series B redeemable convertible preferred shares, net of issuance costs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129,757</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common stock, net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167,660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840" w:type="dxa"/>
            <w:vAlign w:val="bottom"/>
          </w:tcPr>
          <w:p>
            <w:pPr>
              <w:ind w:left="1080"/>
              <w:spacing w:after="0"/>
              <w:rPr>
                <w:sz w:val="20"/>
                <w:szCs w:val="20"/>
                <w:color w:val="auto"/>
              </w:rPr>
            </w:pPr>
            <w:r>
              <w:rPr>
                <w:rFonts w:ascii="Arial" w:cs="Arial" w:eastAsia="Arial" w:hAnsi="Arial"/>
                <w:sz w:val="18"/>
                <w:szCs w:val="18"/>
                <w:color w:val="auto"/>
              </w:rPr>
              <w:t>Net cash provided by financing activities</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297,417</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266,268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(4,066)</w:t>
            </w:r>
          </w:p>
        </w:tc>
        <w:tc>
          <w:tcPr>
            <w:tcW w:w="0" w:type="dxa"/>
            <w:vAlign w:val="bottom"/>
          </w:tcPr>
          <w:p>
            <w:pPr>
              <w:spacing w:after="0"/>
              <w:rPr>
                <w:sz w:val="1"/>
                <w:szCs w:val="1"/>
                <w:color w:val="auto"/>
              </w:rPr>
            </w:pPr>
          </w:p>
        </w:tc>
      </w:tr>
      <w:tr>
        <w:trPr>
          <w:trHeight w:val="230"/>
        </w:trPr>
        <w:tc>
          <w:tcPr>
            <w:tcW w:w="88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43,728</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27,332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309,996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23,266</w:t>
            </w:r>
          </w:p>
        </w:tc>
        <w:tc>
          <w:tcPr>
            <w:tcW w:w="0" w:type="dxa"/>
            <w:vAlign w:val="bottom"/>
          </w:tcPr>
          <w:p>
            <w:pPr>
              <w:spacing w:after="0"/>
              <w:rPr>
                <w:sz w:val="1"/>
                <w:szCs w:val="1"/>
                <w:color w:val="auto"/>
              </w:rPr>
            </w:pPr>
          </w:p>
        </w:tc>
      </w:tr>
      <w:tr>
        <w:trPr>
          <w:trHeight w:val="20"/>
        </w:trPr>
        <w:tc>
          <w:tcPr>
            <w:tcW w:w="884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disclosures of noncash activities</w:t>
            </w: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4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Exchange of 45,331,483 preferred, common, and incentive shares in connection with the Conversion (Note 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224,892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tcPr>
          <w:p>
            <w:pPr>
              <w:ind w:left="360"/>
              <w:spacing w:after="0"/>
              <w:rPr>
                <w:sz w:val="20"/>
                <w:szCs w:val="20"/>
                <w:color w:val="auto"/>
              </w:rPr>
            </w:pPr>
            <w:r>
              <w:rPr>
                <w:rFonts w:ascii="Arial" w:cs="Arial" w:eastAsia="Arial" w:hAnsi="Arial"/>
                <w:sz w:val="18"/>
                <w:szCs w:val="18"/>
                <w:color w:val="auto"/>
                <w:w w:val="98"/>
              </w:rPr>
              <w:t>Exchange of redeemable convertible noncontrolling interest to 6,470,382 shares of common stock (Note 13)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3,592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offering costs not yet paid</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40" w:type="dxa"/>
            <w:vAlign w:val="bottom"/>
          </w:tcPr>
          <w:p>
            <w:pPr>
              <w:ind w:left="360"/>
              <w:spacing w:after="0"/>
              <w:rPr>
                <w:sz w:val="20"/>
                <w:szCs w:val="20"/>
                <w:color w:val="auto"/>
              </w:rPr>
            </w:pPr>
            <w:r>
              <w:rPr>
                <w:rFonts w:ascii="Arial" w:cs="Arial" w:eastAsia="Arial" w:hAnsi="Arial"/>
                <w:sz w:val="18"/>
                <w:szCs w:val="18"/>
                <w:color w:val="auto"/>
              </w:rPr>
              <w:t>Right of use asset capitalization</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486"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52" w:lineRule="exact"/>
        <w:rPr>
          <w:sz w:val="20"/>
          <w:szCs w:val="20"/>
          <w:color w:val="auto"/>
        </w:rPr>
      </w:pPr>
    </w:p>
    <w:p>
      <w:pPr>
        <w:ind w:left="560" w:right="5120" w:hanging="444"/>
        <w:spacing w:after="0" w:line="378" w:lineRule="auto"/>
        <w:tabs>
          <w:tab w:leader="none" w:pos="55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BUSINESS, ORGANIZATION AND LIQUIDITY </w:t>
      </w:r>
      <w:r>
        <w:rPr>
          <w:rFonts w:ascii="Arial" w:cs="Arial" w:eastAsia="Arial" w:hAnsi="Arial"/>
          <w:sz w:val="18"/>
          <w:szCs w:val="18"/>
          <w:b w:val="1"/>
          <w:bCs w:val="1"/>
          <w:i w:val="1"/>
          <w:iCs w:val="1"/>
          <w:color w:val="auto"/>
        </w:rPr>
        <w:t>Organization and Business</w:t>
      </w:r>
    </w:p>
    <w:p>
      <w:pPr>
        <w:ind w:left="560" w:right="200" w:firstLine="423"/>
        <w:spacing w:after="0" w:line="259" w:lineRule="auto"/>
        <w:rPr>
          <w:sz w:val="20"/>
          <w:szCs w:val="20"/>
          <w:color w:val="auto"/>
        </w:rPr>
      </w:pPr>
      <w:r>
        <w:rPr>
          <w:rFonts w:ascii="Arial" w:cs="Arial" w:eastAsia="Arial" w:hAnsi="Arial"/>
          <w:sz w:val="18"/>
          <w:szCs w:val="18"/>
          <w:color w:val="auto"/>
        </w:rPr>
        <w:t>Day One Biopharmaceuticals, Inc. (the “Company”), a successor to Day One Biopharmaceuticals Holding Company, LLC (“Day One Holding LLC), is a clinical-stage biopharmaceutical company dedicated to developing and commercializing targeted therapies for patients of all ages with genetically defined cancers. The Company’s lead product candidate, DAY101, has the potential to be a first-in-class, oral, brain-penetrant, highly-selective type II pan-RAF kinase inhibitor.</w:t>
      </w:r>
    </w:p>
    <w:p>
      <w:pPr>
        <w:spacing w:after="0" w:line="79" w:lineRule="exact"/>
        <w:rPr>
          <w:sz w:val="20"/>
          <w:szCs w:val="20"/>
          <w:color w:val="auto"/>
        </w:rPr>
      </w:pPr>
    </w:p>
    <w:p>
      <w:pPr>
        <w:ind w:left="560" w:right="140" w:firstLine="423"/>
        <w:spacing w:after="0" w:line="254" w:lineRule="auto"/>
        <w:rPr>
          <w:sz w:val="20"/>
          <w:szCs w:val="20"/>
          <w:color w:val="auto"/>
        </w:rPr>
      </w:pPr>
      <w:r>
        <w:rPr>
          <w:rFonts w:ascii="Arial" w:cs="Arial" w:eastAsia="Arial" w:hAnsi="Arial"/>
          <w:sz w:val="18"/>
          <w:szCs w:val="18"/>
          <w:color w:val="auto"/>
        </w:rPr>
        <w:t>The Company started its operations in November 2018 under the name Hero Therapeutics Holding Company, LLC, a limited liability company under the laws of the State of Delaware. Subsequently, it changed its name to Day One Therapeutics Holding Company, LLC in December 2018 and to Day One Biopharmaceuticals Holding Company, LLC in March 2020. On May 26, 2021, the Company completed the conversion by filing a certificate of conversion with the Secretary of State of the State of Delaware and changed its name to Day One Biopharmaceuticals, Inc. As of June 30, 2021, the Company has two wholly owned subsidiaries: DOT Therapeutics-2, Inc. (“DOT-2”) (formerly Hero Therapeutics Inc. and Day One Biopharmaceuticals, Inc.), incorporated in Delaware in November 2018, and DOT Therapeutics-1, Inc. (“DOT-1”) , incorporated in Delaware in December 2019.</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Initial Public Offering, Corporate Conversion and Exchange of Takeda’s shares</w:t>
      </w:r>
    </w:p>
    <w:p>
      <w:pPr>
        <w:spacing w:after="0" w:line="117" w:lineRule="exact"/>
        <w:rPr>
          <w:sz w:val="20"/>
          <w:szCs w:val="20"/>
          <w:color w:val="auto"/>
        </w:rPr>
      </w:pPr>
    </w:p>
    <w:p>
      <w:pPr>
        <w:ind w:left="560" w:right="40" w:firstLine="423"/>
        <w:spacing w:after="0" w:line="257" w:lineRule="auto"/>
        <w:rPr>
          <w:sz w:val="20"/>
          <w:szCs w:val="20"/>
          <w:color w:val="auto"/>
        </w:rPr>
      </w:pPr>
      <w:r>
        <w:rPr>
          <w:rFonts w:ascii="Arial" w:cs="Arial" w:eastAsia="Arial" w:hAnsi="Arial"/>
          <w:sz w:val="18"/>
          <w:szCs w:val="18"/>
          <w:color w:val="auto"/>
        </w:rPr>
        <w:t>On June 1, 2021, the Company closed its initial public offering (the “IPO”) in which it sold an aggregate of 11,500,000 shares of common stock at a price to the public of $16.00 per share, which included 1,500,000 shares issued upon the full exercise by the underwriters of their option to purchase additional shares of common stock. The Company received aggregate net proceeds from the IPO of $167.0 million, after deducting underwriting discounts and commissions and offering costs, of $17.0 million. The common stock began trading on the Nasdaq Global Select Market on May 27, 2021, under the symbol “DAWN”.</w:t>
      </w:r>
    </w:p>
    <w:p>
      <w:pPr>
        <w:spacing w:after="0" w:line="80" w:lineRule="exact"/>
        <w:rPr>
          <w:sz w:val="20"/>
          <w:szCs w:val="20"/>
          <w:color w:val="auto"/>
        </w:rPr>
      </w:pPr>
    </w:p>
    <w:p>
      <w:pPr>
        <w:jc w:val="both"/>
        <w:ind w:left="560" w:right="120" w:firstLine="423"/>
        <w:spacing w:after="0" w:line="286" w:lineRule="auto"/>
        <w:rPr>
          <w:sz w:val="20"/>
          <w:szCs w:val="20"/>
          <w:color w:val="auto"/>
        </w:rPr>
      </w:pPr>
      <w:r>
        <w:rPr>
          <w:rFonts w:ascii="Arial" w:cs="Arial" w:eastAsia="Arial" w:hAnsi="Arial"/>
          <w:sz w:val="17"/>
          <w:szCs w:val="17"/>
          <w:color w:val="auto"/>
        </w:rPr>
        <w:t>In contemplation of the IPO, on May 26, 2021, the Company completed the conversion (the “Conversion”), which included the following: Day One Holding LLC, converted from a Delaware limited liability company to a Delaware corporation by filing a certificate of conversion with the Secretary of State of the State of Delaware; and changed its name to Day One Biopharmaceuticals, Inc.</w:t>
      </w:r>
    </w:p>
    <w:p>
      <w:pPr>
        <w:spacing w:after="0" w:line="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As part of the Conversion:</w:t>
      </w:r>
    </w:p>
    <w:p>
      <w:pPr>
        <w:spacing w:after="0" w:line="131" w:lineRule="exact"/>
        <w:rPr>
          <w:sz w:val="20"/>
          <w:szCs w:val="20"/>
          <w:color w:val="auto"/>
        </w:rPr>
      </w:pPr>
    </w:p>
    <w:p>
      <w:pPr>
        <w:ind w:left="1080" w:right="600" w:hanging="532"/>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holders of Series A redeemable convertible preferred shares of Day One Holding LLC received one share of Series A redeemable convertible preferred stock of the Company for each Series A redeemable convertible preferred share held immediately prior to the Conversion;</w:t>
      </w:r>
    </w:p>
    <w:p>
      <w:pPr>
        <w:spacing w:after="0" w:line="89" w:lineRule="exact"/>
        <w:rPr>
          <w:rFonts w:ascii="Arial" w:cs="Arial" w:eastAsia="Arial" w:hAnsi="Arial"/>
          <w:sz w:val="18"/>
          <w:szCs w:val="18"/>
          <w:color w:val="auto"/>
        </w:rPr>
      </w:pPr>
    </w:p>
    <w:p>
      <w:pPr>
        <w:ind w:left="1080" w:right="600" w:hanging="532"/>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holders of Series B redeemable convertible preferred shares of Day One Holding LLC received one share of Series B redeemable convertible preferred stock of the Company for each Series B redeemable convertible preferred share held immediately prior to the Conversion;</w:t>
      </w:r>
    </w:p>
    <w:p>
      <w:pPr>
        <w:spacing w:after="0" w:line="89" w:lineRule="exact"/>
        <w:rPr>
          <w:rFonts w:ascii="Arial" w:cs="Arial" w:eastAsia="Arial" w:hAnsi="Arial"/>
          <w:sz w:val="18"/>
          <w:szCs w:val="18"/>
          <w:color w:val="auto"/>
        </w:rPr>
      </w:pPr>
    </w:p>
    <w:p>
      <w:pPr>
        <w:ind w:left="1080" w:right="260" w:hanging="532"/>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holders of common shares of Day One Holding LLC received one share of common stock of the Company for each common share held immediately prior to the Conversion;</w:t>
      </w:r>
    </w:p>
    <w:p>
      <w:pPr>
        <w:spacing w:after="0" w:line="75" w:lineRule="exact"/>
        <w:rPr>
          <w:rFonts w:ascii="Arial" w:cs="Arial" w:eastAsia="Arial" w:hAnsi="Arial"/>
          <w:sz w:val="18"/>
          <w:szCs w:val="18"/>
          <w:color w:val="auto"/>
        </w:rPr>
      </w:pPr>
    </w:p>
    <w:p>
      <w:pPr>
        <w:ind w:left="1080" w:hanging="532"/>
        <w:spacing w:after="0" w:line="25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each outstanding incentive share in Day One Holding LLC converted into a number of shares of common stock of the Company based upon a conversion price determined by the board of directors. The conversion price was determined as a difference between the IPO price of $16.00 per share and the participating threshold for each incentive share. The Company issued 5,433,290 common stock shares upon the conversion of incentive shares of Day One Holding LLC, of which 4,719,605 common stock shares continue to vest as per the original vesting terms of the incentive shares awards.</w:t>
      </w:r>
    </w:p>
    <w:p>
      <w:pPr>
        <w:spacing w:after="0" w:line="80" w:lineRule="exact"/>
        <w:rPr>
          <w:sz w:val="20"/>
          <w:szCs w:val="20"/>
          <w:color w:val="auto"/>
        </w:rPr>
      </w:pPr>
    </w:p>
    <w:p>
      <w:pPr>
        <w:ind w:left="560" w:right="160" w:firstLine="423"/>
        <w:spacing w:after="0" w:line="259" w:lineRule="auto"/>
        <w:rPr>
          <w:sz w:val="20"/>
          <w:szCs w:val="20"/>
          <w:color w:val="auto"/>
        </w:rPr>
      </w:pPr>
      <w:r>
        <w:rPr>
          <w:rFonts w:ascii="Arial" w:cs="Arial" w:eastAsia="Arial" w:hAnsi="Arial"/>
          <w:sz w:val="18"/>
          <w:szCs w:val="18"/>
          <w:color w:val="auto"/>
        </w:rPr>
        <w:t>In connection with the IPO and the Conversion, pursuant to the terms of the Millennium Stock Exchange Agreement and the Plan of Conversion, (“The Millennium Stock Exchange Agreement”) Millennium Pharmaceuticals, Inc. (“Takeda”) exchanged the 9,857,143 shares of Series A redeemable convertible preferred stock of DOT-1, a subsidiary of Day One Holding LLC, for 6,470,382 shares of common stock of the Company (the “Exchange”).</w:t>
      </w:r>
    </w:p>
    <w:p>
      <w:pPr>
        <w:spacing w:after="0" w:line="79" w:lineRule="exact"/>
        <w:rPr>
          <w:sz w:val="20"/>
          <w:szCs w:val="20"/>
          <w:color w:val="auto"/>
        </w:rPr>
      </w:pPr>
    </w:p>
    <w:p>
      <w:pPr>
        <w:ind w:left="560" w:right="100" w:firstLine="423"/>
        <w:spacing w:after="0" w:line="257" w:lineRule="auto"/>
        <w:rPr>
          <w:sz w:val="20"/>
          <w:szCs w:val="20"/>
          <w:color w:val="auto"/>
        </w:rPr>
      </w:pPr>
      <w:r>
        <w:rPr>
          <w:rFonts w:ascii="Arial" w:cs="Arial" w:eastAsia="Arial" w:hAnsi="Arial"/>
          <w:sz w:val="18"/>
          <w:szCs w:val="18"/>
          <w:color w:val="auto"/>
        </w:rPr>
        <w:t>The Company continues to hold all property and assets of Day One Holding LLC and assumes all of the debts and obligations of Day One Holding LLC. Effective on the date of the Conversion, the member of the board of directors and officers of Day One Holding LLC became the member of the board of directors and officers of the Company. The Conversion was a tax-free reorganization, that included authorization to issue to capital stock consisting of 500,000,000 shares of common stock, $0.0001 par value per share, and 10,000,000 shares of undesignated preferred stock, $0.0001 par value per share.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86"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80" w:firstLine="423"/>
        <w:spacing w:after="0" w:line="263" w:lineRule="auto"/>
        <w:rPr>
          <w:sz w:val="20"/>
          <w:szCs w:val="20"/>
          <w:color w:val="auto"/>
        </w:rPr>
      </w:pPr>
      <w:r>
        <w:rPr>
          <w:rFonts w:ascii="Arial" w:cs="Arial" w:eastAsia="Arial" w:hAnsi="Arial"/>
          <w:sz w:val="18"/>
          <w:szCs w:val="18"/>
          <w:color w:val="auto"/>
        </w:rPr>
        <w:t>Upon the closing of the IPO, 32,489,398 shares of redeemable convertible preferred stock issued by the Company in the Conversion converted into an equal number of shares of common stock. The Company also granted options for 4,418,874 common stock shares at $16.00 per share upon the IPO date.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Shares Split</w:t>
      </w:r>
    </w:p>
    <w:p>
      <w:pPr>
        <w:spacing w:after="0" w:line="117" w:lineRule="exact"/>
        <w:rPr>
          <w:sz w:val="20"/>
          <w:szCs w:val="20"/>
          <w:color w:val="auto"/>
        </w:rPr>
      </w:pPr>
    </w:p>
    <w:p>
      <w:pPr>
        <w:ind w:left="560" w:right="120" w:firstLine="423"/>
        <w:spacing w:after="0" w:line="257" w:lineRule="auto"/>
        <w:rPr>
          <w:sz w:val="20"/>
          <w:szCs w:val="20"/>
          <w:color w:val="auto"/>
        </w:rPr>
      </w:pPr>
      <w:r>
        <w:rPr>
          <w:rFonts w:ascii="Arial" w:cs="Arial" w:eastAsia="Arial" w:hAnsi="Arial"/>
          <w:sz w:val="18"/>
          <w:szCs w:val="18"/>
          <w:color w:val="auto"/>
        </w:rPr>
        <w:t>On May 23, 2021, Day One Holding LLC Board approved an amendment the Operating Agreement to effect a forward split of the Company’s shares at a 2.325-for-1 ratio (the “Stock Split”). The Stock Split became effective on May 23, 2021, upon approval by the members and execution of the amended LLC operating agreement. All issued and outstanding common shares, redeemable convertible preferred shares, incentive shares and per share amounts contained in these condensed consolidated financial statements have been retroactively adjusted to reflect this Stock Split for all periods presented.</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left="560" w:firstLine="423"/>
        <w:spacing w:after="0" w:line="254" w:lineRule="auto"/>
        <w:rPr>
          <w:sz w:val="20"/>
          <w:szCs w:val="20"/>
          <w:color w:val="auto"/>
        </w:rPr>
      </w:pPr>
      <w:r>
        <w:rPr>
          <w:rFonts w:ascii="Arial" w:cs="Arial" w:eastAsia="Arial" w:hAnsi="Arial"/>
          <w:sz w:val="18"/>
          <w:szCs w:val="18"/>
          <w:color w:val="auto"/>
        </w:rPr>
        <w:t>The Company has incurred significant operating losses since inception and has relied primarily on public and private equity to fund its operations. On June 30, 2021, the Company had an accumulated stockholders equity/members’ (deficit) of $86.3 million. The Company expects to continue to incur substantial losses, and its ability to achieve and sustain profitability will depend on the successful development, approval, and commercialization of product candidates and on the achievement of sufficient revenues to support its cost structure. The Company may never achieve profitability, and until then, the Company will need to continue to raise additional capital. As of June 30, 2021, the Company had cash and cash equivalents of $310.0 million. Based on current plans, the Company believes this will be sufficient to enable funding operations into 2023. Future requirements will depend on many factors and may prove to be wrong as available capital resources could be exhausted sooner than expected.</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Risks and Uncertainties Related to COVID-19</w:t>
      </w:r>
    </w:p>
    <w:p>
      <w:pPr>
        <w:spacing w:after="0" w:line="117" w:lineRule="exact"/>
        <w:rPr>
          <w:sz w:val="20"/>
          <w:szCs w:val="20"/>
          <w:color w:val="auto"/>
        </w:rPr>
      </w:pPr>
    </w:p>
    <w:p>
      <w:pPr>
        <w:ind w:left="560" w:right="60" w:firstLine="423"/>
        <w:spacing w:after="0" w:line="270" w:lineRule="auto"/>
        <w:rPr>
          <w:sz w:val="20"/>
          <w:szCs w:val="20"/>
          <w:color w:val="auto"/>
        </w:rPr>
      </w:pPr>
      <w:r>
        <w:rPr>
          <w:rFonts w:ascii="Arial" w:cs="Arial" w:eastAsia="Arial" w:hAnsi="Arial"/>
          <w:sz w:val="17"/>
          <w:szCs w:val="17"/>
          <w:color w:val="auto"/>
        </w:rPr>
        <w:t>We are subject to risks related to public health crises such as the global pandemic associated with COVID-19. In December 2019, a novel strain of coronavirus, COVID-19, was first identified. The global spread of COVID-19 resulted in the World Health Organization declaring the outbreak a “pandemic,” or a worldwide spread of a new disease, in early 2020. This virus eventually spread worldwide, and to all 50 states within the United States. In response, most countries around the world, imposed quarantines and restrictions on travel and mass gatherings to contain the spread of the virus. Employers worldwide were also required to increase the capacity and arrangement for employees to work remotely. More recently, many of the restrictions and travel bans have been eased or lifted completely as global society as a whole works to return to pre-pandemic business and personal practices. Although to date, these restrictions have not materially impacted our operations, the effect on our business, from the spread of COVID-19 and the actions implemented by the governments of the United States and across the globe, may worsen over time and we are unable to predict the potential impact on our business.</w:t>
      </w:r>
    </w:p>
    <w:p>
      <w:pPr>
        <w:spacing w:after="0" w:line="73" w:lineRule="exact"/>
        <w:rPr>
          <w:sz w:val="20"/>
          <w:szCs w:val="20"/>
          <w:color w:val="auto"/>
        </w:rPr>
      </w:pPr>
    </w:p>
    <w:p>
      <w:pPr>
        <w:ind w:left="560" w:firstLine="423"/>
        <w:spacing w:after="0" w:line="287" w:lineRule="auto"/>
        <w:rPr>
          <w:sz w:val="20"/>
          <w:szCs w:val="20"/>
          <w:color w:val="auto"/>
        </w:rPr>
      </w:pPr>
      <w:r>
        <w:rPr>
          <w:rFonts w:ascii="Arial" w:cs="Arial" w:eastAsia="Arial" w:hAnsi="Arial"/>
          <w:sz w:val="16"/>
          <w:szCs w:val="16"/>
          <w:color w:val="auto"/>
        </w:rPr>
        <w:t>Any outbreak of contagious diseases, or other adverse public health developments, could have a material and adverse effect on our business operations. These could include disruptions or restrictions on our ability to travel, pursue partnerships and other business transactions, receive shipments of biologic materials, as well as be impacted by the temporary closure of the facilities of suppliers. The spread of an infectious disease, including COVID-19, may also result in the inability of our suppliers to deliver supplies and services to us on a timely basis. In addition, health professionals may reduce staffing and reduce or postpone meetings with clients in response to the spread of an infectious disease. Though we have not yet experienced such events, if they would occur, they could result in a period of business disruption, and in reduced operations, any of which could materially affect our business, financial condition and results of operations. However, as of the date of this Form 10-Q, we have not experienced a material adverse effect on our business nor the need for reduction in our work force; and, currently, we do not expect any material impact on our long-term activity. The extent to which COVID-19 impacts our business will depend on future developments which are highly uncertain and cannot be predicted, including, but not limited to, new information which may emerge concerning the increased severity of the COVID-19 virus, the actions to contain COVID-19, or treat its impact.</w:t>
      </w:r>
    </w:p>
    <w:p>
      <w:pPr>
        <w:spacing w:after="0" w:line="316" w:lineRule="exact"/>
        <w:rPr>
          <w:sz w:val="20"/>
          <w:szCs w:val="20"/>
          <w:color w:val="auto"/>
        </w:rPr>
      </w:pPr>
    </w:p>
    <w:p>
      <w:pPr>
        <w:ind w:left="540" w:hanging="424"/>
        <w:spacing w:after="0"/>
        <w:tabs>
          <w:tab w:leader="none" w:pos="5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left="560" w:right="100" w:firstLine="423"/>
        <w:spacing w:after="0" w:line="291" w:lineRule="auto"/>
        <w:rPr>
          <w:sz w:val="20"/>
          <w:szCs w:val="20"/>
          <w:color w:val="auto"/>
        </w:rPr>
      </w:pPr>
      <w:r>
        <w:rPr>
          <w:rFonts w:ascii="Arial" w:cs="Arial" w:eastAsia="Arial" w:hAnsi="Arial"/>
          <w:sz w:val="16"/>
          <w:szCs w:val="16"/>
          <w:color w:val="auto"/>
        </w:rPr>
        <w:t>There have been no changes to the significant accounting policies as disclosed in Note 2 to the Company’s annual consolidated financial statements for the years ended December 31, 2020 and 2019 included in the Company’s final prospectus for its IPO filed pursuant to Rule 424(b)</w:t>
      </w:r>
    </w:p>
    <w:p>
      <w:pPr>
        <w:ind w:left="5540" w:right="4580" w:hanging="4984"/>
        <w:spacing w:after="0" w:line="472" w:lineRule="auto"/>
        <w:tabs>
          <w:tab w:leader="none" w:pos="817" w:val="left"/>
        </w:tabs>
        <w:numPr>
          <w:ilvl w:val="0"/>
          <w:numId w:val="6"/>
        </w:numPr>
        <w:rPr>
          <w:rFonts w:ascii="Arial" w:cs="Arial" w:eastAsia="Arial" w:hAnsi="Arial"/>
          <w:sz w:val="17"/>
          <w:szCs w:val="17"/>
          <w:color w:val="auto"/>
        </w:rPr>
      </w:pPr>
      <w:r>
        <w:rPr>
          <w:rFonts w:ascii="Arial" w:cs="Arial" w:eastAsia="Arial" w:hAnsi="Arial"/>
          <w:sz w:val="17"/>
          <w:szCs w:val="17"/>
          <w:color w:val="auto"/>
        </w:rPr>
        <w:t>under the Securities Act with the SEC on May 27, 2021, except as noted below. 10</w:t>
      </w:r>
    </w:p>
    <w:p>
      <w:pPr>
        <w:sectPr>
          <w:pgSz w:w="11900" w:h="16838" w:orient="portrait"/>
          <w:cols w:equalWidth="0" w:num="1">
            <w:col w:w="11120"/>
          </w:cols>
          <w:pgMar w:left="320" w:top="486"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560" w:right="40" w:firstLine="423"/>
        <w:spacing w:after="0" w:line="289" w:lineRule="auto"/>
        <w:rPr>
          <w:sz w:val="20"/>
          <w:szCs w:val="20"/>
          <w:color w:val="auto"/>
        </w:rPr>
      </w:pPr>
      <w:r>
        <w:rPr>
          <w:rFonts w:ascii="Arial" w:cs="Arial" w:eastAsia="Arial" w:hAnsi="Arial"/>
          <w:sz w:val="16"/>
          <w:szCs w:val="16"/>
          <w:color w:val="auto"/>
        </w:rPr>
        <w:t>The accompanying unaudited condensed consolidated financial statements have been prepared in conformity with accounting principles generally accepted in the United States of America (“U.S. GAAP”), and follow the requirements of the Securities and Exchange Commission (the “SEC”) for interim reporting. As permitted under those rules, certain notes and other financial information that are normally required by U.S. GAAP can be condensed or omitted. These unaudited condensed consolidated financial statements have been prepared on the same basis as the Company’s annual consolidated financial statements and, in the opinion of management, reflect all adjustments, consisting only of normal recurring adjustments that are necessary for a fair statement of the Company’s financial information. The condensed consolidated balance sheet as of December 31, 2020 has been derived from audited consolidated financial statements as of that date but does not include all of the financial information required by U.S. GAAP for complete financial statements. Operating results for the six months ended June 30, 2021 are not necessarily indicative of the results that may be expected for the year ending December 31, 2021.</w:t>
      </w:r>
    </w:p>
    <w:p>
      <w:pPr>
        <w:spacing w:after="0" w:line="58" w:lineRule="exact"/>
        <w:rPr>
          <w:sz w:val="20"/>
          <w:szCs w:val="20"/>
          <w:color w:val="auto"/>
        </w:rPr>
      </w:pPr>
    </w:p>
    <w:p>
      <w:pPr>
        <w:ind w:left="560" w:right="520" w:firstLine="423"/>
        <w:spacing w:after="0" w:line="308" w:lineRule="auto"/>
        <w:rPr>
          <w:sz w:val="20"/>
          <w:szCs w:val="20"/>
          <w:color w:val="auto"/>
        </w:rPr>
      </w:pPr>
      <w:r>
        <w:rPr>
          <w:rFonts w:ascii="Arial" w:cs="Arial" w:eastAsia="Arial" w:hAnsi="Arial"/>
          <w:sz w:val="17"/>
          <w:szCs w:val="17"/>
          <w:color w:val="auto"/>
        </w:rPr>
        <w:t>Any reference in these notes to applicable guidance is meant to refer to the authoritative GAAP as found in the Accounting Standards Codification (“ASC”) and Accounting Standards Updates (“ASU”) of the Financial Accounting Standards Board (“FASB”).</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560" w:right="120" w:firstLine="423"/>
        <w:spacing w:after="0" w:line="254"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reported amounts of assets, liabilities and disclosure of contingent assets and liabilities at the date of the condensed consolidated financial statements, and the reported amounts of expenses during the reporting period. Significant estimates and assumptions made in the accompanying condensed consolidated financial statements include, but are not limited to, the fair value of the redeemable convertible preferred shares, the fair value of the common shares, the fair value of the derivative tranche liability, the valuation of share-based awards, the valuation of deferred tax assets and income tax uncertainties, and accruals for research and development activities. The Company bases its estimates on historical experience and on various other assumptions that are believed to be reasonable. Actual results may differ from those estimates or assumptions.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560" w:right="20" w:firstLine="423"/>
        <w:spacing w:after="0" w:line="263" w:lineRule="auto"/>
        <w:rPr>
          <w:sz w:val="20"/>
          <w:szCs w:val="20"/>
          <w:color w:val="auto"/>
        </w:rPr>
      </w:pPr>
      <w:r>
        <w:rPr>
          <w:rFonts w:ascii="Arial" w:cs="Arial" w:eastAsia="Arial" w:hAnsi="Arial"/>
          <w:sz w:val="18"/>
          <w:szCs w:val="18"/>
          <w:color w:val="auto"/>
        </w:rPr>
        <w:t>The Company considers all highly liquid investments purchased with original maturities of three months or less from the purchase date to be cash equivalents. As of June 30, 2021, cash equivalents include investments in money market funds. As of December 31, 2020, the Company did not have any cash equivalents and cash was held in checking accounts.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Finance Issuance Costs</w:t>
      </w:r>
    </w:p>
    <w:p>
      <w:pPr>
        <w:spacing w:after="0" w:line="117" w:lineRule="exact"/>
        <w:rPr>
          <w:sz w:val="20"/>
          <w:szCs w:val="20"/>
          <w:color w:val="auto"/>
        </w:rPr>
      </w:pPr>
    </w:p>
    <w:p>
      <w:pPr>
        <w:ind w:left="560" w:right="160" w:firstLine="423"/>
        <w:spacing w:after="0" w:line="301" w:lineRule="auto"/>
        <w:rPr>
          <w:sz w:val="20"/>
          <w:szCs w:val="20"/>
          <w:color w:val="auto"/>
        </w:rPr>
      </w:pPr>
      <w:r>
        <w:rPr>
          <w:rFonts w:ascii="Arial" w:cs="Arial" w:eastAsia="Arial" w:hAnsi="Arial"/>
          <w:sz w:val="16"/>
          <w:szCs w:val="16"/>
          <w:color w:val="auto"/>
        </w:rPr>
        <w:t>Deferred finance issuance costs, consisting of legal, accounting, audit and filing fees relating to in-process equity financings, including the Company’s IPO, are capitalized. The deferred issuance costs will be offset against offering proceeds upon the completion of the financing or the offering. As of June 30, 2021, the Company did not have any deferred finance issuance costs related to the IPO. As of December 31, 2020, the Company had $36,000 in deferred issuance costs related to its Series B redeemable convertible preferred share private financing.</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Share/Stock-Based Compensation</w:t>
      </w:r>
    </w:p>
    <w:p>
      <w:pPr>
        <w:spacing w:after="0" w:line="117" w:lineRule="exact"/>
        <w:rPr>
          <w:sz w:val="20"/>
          <w:szCs w:val="20"/>
          <w:color w:val="auto"/>
        </w:rPr>
      </w:pPr>
    </w:p>
    <w:p>
      <w:pPr>
        <w:ind w:left="560" w:firstLine="423"/>
        <w:spacing w:after="0" w:line="269" w:lineRule="auto"/>
        <w:rPr>
          <w:sz w:val="20"/>
          <w:szCs w:val="20"/>
          <w:color w:val="auto"/>
        </w:rPr>
      </w:pPr>
      <w:r>
        <w:rPr>
          <w:rFonts w:ascii="Arial" w:cs="Arial" w:eastAsia="Arial" w:hAnsi="Arial"/>
          <w:sz w:val="17"/>
          <w:szCs w:val="17"/>
          <w:color w:val="auto"/>
        </w:rPr>
        <w:t xml:space="preserve">Prior to the IPO, the Company recognized share-based compensation expense based on the estimated fair value of all share-based awards, incentive shares and restricted common share shares, on the date of grant using the option-pricing model. The option-pricing model requires the input of subjective assumptions, including the fair value of the underlying common shares, the expected term of the award, the expected volatility, risk-free interest rates, and the dividend yield. In determining the fair value of common shares, the methodologies used to estimate the enterprise value were performed using methodologies, approaches, and assumptions consistent with the American Institute of Certified Public Accountants Accounting and Valuation Guide, </w:t>
      </w:r>
      <w:r>
        <w:rPr>
          <w:rFonts w:ascii="Arial" w:cs="Arial" w:eastAsia="Arial" w:hAnsi="Arial"/>
          <w:sz w:val="17"/>
          <w:szCs w:val="17"/>
          <w:i w:val="1"/>
          <w:iCs w:val="1"/>
          <w:color w:val="auto"/>
        </w:rPr>
        <w:t>Valuation of Privately-Held-Company Equity Securities Issued as Compensation</w:t>
      </w:r>
      <w:r>
        <w:rPr>
          <w:rFonts w:ascii="Arial" w:cs="Arial" w:eastAsia="Arial" w:hAnsi="Arial"/>
          <w:sz w:val="17"/>
          <w:szCs w:val="17"/>
          <w:color w:val="auto"/>
        </w:rPr>
        <w:t>. The participation threshold amounts are determined by the board of directors (the “Board”), at the time of grant. The expected life of the awards granted during the period was determined based on an expected time to the liquidation event. The Company applied the risk-free interest rate based on the U.S. Treasury yield in effect at the time of the grant consistent with the life of the award. The expected volatility is based on a peer group in the industry in which the Company does business consistent with the expected time to liquidity. The dividend yield was set at zero as the underlying security does not and is not expected to pay a dividend.</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86"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80" w:firstLine="423"/>
        <w:spacing w:after="0" w:line="263" w:lineRule="auto"/>
        <w:rPr>
          <w:sz w:val="20"/>
          <w:szCs w:val="20"/>
          <w:color w:val="auto"/>
        </w:rPr>
      </w:pPr>
      <w:r>
        <w:rPr>
          <w:rFonts w:ascii="Arial" w:cs="Arial" w:eastAsia="Arial" w:hAnsi="Arial"/>
          <w:sz w:val="18"/>
          <w:szCs w:val="18"/>
          <w:color w:val="auto"/>
        </w:rPr>
        <w:t>Subsequent to closing of the IPO, the Company uses the Black-Scholes valuation model to estimate the fair value of options granted to employees and non-employees, intrinsic value to estimate the fair value of restricted stock award, and fair value of the Company’s common stock at the grant date for restricted stock units.</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Black-Scholes option-pricing model, used to estimate fair value of stock options awards, requires the use of the following assumptions:</w:t>
      </w:r>
    </w:p>
    <w:p>
      <w:pPr>
        <w:spacing w:after="0" w:line="154"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—The Company’s closing price on the Nasdaq market at the grant date.</w:t>
      </w:r>
    </w:p>
    <w:p>
      <w:pPr>
        <w:spacing w:after="0" w:line="130" w:lineRule="exact"/>
        <w:rPr>
          <w:rFonts w:ascii="Arial" w:cs="Arial" w:eastAsia="Arial" w:hAnsi="Arial"/>
          <w:sz w:val="18"/>
          <w:szCs w:val="18"/>
          <w:color w:val="auto"/>
        </w:rPr>
      </w:pPr>
    </w:p>
    <w:p>
      <w:pPr>
        <w:ind w:left="1080" w:right="20" w:hanging="532"/>
        <w:spacing w:after="0" w:line="34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—The expected term represents the period that the stock-based awards are expected to be outstanding. The expected term</w:t>
      </w:r>
      <w:r>
        <w:rPr>
          <w:rFonts w:ascii="Arial" w:cs="Arial" w:eastAsia="Arial" w:hAnsi="Arial"/>
          <w:sz w:val="16"/>
          <w:szCs w:val="16"/>
          <w:i w:val="1"/>
          <w:iCs w:val="1"/>
          <w:color w:val="auto"/>
        </w:rPr>
        <w:t xml:space="preserve"> </w:t>
      </w:r>
      <w:r>
        <w:rPr>
          <w:rFonts w:ascii="Arial" w:cs="Arial" w:eastAsia="Arial" w:hAnsi="Arial"/>
          <w:sz w:val="16"/>
          <w:szCs w:val="16"/>
          <w:color w:val="auto"/>
        </w:rPr>
        <w:t>for stock options is calculated using simplified method, as the weighted-average vesting term of the award and the award’s contract period.</w:t>
      </w:r>
    </w:p>
    <w:p>
      <w:pPr>
        <w:spacing w:after="0" w:line="29" w:lineRule="exact"/>
        <w:rPr>
          <w:rFonts w:ascii="Arial" w:cs="Arial" w:eastAsia="Arial" w:hAnsi="Arial"/>
          <w:sz w:val="16"/>
          <w:szCs w:val="16"/>
          <w:color w:val="auto"/>
        </w:rPr>
      </w:pPr>
    </w:p>
    <w:p>
      <w:pPr>
        <w:ind w:left="1080" w:hanging="532"/>
        <w:spacing w:after="0" w:line="25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—Since the Company does not have sufficient trading history for its common stock, the expected volatility is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average historical volatilities of common stock of comparable publicly traded entities over a period equal to the expected term of the stock option grants. The comparable companies are chosen based on their size, stage in the life cycle or area of specialty. The Company will continue to apply this process until sufficient historical information regarding the volatility of the common stock price becomes available.</w:t>
      </w:r>
    </w:p>
    <w:p>
      <w:pPr>
        <w:spacing w:after="0" w:line="93" w:lineRule="exact"/>
        <w:rPr>
          <w:rFonts w:ascii="Arial" w:cs="Arial" w:eastAsia="Arial" w:hAnsi="Arial"/>
          <w:sz w:val="18"/>
          <w:szCs w:val="18"/>
          <w:color w:val="auto"/>
        </w:rPr>
      </w:pPr>
    </w:p>
    <w:p>
      <w:pPr>
        <w:ind w:left="1080" w:right="1780" w:hanging="532"/>
        <w:spacing w:after="0" w:line="34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Risk-Free Interest Rate</w:t>
      </w:r>
      <w:r>
        <w:rPr>
          <w:rFonts w:ascii="Arial" w:cs="Arial" w:eastAsia="Arial" w:hAnsi="Arial"/>
          <w:sz w:val="16"/>
          <w:szCs w:val="16"/>
          <w:color w:val="auto"/>
        </w:rPr>
        <w:t>—The risk-free interest rate is based on the U.S. Treasury yield in effect at the time of</w:t>
      </w:r>
      <w:r>
        <w:rPr>
          <w:rFonts w:ascii="Arial" w:cs="Arial" w:eastAsia="Arial" w:hAnsi="Arial"/>
          <w:sz w:val="16"/>
          <w:szCs w:val="16"/>
          <w:i w:val="1"/>
          <w:iCs w:val="1"/>
          <w:color w:val="auto"/>
        </w:rPr>
        <w:t xml:space="preserve"> </w:t>
      </w:r>
      <w:r>
        <w:rPr>
          <w:rFonts w:ascii="Arial" w:cs="Arial" w:eastAsia="Arial" w:hAnsi="Arial"/>
          <w:sz w:val="16"/>
          <w:szCs w:val="16"/>
          <w:color w:val="auto"/>
        </w:rPr>
        <w:t>grant for zero-coupon U.S. Treasury notes with maturities approximately equal to the expected term of the awards.</w:t>
      </w:r>
    </w:p>
    <w:p>
      <w:pPr>
        <w:spacing w:after="0" w:line="29" w:lineRule="exact"/>
        <w:rPr>
          <w:rFonts w:ascii="Arial" w:cs="Arial" w:eastAsia="Arial" w:hAnsi="Arial"/>
          <w:sz w:val="16"/>
          <w:szCs w:val="16"/>
          <w:color w:val="auto"/>
        </w:rPr>
      </w:pPr>
    </w:p>
    <w:p>
      <w:pPr>
        <w:ind w:left="1080" w:right="60" w:hanging="53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—The Company has never paid dividends on the common stock and has no plans to pay dividends on its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Therefore, the expected dividend yield use is zero.</w:t>
      </w:r>
    </w:p>
    <w:p>
      <w:pPr>
        <w:spacing w:after="0" w:line="62" w:lineRule="exact"/>
        <w:rPr>
          <w:sz w:val="20"/>
          <w:szCs w:val="20"/>
          <w:color w:val="auto"/>
        </w:rPr>
      </w:pPr>
    </w:p>
    <w:p>
      <w:pPr>
        <w:ind w:left="560" w:right="140" w:firstLine="423"/>
        <w:spacing w:after="0" w:line="296" w:lineRule="auto"/>
        <w:rPr>
          <w:sz w:val="20"/>
          <w:szCs w:val="20"/>
          <w:color w:val="auto"/>
        </w:rPr>
      </w:pPr>
      <w:r>
        <w:rPr>
          <w:rFonts w:ascii="Arial" w:cs="Arial" w:eastAsia="Arial" w:hAnsi="Arial"/>
          <w:sz w:val="16"/>
          <w:szCs w:val="16"/>
          <w:color w:val="auto"/>
        </w:rPr>
        <w:t>The Company uses the straight-line attribution method for recognizing share/stock-based compensation expense. The Company recognizes forfeitures by reducing the expense in the same period the forfeitures occur. The Company recognizes share/stock-based compensation expense for awards with performance conditions when it is probable that the condition will be met, and the award will vest. The Company classifies share/stock-based compensation expense in the Consolidated Statement of Operations and Comprehensive Loss in the same manner in which the award recipients’ payroll costs are classified or in which the award recipients’ service payments are classified.</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560" w:right="140" w:firstLine="423"/>
        <w:spacing w:after="0" w:line="273"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(Topic 326). </w:t>
      </w:r>
      <w:r>
        <w:rPr>
          <w:rFonts w:ascii="Arial" w:cs="Arial" w:eastAsia="Arial" w:hAnsi="Arial"/>
          <w:sz w:val="17"/>
          <w:szCs w:val="17"/>
          <w:color w:val="auto"/>
        </w:rPr>
        <w:t>ASU 2016-13 requires measurement and recognition of expected credit losses for financial assets. In April 2019, the</w:t>
      </w:r>
      <w:r>
        <w:rPr>
          <w:rFonts w:ascii="Arial" w:cs="Arial" w:eastAsia="Arial" w:hAnsi="Arial"/>
          <w:sz w:val="17"/>
          <w:szCs w:val="17"/>
          <w:i w:val="1"/>
          <w:iCs w:val="1"/>
          <w:color w:val="auto"/>
        </w:rPr>
        <w:t xml:space="preserve"> </w:t>
      </w:r>
      <w:r>
        <w:rPr>
          <w:rFonts w:ascii="Arial" w:cs="Arial" w:eastAsia="Arial" w:hAnsi="Arial"/>
          <w:sz w:val="17"/>
          <w:szCs w:val="17"/>
          <w:color w:val="auto"/>
        </w:rPr>
        <w:t>FASB issued clarification to ASU 2016-13 within ASU 2019-04, Codification Improvements to Topic 326, Financial Instruments-Credit Losses, Topic 815, Derivatives and Hedging, and Topic 825, Financial Instruments. The guidance will become effective for the Company for fiscal years beginning after December 15, 2022, with early adoption permitted. Effective January 1, 2021, the Company adopted ASU 2016-13 and the adoption did not have any impact on the Company’s condensed consolidated financial statements.</w:t>
      </w:r>
    </w:p>
    <w:p>
      <w:pPr>
        <w:spacing w:after="0" w:line="70" w:lineRule="exact"/>
        <w:rPr>
          <w:sz w:val="20"/>
          <w:szCs w:val="20"/>
          <w:color w:val="auto"/>
        </w:rPr>
      </w:pPr>
    </w:p>
    <w:p>
      <w:pPr>
        <w:ind w:left="560" w:firstLine="423"/>
        <w:spacing w:after="0" w:line="255"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(“ASU 2019-12”), which simplifies the accounting for income taxes, eliminates certain exceptions within ASC 740, Income Taxes, and clarifies certain aspects of the current guidance to promote consistency among reporting entities. ASU 2019-12 is effective for fiscal years beginning after December 15, 2021. Most amendments within the standard are required to be applied on a prospective basis, while certain amendments must be applied on a retrospective or modified retrospective basis. The Company is currently evaluating the impact that ASU 2019-12 will have on the condensed consolidated financial statements and related disclosures.</w:t>
      </w:r>
    </w:p>
    <w:p>
      <w:pPr>
        <w:spacing w:after="0" w:line="84" w:lineRule="exact"/>
        <w:rPr>
          <w:sz w:val="20"/>
          <w:szCs w:val="20"/>
          <w:color w:val="auto"/>
        </w:rPr>
      </w:pPr>
    </w:p>
    <w:p>
      <w:pPr>
        <w:ind w:left="560" w:firstLine="423"/>
        <w:spacing w:after="0" w:line="287" w:lineRule="auto"/>
        <w:rPr>
          <w:sz w:val="20"/>
          <w:szCs w:val="20"/>
          <w:color w:val="auto"/>
        </w:rPr>
      </w:pPr>
      <w:r>
        <w:rPr>
          <w:rFonts w:ascii="Arial" w:cs="Arial" w:eastAsia="Arial" w:hAnsi="Arial"/>
          <w:sz w:val="16"/>
          <w:szCs w:val="16"/>
          <w:color w:val="auto"/>
        </w:rPr>
        <w:t xml:space="preserve">In August 2020, the FASB issued ASU No. 2020-06 (“ASU 2020-06”) </w:t>
      </w:r>
      <w:r>
        <w:rPr>
          <w:rFonts w:ascii="Arial" w:cs="Arial" w:eastAsia="Arial" w:hAnsi="Arial"/>
          <w:sz w:val="16"/>
          <w:szCs w:val="16"/>
          <w:i w:val="1"/>
          <w:iCs w:val="1"/>
          <w:color w:val="auto"/>
        </w:rPr>
        <w:t>Debt—Debt with Conversion and Other Options (Subtopic 470-20)</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Derivatives and Hedging—Contracts in Entity’s Own Equity (Subtopic 815-40): Accounting for Convertible Instruments and Contracts in an Entity’s Own Equity. </w:t>
      </w:r>
      <w:r>
        <w:rPr>
          <w:rFonts w:ascii="Arial" w:cs="Arial" w:eastAsia="Arial" w:hAnsi="Arial"/>
          <w:sz w:val="16"/>
          <w:szCs w:val="16"/>
          <w:color w:val="auto"/>
        </w:rPr>
        <w:t>ASU 2020-06 will simplify the accounting for convertible instruments by reducing the number of accounting models for</w:t>
      </w:r>
      <w:r>
        <w:rPr>
          <w:rFonts w:ascii="Arial" w:cs="Arial" w:eastAsia="Arial" w:hAnsi="Arial"/>
          <w:sz w:val="16"/>
          <w:szCs w:val="16"/>
          <w:i w:val="1"/>
          <w:iCs w:val="1"/>
          <w:color w:val="auto"/>
        </w:rPr>
        <w:t xml:space="preserve"> </w:t>
      </w:r>
      <w:r>
        <w:rPr>
          <w:rFonts w:ascii="Arial" w:cs="Arial" w:eastAsia="Arial" w:hAnsi="Arial"/>
          <w:sz w:val="16"/>
          <w:szCs w:val="16"/>
          <w:color w:val="auto"/>
        </w:rPr>
        <w:t>convertible debt instruments and convertible preferred shares. Limiting the accounting models will result in fewer embedded conversion features being separately recognized from the host contract as compared with current GAAP. Convertible instruments that continue to be subject to separation models are (1) those with embedded conversion features that are not clearly and closely related to the host contract, that meet the definition of a derivative, and that do not qualify for a scope exception from derivative accounting and (2) convertible debt instruments issued with substantial premiums for which the premiums are recorded as paid-in capital. ASU 2020-06 also amends the guidance for the derivatives scope exception for contracts in an entity’s own equity to reduce form-over-substance-based accounting conclusions. The guidance will become effective for the Company for fiscal years beginning after December 15, 2023. Early adoption is permitted. The Company adoption is not expected to have a significant impact on the Company’s condensed consolidated financial statements and related disclosures.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86"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ind w:left="540" w:hanging="424"/>
        <w:spacing w:after="0"/>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94" w:lineRule="exact"/>
        <w:rPr>
          <w:sz w:val="20"/>
          <w:szCs w:val="20"/>
          <w:color w:val="auto"/>
        </w:rPr>
      </w:pPr>
    </w:p>
    <w:p>
      <w:pPr>
        <w:ind w:left="560" w:firstLine="423"/>
        <w:spacing w:after="0" w:line="263" w:lineRule="auto"/>
        <w:rPr>
          <w:sz w:val="20"/>
          <w:szCs w:val="20"/>
          <w:color w:val="auto"/>
        </w:rPr>
      </w:pPr>
      <w:r>
        <w:rPr>
          <w:rFonts w:ascii="Arial" w:cs="Arial" w:eastAsia="Arial" w:hAnsi="Arial"/>
          <w:sz w:val="18"/>
          <w:szCs w:val="18"/>
          <w:color w:val="auto"/>
        </w:rPr>
        <w:t>The financial instruments of the Company measured at fair value on a recurring basis are included in cash and cash equivalents. U.S. government money market funds were valued by the Company based on quoted market prices, which represent a Level 1 measurement within the fair value hierarchy.</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Financial Assets and Liabilities Measured on a Recurring Basis</w:t>
      </w:r>
    </w:p>
    <w:p>
      <w:pPr>
        <w:spacing w:after="0" w:line="117" w:lineRule="exact"/>
        <w:rPr>
          <w:sz w:val="20"/>
          <w:szCs w:val="20"/>
          <w:color w:val="auto"/>
        </w:rPr>
      </w:pPr>
    </w:p>
    <w:p>
      <w:pPr>
        <w:jc w:val="both"/>
        <w:ind w:left="560" w:right="40" w:firstLine="423"/>
        <w:spacing w:after="0" w:line="263" w:lineRule="auto"/>
        <w:rPr>
          <w:sz w:val="20"/>
          <w:szCs w:val="20"/>
          <w:color w:val="auto"/>
        </w:rPr>
      </w:pPr>
      <w:r>
        <w:rPr>
          <w:rFonts w:ascii="Arial" w:cs="Arial" w:eastAsia="Arial" w:hAnsi="Arial"/>
          <w:sz w:val="18"/>
          <w:szCs w:val="18"/>
          <w:color w:val="auto"/>
        </w:rPr>
        <w:t>The following table sets forth the Company’s financial instruments as of June 30, 2021 and December 31, 2020, which are measured at fair value on a recurring basis by level within the fair value hierarchy. These are classified based on the lowest level of input that is significant to the fair value measurement (in thousands):</w:t>
      </w:r>
    </w:p>
    <w:p>
      <w:pPr>
        <w:spacing w:after="0" w:line="216" w:lineRule="exact"/>
        <w:rPr>
          <w:sz w:val="20"/>
          <w:szCs w:val="20"/>
          <w:color w:val="auto"/>
        </w:rPr>
      </w:pPr>
    </w:p>
    <w:tbl>
      <w:tblPr>
        <w:tblLayout w:type="fixed"/>
        <w:tblInd w:w="560" w:type="dxa"/>
        <w:tblCellMar>
          <w:top w:w="0" w:type="dxa"/>
          <w:left w:w="0" w:type="dxa"/>
          <w:bottom w:w="0" w:type="dxa"/>
          <w:right w:w="0" w:type="dxa"/>
        </w:tblCellMar>
      </w:tblPr>
      <w:tr>
        <w:trPr>
          <w:trHeight w:val="162"/>
        </w:trPr>
        <w:tc>
          <w:tcPr>
            <w:tcW w:w="6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4"/>
          </w:tcPr>
          <w:p>
            <w:pPr>
              <w:ind w:left="200"/>
              <w:spacing w:after="0"/>
              <w:rPr>
                <w:sz w:val="20"/>
                <w:szCs w:val="20"/>
                <w:color w:val="auto"/>
              </w:rPr>
            </w:pPr>
            <w:r>
              <w:rPr>
                <w:rFonts w:ascii="Arial" w:cs="Arial" w:eastAsia="Arial" w:hAnsi="Arial"/>
                <w:sz w:val="14"/>
                <w:szCs w:val="14"/>
                <w:b w:val="1"/>
                <w:bCs w:val="1"/>
                <w:color w:val="auto"/>
              </w:rPr>
              <w:t>June 30, 2021</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68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Level 1</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Level 2</w:t>
            </w: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r>
      <w:tr>
        <w:trPr>
          <w:trHeight w:val="209"/>
        </w:trPr>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funds, included in cash and cash equivalents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$136,876</w:t>
            </w:r>
          </w:p>
        </w:tc>
        <w:tc>
          <w:tcPr>
            <w:tcW w:w="3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$136,876</w:t>
            </w:r>
          </w:p>
        </w:tc>
        <w:tc>
          <w:tcPr>
            <w:tcW w:w="3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3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4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As of December 31, 2020, the Company did not have any money market funds.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There were no transfers between Level 1, Level 2 or Level 3 categories in the six months ended June 30, 2021 or 2020.</w:t>
      </w:r>
    </w:p>
    <w:p>
      <w:pPr>
        <w:spacing w:after="0" w:line="370" w:lineRule="exact"/>
        <w:rPr>
          <w:sz w:val="20"/>
          <w:szCs w:val="20"/>
          <w:color w:val="auto"/>
        </w:rPr>
      </w:pPr>
    </w:p>
    <w:p>
      <w:pPr>
        <w:ind w:left="540" w:hanging="424"/>
        <w:spacing w:after="0"/>
        <w:tabs>
          <w:tab w:leader="none" w:pos="5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Prepaid and other current assets consisted of the following (in thousands):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4"/>
          </w:tcPr>
          <w:p>
            <w:pPr>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4"/>
                <w:szCs w:val="14"/>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34"/>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$4,578</w:t>
            </w:r>
          </w:p>
        </w:tc>
        <w:tc>
          <w:tcPr>
            <w:tcW w:w="4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Prepaid research and development expenses</w:t>
            </w:r>
          </w:p>
        </w:tc>
        <w:tc>
          <w:tcPr>
            <w:tcW w:w="120" w:type="dxa"/>
            <w:vAlign w:val="bottom"/>
          </w:tcPr>
          <w:p>
            <w:pPr>
              <w:spacing w:after="0"/>
              <w:rPr>
                <w:sz w:val="18"/>
                <w:szCs w:val="18"/>
                <w:color w:val="auto"/>
              </w:rPr>
            </w:pPr>
          </w:p>
        </w:tc>
        <w:tc>
          <w:tcPr>
            <w:tcW w:w="1020" w:type="dxa"/>
            <w:vAlign w:val="bottom"/>
            <w:gridSpan w:val="5"/>
          </w:tcPr>
          <w:p>
            <w:pPr>
              <w:jc w:val="right"/>
              <w:ind w:right="460"/>
              <w:spacing w:after="0"/>
              <w:rPr>
                <w:sz w:val="20"/>
                <w:szCs w:val="20"/>
                <w:color w:val="auto"/>
              </w:rPr>
            </w:pPr>
            <w:r>
              <w:rPr>
                <w:rFonts w:ascii="Arial" w:cs="Arial" w:eastAsia="Arial" w:hAnsi="Arial"/>
                <w:sz w:val="18"/>
                <w:szCs w:val="18"/>
                <w:color w:val="auto"/>
              </w:rPr>
              <w:t>1,277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Other prepaid expenses and other assets</w:t>
            </w:r>
          </w:p>
        </w:tc>
        <w:tc>
          <w:tcPr>
            <w:tcW w:w="12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460"/>
              <w:spacing w:after="0"/>
              <w:rPr>
                <w:sz w:val="20"/>
                <w:szCs w:val="20"/>
                <w:color w:val="auto"/>
              </w:rPr>
            </w:pPr>
            <w:r>
              <w:rPr>
                <w:rFonts w:ascii="Arial" w:cs="Arial" w:eastAsia="Arial" w:hAnsi="Arial"/>
                <w:sz w:val="18"/>
                <w:szCs w:val="18"/>
                <w:color w:val="auto"/>
              </w:rPr>
              <w:t>174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Total prepaid expenses and other current assets</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6,029</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5.</w:t>
            </w:r>
          </w:p>
        </w:tc>
        <w:tc>
          <w:tcPr>
            <w:tcW w:w="732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PROPERTY AND EQUIPMENT, NET</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280" w:type="dxa"/>
            <w:vAlign w:val="bottom"/>
            <w:vMerge w:val="continue"/>
          </w:tcPr>
          <w:p>
            <w:pPr>
              <w:spacing w:after="0"/>
              <w:rPr>
                <w:sz w:val="24"/>
                <w:szCs w:val="24"/>
                <w:color w:val="auto"/>
              </w:rPr>
            </w:pPr>
          </w:p>
        </w:tc>
        <w:tc>
          <w:tcPr>
            <w:tcW w:w="73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7320" w:type="dxa"/>
            <w:vAlign w:val="bottom"/>
            <w:gridSpan w:val="2"/>
          </w:tcPr>
          <w:p>
            <w:pPr>
              <w:ind w:left="70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1140" w:type="dxa"/>
            <w:vAlign w:val="bottom"/>
            <w:gridSpan w:val="6"/>
          </w:tcPr>
          <w:p>
            <w:pPr>
              <w:ind w:left="2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5"/>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67</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Depreciation and amortization expense was immaterial for the three and six months ended June 30, 2021 and 2020.</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40"/>
          </w:cols>
          <w:pgMar w:left="320" w:top="486" w:right="5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June 30,</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440" w:type="dxa"/>
            <w:vAlign w:val="bottom"/>
          </w:tcPr>
          <w:p>
            <w:pPr>
              <w:spacing w:after="0"/>
              <w:rPr>
                <w:sz w:val="14"/>
                <w:szCs w:val="14"/>
                <w:color w:val="auto"/>
              </w:rPr>
            </w:pPr>
          </w:p>
        </w:tc>
        <w:tc>
          <w:tcPr>
            <w:tcW w:w="520" w:type="dxa"/>
            <w:vAlign w:val="bottom"/>
            <w:gridSpan w:val="2"/>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4"/>
                <w:szCs w:val="14"/>
                <w:color w:val="auto"/>
              </w:rPr>
            </w:pPr>
          </w:p>
        </w:tc>
      </w:tr>
      <w:tr>
        <w:trPr>
          <w:trHeight w:val="210"/>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research and development expenses</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$1,642</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Accrued professional service expenses</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913</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298</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related expenses</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849</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717</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Accrued issuance costs</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615</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$ 4,113</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1,596</w:t>
            </w:r>
          </w:p>
        </w:tc>
        <w:tc>
          <w:tcPr>
            <w:tcW w:w="4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AGREEMENTS</w:t>
      </w:r>
    </w:p>
    <w:p>
      <w:pPr>
        <w:spacing w:after="0" w:line="12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License agreement with Merck KGaA, Darmstadt, Germany</w:t>
      </w:r>
    </w:p>
    <w:p>
      <w:pPr>
        <w:spacing w:after="0" w:line="117" w:lineRule="exact"/>
        <w:rPr>
          <w:sz w:val="20"/>
          <w:szCs w:val="20"/>
          <w:color w:val="auto"/>
        </w:rPr>
      </w:pPr>
    </w:p>
    <w:p>
      <w:pPr>
        <w:ind w:left="560" w:right="160" w:firstLine="423"/>
        <w:spacing w:after="0" w:line="271" w:lineRule="auto"/>
        <w:rPr>
          <w:sz w:val="20"/>
          <w:szCs w:val="20"/>
          <w:color w:val="auto"/>
        </w:rPr>
      </w:pPr>
      <w:r>
        <w:rPr>
          <w:rFonts w:ascii="Arial" w:cs="Arial" w:eastAsia="Arial" w:hAnsi="Arial"/>
          <w:sz w:val="17"/>
          <w:szCs w:val="17"/>
          <w:color w:val="auto"/>
        </w:rPr>
        <w:t>On February 10, 2021, DOT-2, the Company’s subsidiary, entered into a license agreement (the MRKDG License Agreement), with Merck KGaA, Darmstadt, Germany, a pharmaceutical corporation located in Darmstadt, Germany. Under the MRKDG License Agreement, Merck KGaA, Darmstadt, Germany granted to the Company an exclusive worldwide license, with the right to grant sublicenses through multiple tiers, under specified patent rights and know-how for the Company to research, develop, manufacture, and commercialize products containing and comprising the pimasertib and MSC2015103B compounds. The Company also received clinical inventories supplies to use in its research and development activities. The Company’s exclusive license grant is subject to a non-exclusive license granted by Merck KGaA, Darmstadt Germany’s affiliate to a cancer research organization and Merck KGaA, Darmstadt, Germany retains the right to conduct, directly or indirectly, certain ongoing clinical studies relating to pimasertib.</w:t>
      </w:r>
    </w:p>
    <w:p>
      <w:pPr>
        <w:spacing w:after="0" w:line="70" w:lineRule="exact"/>
        <w:rPr>
          <w:sz w:val="20"/>
          <w:szCs w:val="20"/>
          <w:color w:val="auto"/>
        </w:rPr>
      </w:pPr>
    </w:p>
    <w:p>
      <w:pPr>
        <w:ind w:left="560" w:right="60" w:firstLine="423"/>
        <w:spacing w:after="0" w:line="277" w:lineRule="auto"/>
        <w:rPr>
          <w:sz w:val="20"/>
          <w:szCs w:val="20"/>
          <w:color w:val="auto"/>
        </w:rPr>
      </w:pPr>
      <w:r>
        <w:rPr>
          <w:rFonts w:ascii="Arial" w:cs="Arial" w:eastAsia="Arial" w:hAnsi="Arial"/>
          <w:sz w:val="18"/>
          <w:szCs w:val="18"/>
          <w:color w:val="auto"/>
        </w:rPr>
        <w:t>Under the MRKDG License Agreement, the Company has obligations to use commercially reasonable efforts to develop and commercialize at least two licensed products in at least two specified major market countries by the year 2029.</w:t>
      </w:r>
    </w:p>
    <w:p>
      <w:pPr>
        <w:spacing w:after="0" w:line="62" w:lineRule="exact"/>
        <w:rPr>
          <w:sz w:val="20"/>
          <w:szCs w:val="20"/>
          <w:color w:val="auto"/>
        </w:rPr>
      </w:pPr>
    </w:p>
    <w:p>
      <w:pPr>
        <w:ind w:left="560" w:firstLine="423"/>
        <w:spacing w:after="0" w:line="273" w:lineRule="auto"/>
        <w:rPr>
          <w:sz w:val="20"/>
          <w:szCs w:val="20"/>
          <w:color w:val="auto"/>
        </w:rPr>
      </w:pPr>
      <w:r>
        <w:rPr>
          <w:rFonts w:ascii="Arial" w:cs="Arial" w:eastAsia="Arial" w:hAnsi="Arial"/>
          <w:sz w:val="17"/>
          <w:szCs w:val="17"/>
          <w:color w:val="auto"/>
        </w:rPr>
        <w:t>In consideration for the rights granted under the MRKDG License Agreement and clinical supplies, the Company made an upfront payment of $8.0 million, which was recorded as research and development expenses, as the technology does not have an alternative future use and supplies are used for research activities. The Company may also be required to make additional payments of up to $367.0 million based upon the achievement of specified development, regulatory, and commercial milestones, as well a high, single-digit royalty percentage on future net sales of licensed products, if any. Milestones and royalties are contingent upon future events and will be recorded when the milestones are achieved and when payments are due. No milestones were achieved and due as of June 30, 2021.</w:t>
      </w:r>
    </w:p>
    <w:p>
      <w:pPr>
        <w:spacing w:after="0" w:line="70" w:lineRule="exact"/>
        <w:rPr>
          <w:sz w:val="20"/>
          <w:szCs w:val="20"/>
          <w:color w:val="auto"/>
        </w:rPr>
      </w:pPr>
    </w:p>
    <w:p>
      <w:pPr>
        <w:ind w:left="560" w:right="40" w:firstLine="423"/>
        <w:spacing w:after="0" w:line="259" w:lineRule="auto"/>
        <w:rPr>
          <w:sz w:val="20"/>
          <w:szCs w:val="20"/>
          <w:color w:val="auto"/>
        </w:rPr>
      </w:pPr>
      <w:r>
        <w:rPr>
          <w:rFonts w:ascii="Arial" w:cs="Arial" w:eastAsia="Arial" w:hAnsi="Arial"/>
          <w:sz w:val="18"/>
          <w:szCs w:val="18"/>
          <w:color w:val="auto"/>
        </w:rPr>
        <w:t>The term of the MRKDG License Agreement will expire on a licensed product-by-licensed product and country-by-country basis upon the expiration of the Company’s obligation to pay royalties to the licensor with respect to such licensed product in such country and will expire in its entirety upon the expiration of all of the Company’s payment obligations with respect to all licensed products and all countries under the MRKDG License Agreement.</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Takeda Assets Purchase Agreement</w:t>
      </w:r>
    </w:p>
    <w:p>
      <w:pPr>
        <w:spacing w:after="0" w:line="117" w:lineRule="exact"/>
        <w:rPr>
          <w:sz w:val="20"/>
          <w:szCs w:val="20"/>
          <w:color w:val="auto"/>
        </w:rPr>
      </w:pPr>
    </w:p>
    <w:p>
      <w:pPr>
        <w:ind w:left="560" w:right="40" w:firstLine="423"/>
        <w:spacing w:after="0" w:line="269" w:lineRule="auto"/>
        <w:rPr>
          <w:sz w:val="20"/>
          <w:szCs w:val="20"/>
          <w:color w:val="auto"/>
        </w:rPr>
      </w:pPr>
      <w:r>
        <w:rPr>
          <w:rFonts w:ascii="Arial" w:cs="Arial" w:eastAsia="Arial" w:hAnsi="Arial"/>
          <w:sz w:val="17"/>
          <w:szCs w:val="17"/>
          <w:color w:val="auto"/>
        </w:rPr>
        <w:t>On December 16, 2019, DOT-1 entered into an asset purchase agreement (the “Takeda Asset Agreement”), with Millennium Pharmaceuticals, Inc., an affiliate of Takeda Pharmaceutical Company Limited (“Takeda”). Pursuant to the Takeda Asset Agreement, DOT-1 purchased certain technology rights and know-how related to TAK-580 (which is now DAY101) that provides a new approach for treating patients with primary brain tumors or brain metastases of solid tumors. DOT-1 also received clinical inventories supplies to use in the Company’s research and development activities of such RAF-inhibitor and an assigned investigator clinical trial agreement. Takeda also assigned to DOT-1 its exclusive license agreement, or the Viracta License Agreement, with Sunesis Pharmaceuticals, Inc. (now Viracta Therapeutics, Inc. or Viracta). Takeda also granted DOT-1 a worldwide, sublicensable exclusive license under specified patents and know-how and non-exclusive license under other patents and know-how generated by Takeda under the Takeda Asset Agreement. The Company also granted Takeda a grant back license, as defined in the agreement, which is terminable either automatically or by DOT-1 in the event Takeda does not achieve specified development milestones within the applicable timeframes set forth under the Takeda Asset Agreement. This grant back license to Takeda was terminated at the time of Conversion in connection with the Millennium Stock Exchange Agreement.</w:t>
      </w:r>
    </w:p>
    <w:p>
      <w:pPr>
        <w:spacing w:after="0" w:line="74" w:lineRule="exact"/>
        <w:rPr>
          <w:sz w:val="20"/>
          <w:szCs w:val="20"/>
          <w:color w:val="auto"/>
        </w:rPr>
      </w:pPr>
    </w:p>
    <w:p>
      <w:pPr>
        <w:ind w:left="560" w:right="60" w:firstLine="423"/>
        <w:spacing w:after="0" w:line="254" w:lineRule="auto"/>
        <w:rPr>
          <w:sz w:val="20"/>
          <w:szCs w:val="20"/>
          <w:color w:val="auto"/>
        </w:rPr>
      </w:pPr>
      <w:r>
        <w:rPr>
          <w:rFonts w:ascii="Arial" w:cs="Arial" w:eastAsia="Arial" w:hAnsi="Arial"/>
          <w:sz w:val="18"/>
          <w:szCs w:val="18"/>
          <w:color w:val="auto"/>
        </w:rPr>
        <w:t>In consideration for the sale and assignment of assets and the grant of the license under the Takeda Asset Agreement, DOT-1 made an upfront payment of $1.0 million in cash and issued 9,857,143 shares of Series A redeemable convertible preferred stock in DOT-1. The fair value of issued shares was estimated as $9.9 million, based on the price paid by other investors for issued shares in the Series A financing of DOT-1 Therapeutics, Inc. Pursuant to the terms of the Millennium Stock Exchange Agreement, Takeda agreed to exchange the 9,857,143 shares of Series A redeemable convertible preferred stock of DOT-1, Inc. for 6,470,382 shares of the Company’s common stock pursuant to and contingent upon the effectiveness of the Conversion (refer to Note 1). The Company recorded a total of $10.9 million consideration for license and clinical supplies as research and development expenses.</w:t>
      </w:r>
    </w:p>
    <w:p>
      <w:pPr>
        <w:sectPr>
          <w:pgSz w:w="11900" w:h="16838" w:orient="portrait"/>
          <w:cols w:equalWidth="0" w:num="1">
            <w:col w:w="11140"/>
          </w:cols>
          <w:pgMar w:left="320" w:top="486" w:right="439" w:bottom="1440" w:gutter="0" w:footer="0" w:header="0"/>
        </w:sectPr>
      </w:pP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140"/>
          </w:cols>
          <w:pgMar w:left="320" w:top="486" w:right="4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firstLine="423"/>
        <w:spacing w:after="0" w:line="272" w:lineRule="auto"/>
        <w:rPr>
          <w:sz w:val="20"/>
          <w:szCs w:val="20"/>
          <w:color w:val="auto"/>
        </w:rPr>
      </w:pPr>
      <w:r>
        <w:rPr>
          <w:rFonts w:ascii="Arial" w:cs="Arial" w:eastAsia="Arial" w:hAnsi="Arial"/>
          <w:sz w:val="17"/>
          <w:szCs w:val="17"/>
          <w:color w:val="auto"/>
        </w:rPr>
        <w:t>The term of the Takeda Asset Agreement will expire on a country-by-country basis upon expiration of all assigned patent rights and all licensed patent rights in such country. Takeda may terminate the Takeda Asset Agreement prior to our first commercial sale of a product if we cease conducting any development activities for a continuous and specified period of time and such cessation is not agreed upon by the parties and is not done in response to guidance from a regulatory authority. Additionally, Takeda can terminate the Takeda Asset Agreement for our bankruptcy. In the event of termination of the Takeda Asset Agreement by Takeda as a result of our cessation of development or bankruptcy, all assigned patents, know-how and contracts (other than the Viracta License Agreement) will be assigned back to Takeda and Takeda will obtain a reversion license under patents and know-how generated to exploit all such terminated products.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Viracta License Agreement</w:t>
      </w:r>
    </w:p>
    <w:p>
      <w:pPr>
        <w:spacing w:after="0" w:line="117" w:lineRule="exact"/>
        <w:rPr>
          <w:sz w:val="20"/>
          <w:szCs w:val="20"/>
          <w:color w:val="auto"/>
        </w:rPr>
      </w:pPr>
    </w:p>
    <w:p>
      <w:pPr>
        <w:ind w:left="560" w:right="100" w:firstLine="423"/>
        <w:spacing w:after="0" w:line="286" w:lineRule="auto"/>
        <w:rPr>
          <w:sz w:val="20"/>
          <w:szCs w:val="20"/>
          <w:color w:val="auto"/>
        </w:rPr>
      </w:pPr>
      <w:r>
        <w:rPr>
          <w:rFonts w:ascii="Arial" w:cs="Arial" w:eastAsia="Arial" w:hAnsi="Arial"/>
          <w:sz w:val="17"/>
          <w:szCs w:val="17"/>
          <w:color w:val="auto"/>
        </w:rPr>
        <w:t>On December 16, 2019, DOT-1 amended and restated the Viracta License Agreement that was assigned pursuant to the Takeda Asset Agreement. Under the Viracta License Agreement, DOT-1 received a worldwide exclusive license under specified patent rights and know-how to develop, use, manufacture, and commercialize products containing compounds binding the RAF protein family.</w:t>
      </w:r>
    </w:p>
    <w:p>
      <w:pPr>
        <w:spacing w:after="0" w:line="57" w:lineRule="exact"/>
        <w:rPr>
          <w:sz w:val="20"/>
          <w:szCs w:val="20"/>
          <w:color w:val="auto"/>
        </w:rPr>
      </w:pPr>
    </w:p>
    <w:p>
      <w:pPr>
        <w:ind w:left="560" w:firstLine="423"/>
        <w:spacing w:after="0" w:line="268" w:lineRule="auto"/>
        <w:rPr>
          <w:sz w:val="20"/>
          <w:szCs w:val="20"/>
          <w:color w:val="auto"/>
        </w:rPr>
      </w:pPr>
      <w:r>
        <w:rPr>
          <w:rFonts w:ascii="Arial" w:cs="Arial" w:eastAsia="Arial" w:hAnsi="Arial"/>
          <w:sz w:val="17"/>
          <w:szCs w:val="17"/>
          <w:color w:val="auto"/>
        </w:rPr>
        <w:t>DOT-1 paid $2.0 million upfront in cash to Viracta, which was recorded as research and development expenses. DOT-1 made a milestone payment of $3.0 million to Viracta in February 2021, which is recorded as research and development expense when the milestone was achieved in April 2021. DOT-1 is also required to make additional milestone payments of up to $54 million upon achievement of specified development and regulatory milestones for each licensed product in two indications, with milestones payable for the second indication to achieve a specified milestone event being lower than milestones payable for the first indication. Additionally, if DOT-1 obtains a priority review voucher with respect to a licensed product and sell such priority review voucher to a third party or use such priority review voucher, DOT-1 is obligated to pay Viracta a specified percentage in the mid-teen digits of all net consideration received from any such sale or of the value of such used priority review voucher, as applicable. Commencing on the first commercial sale of a licensed product in a country, DOT-1 is obligated to pay tiered royalties ranging in the mid-single-digit percentages on net sales of licensed products, if any. The obligation to pay royalties will end on a country-by-country and licensed product-by-licensed product basis commencing on the first commercial sale in a country and continuing until the later of: (i) the expiration of the last valid claim of the Viracta licensed patents, jointly owned collaboration patents or specified patents owned by the Company covering the use or sale of such product in such country, (ii) the expiration of the last statutory exclusivity pertaining to such product in such country or (iii) the tenth anniversary of the first commercial sale of such product in such country. No other milestones, except as discussed above, were achieved and due as of June 30, 2021.</w:t>
      </w:r>
    </w:p>
    <w:p>
      <w:pPr>
        <w:spacing w:after="0" w:line="76" w:lineRule="exact"/>
        <w:rPr>
          <w:sz w:val="20"/>
          <w:szCs w:val="20"/>
          <w:color w:val="auto"/>
        </w:rPr>
      </w:pPr>
    </w:p>
    <w:p>
      <w:pPr>
        <w:ind w:left="560" w:right="180" w:firstLine="423"/>
        <w:spacing w:after="0" w:line="286" w:lineRule="auto"/>
        <w:rPr>
          <w:sz w:val="20"/>
          <w:szCs w:val="20"/>
          <w:color w:val="auto"/>
        </w:rPr>
      </w:pPr>
      <w:r>
        <w:rPr>
          <w:rFonts w:ascii="Arial" w:cs="Arial" w:eastAsia="Arial" w:hAnsi="Arial"/>
          <w:sz w:val="17"/>
          <w:szCs w:val="17"/>
          <w:color w:val="auto"/>
        </w:rPr>
        <w:t>The term of the Viracta License Agreement will expire on a licensed product-by-licensed product and country-by-country basis upon the expiration of the Company’s obligation to pay royalties to Viracta with respect to such product in such country. DOT-1 has the right to terminate the Viracta License Agreement with respect to any or all of the licensed products at will upon a specified notice period.</w:t>
      </w:r>
    </w:p>
    <w:p>
      <w:pPr>
        <w:spacing w:after="0" w:line="310" w:lineRule="exact"/>
        <w:rPr>
          <w:sz w:val="20"/>
          <w:szCs w:val="20"/>
          <w:color w:val="auto"/>
        </w:rPr>
      </w:pPr>
    </w:p>
    <w:p>
      <w:pPr>
        <w:ind w:left="560" w:right="7120" w:hanging="444"/>
        <w:spacing w:after="0" w:line="378" w:lineRule="auto"/>
        <w:tabs>
          <w:tab w:leader="none" w:pos="55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Leases</w:t>
      </w:r>
    </w:p>
    <w:p>
      <w:pPr>
        <w:ind w:left="560" w:firstLine="423"/>
        <w:spacing w:after="0" w:line="272" w:lineRule="auto"/>
        <w:rPr>
          <w:sz w:val="20"/>
          <w:szCs w:val="20"/>
          <w:color w:val="auto"/>
        </w:rPr>
      </w:pPr>
      <w:r>
        <w:rPr>
          <w:rFonts w:ascii="Arial" w:cs="Arial" w:eastAsia="Arial" w:hAnsi="Arial"/>
          <w:sz w:val="17"/>
          <w:szCs w:val="17"/>
          <w:color w:val="auto"/>
        </w:rPr>
        <w:t>The Company entered into a lease agreement for its corporate office facility in South San Francisco, California in March 2020, which expires in three years. The Company can extend the lease term for additional three years at market rates upon the notice of extension. The Company is obligated to pay monthly rent expense and its pro rata share of utilities, common area maintenance expenses and property taxes. The landlord also provided an allowance of $10,000 for any tenant improvements. The Company concluded that it is an operating lease. Common area expenses are a non-lease component and a variable consideration and included in operating expenses as incurred. The extension period has not been included in the determination of the Right of Use (“ROU”) asset or the lease liability for operating leases as the Company concluded that it is not reasonably certain that it would exercise this option.</w:t>
      </w:r>
    </w:p>
    <w:p>
      <w:pPr>
        <w:spacing w:after="0" w:line="69" w:lineRule="exact"/>
        <w:rPr>
          <w:sz w:val="20"/>
          <w:szCs w:val="20"/>
          <w:color w:val="auto"/>
        </w:rPr>
      </w:pPr>
    </w:p>
    <w:p>
      <w:pPr>
        <w:ind w:left="560" w:right="220" w:firstLine="423"/>
        <w:spacing w:after="0" w:line="257" w:lineRule="auto"/>
        <w:rPr>
          <w:sz w:val="20"/>
          <w:szCs w:val="20"/>
          <w:color w:val="auto"/>
        </w:rPr>
      </w:pPr>
      <w:r>
        <w:rPr>
          <w:rFonts w:ascii="Arial" w:cs="Arial" w:eastAsia="Arial" w:hAnsi="Arial"/>
          <w:sz w:val="18"/>
          <w:szCs w:val="18"/>
          <w:color w:val="auto"/>
        </w:rPr>
        <w:t>The Company determined the lease incremental borrowing rate (“IBR”) based on the information available at the applicable lease commencement date as the Company’s lease did provide an implicit rate. The IBR is determined by using the rate of interest that the Company would pay to borrow on a collateralized basis an amount equal to the lease payments for a similar term and in a similar economic environment where the asset is located. The Company determined the amounts of its lease liabilities using an IBR of 8%. As of June 30, 2021, the remaining lease term was 1.67 years.</w:t>
      </w:r>
    </w:p>
    <w:p>
      <w:pPr>
        <w:spacing w:after="0" w:line="80" w:lineRule="exact"/>
        <w:rPr>
          <w:sz w:val="20"/>
          <w:szCs w:val="20"/>
          <w:color w:val="auto"/>
        </w:rPr>
      </w:pPr>
    </w:p>
    <w:p>
      <w:pPr>
        <w:ind w:left="560" w:right="800" w:firstLine="423"/>
        <w:spacing w:after="0" w:line="277" w:lineRule="auto"/>
        <w:rPr>
          <w:sz w:val="20"/>
          <w:szCs w:val="20"/>
          <w:color w:val="auto"/>
        </w:rPr>
      </w:pPr>
      <w:r>
        <w:rPr>
          <w:rFonts w:ascii="Arial" w:cs="Arial" w:eastAsia="Arial" w:hAnsi="Arial"/>
          <w:sz w:val="18"/>
          <w:szCs w:val="18"/>
          <w:color w:val="auto"/>
        </w:rPr>
        <w:t>The Company’s lease does not require any contingent rental payments, impose financial restrictions, or contain any residual value guarantees.</w:t>
      </w:r>
    </w:p>
    <w:p>
      <w:pPr>
        <w:spacing w:after="0" w:line="62" w:lineRule="exact"/>
        <w:rPr>
          <w:sz w:val="20"/>
          <w:szCs w:val="20"/>
          <w:color w:val="auto"/>
        </w:rPr>
      </w:pPr>
    </w:p>
    <w:p>
      <w:pPr>
        <w:ind w:left="560" w:right="220" w:firstLine="423"/>
        <w:spacing w:after="0" w:line="259" w:lineRule="auto"/>
        <w:rPr>
          <w:sz w:val="20"/>
          <w:szCs w:val="20"/>
          <w:color w:val="auto"/>
        </w:rPr>
      </w:pPr>
      <w:r>
        <w:rPr>
          <w:rFonts w:ascii="Arial" w:cs="Arial" w:eastAsia="Arial" w:hAnsi="Arial"/>
          <w:sz w:val="18"/>
          <w:szCs w:val="18"/>
          <w:color w:val="auto"/>
        </w:rPr>
        <w:t>Amortization of right-of-use assets is recognized on a straight-line basis over the applicable lease term. Amortization was $88,000 and $55,000 for the six months ended June 30, 2021 and 2020, respectively. Cash paid for amounts included in the measurement of operating lease liabilities was $102,000 and $73,000 for the six months ended June 30, 2021 and 2020, respectively. Variable payments expensed during the six ended June 30, 2021 and 2020 were immaterial.</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86" w:right="4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754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8900" w:type="dxa"/>
            <w:vAlign w:val="bottom"/>
            <w:gridSpan w:val="3"/>
          </w:tcPr>
          <w:p>
            <w:pPr>
              <w:ind w:left="980"/>
              <w:spacing w:after="0"/>
              <w:rPr>
                <w:sz w:val="20"/>
                <w:szCs w:val="20"/>
                <w:color w:val="auto"/>
              </w:rPr>
            </w:pPr>
            <w:r>
              <w:rPr>
                <w:rFonts w:ascii="Arial" w:cs="Arial" w:eastAsia="Arial" w:hAnsi="Arial"/>
                <w:sz w:val="18"/>
                <w:szCs w:val="18"/>
                <w:color w:val="auto"/>
              </w:rPr>
              <w:t>As of June 30, 2021, the future lease obligations were as follows (in thousands):</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60" w:type="dxa"/>
            <w:vAlign w:val="bottom"/>
            <w:vMerge w:val="restart"/>
          </w:tcPr>
          <w:p>
            <w:pPr>
              <w:spacing w:after="0"/>
              <w:rPr>
                <w:sz w:val="21"/>
                <w:szCs w:val="21"/>
                <w:color w:val="auto"/>
              </w:rPr>
            </w:pPr>
          </w:p>
        </w:tc>
        <w:tc>
          <w:tcPr>
            <w:tcW w:w="520" w:type="dxa"/>
            <w:vAlign w:val="bottom"/>
            <w:vMerge w:val="restart"/>
          </w:tcPr>
          <w:p>
            <w:pPr>
              <w:spacing w:after="0"/>
              <w:rPr>
                <w:sz w:val="21"/>
                <w:szCs w:val="21"/>
                <w:color w:val="auto"/>
              </w:rPr>
            </w:pPr>
          </w:p>
        </w:tc>
        <w:tc>
          <w:tcPr>
            <w:tcW w:w="7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Remaining six months in 2021</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2022</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Total future minimum lease payments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333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7540" w:type="dxa"/>
            <w:vAlign w:val="bottom"/>
            <w:gridSpan w:val="2"/>
          </w:tcPr>
          <w:p>
            <w:pPr>
              <w:ind w:left="520"/>
              <w:spacing w:after="0"/>
              <w:rPr>
                <w:sz w:val="20"/>
                <w:szCs w:val="20"/>
                <w:color w:val="auto"/>
              </w:rPr>
            </w:pPr>
            <w:r>
              <w:rPr>
                <w:rFonts w:ascii="Arial" w:cs="Arial" w:eastAsia="Arial" w:hAnsi="Arial"/>
                <w:sz w:val="18"/>
                <w:szCs w:val="18"/>
                <w:color w:val="auto"/>
              </w:rPr>
              <w:t>Present value of operating lease liabilities</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314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8"/>
          <w:szCs w:val="18"/>
          <w:b w:val="1"/>
          <w:bCs w:val="1"/>
          <w:i w:val="1"/>
          <w:iCs w:val="1"/>
          <w:color w:val="auto"/>
        </w:rPr>
        <w:t>Research and Development Agreements</w:t>
      </w:r>
    </w:p>
    <w:p>
      <w:pPr>
        <w:spacing w:after="0" w:line="117" w:lineRule="exact"/>
        <w:rPr>
          <w:sz w:val="20"/>
          <w:szCs w:val="20"/>
          <w:color w:val="auto"/>
        </w:rPr>
      </w:pPr>
    </w:p>
    <w:p>
      <w:pPr>
        <w:ind w:left="560" w:right="120" w:firstLine="423"/>
        <w:spacing w:after="0" w:line="255" w:lineRule="auto"/>
        <w:rPr>
          <w:sz w:val="20"/>
          <w:szCs w:val="20"/>
          <w:color w:val="auto"/>
        </w:rPr>
      </w:pPr>
      <w:r>
        <w:rPr>
          <w:rFonts w:ascii="Arial" w:cs="Arial" w:eastAsia="Arial" w:hAnsi="Arial"/>
          <w:sz w:val="18"/>
          <w:szCs w:val="18"/>
          <w:color w:val="auto"/>
        </w:rPr>
        <w:t>The Company enters into contracts in the normal course of business with clinical research organizations for clinical trials, with contract manufacturing organizations for clinical supplies manufacturing and with other vendors for preclinical studies, supplies and other services and products for operating purposes. These contracts generally provide for termination on notice, with the exception of one vendor with a potential termination fee if a purchase order is cancelled within a specified time and of another vendor where labor costs are non-cancellable after the approval of the project plan. As of June 30, 2021 and December 31, 2020, there were no amounts accrued related to termination and cancellation charges as these are not probable.</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17" w:lineRule="exact"/>
        <w:rPr>
          <w:sz w:val="20"/>
          <w:szCs w:val="20"/>
          <w:color w:val="auto"/>
        </w:rPr>
      </w:pPr>
    </w:p>
    <w:p>
      <w:pPr>
        <w:ind w:left="560" w:right="140" w:firstLine="423"/>
        <w:spacing w:after="0" w:line="301" w:lineRule="auto"/>
        <w:rPr>
          <w:sz w:val="20"/>
          <w:szCs w:val="20"/>
          <w:color w:val="auto"/>
        </w:rPr>
      </w:pPr>
      <w:r>
        <w:rPr>
          <w:rFonts w:ascii="Arial" w:cs="Arial" w:eastAsia="Arial" w:hAnsi="Arial"/>
          <w:sz w:val="16"/>
          <w:szCs w:val="16"/>
          <w:color w:val="auto"/>
        </w:rPr>
        <w:t>The Company entered into the license agreements, as disclosed in Note 7, pursuant to which the Company is required to pay milestones contingent upon meeting of specific events. The first milestone related to the Viracta License Agreement was achieved and recorded to research and development expense during the three months ended June 30, 2021. The Company may be required to pay royalties on sales of products developed under these agreements. All products are in development as of June 30, 2021 and December 31, 2020 and no such royalties were due.</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560" w:right="240" w:firstLine="423"/>
        <w:spacing w:after="0" w:line="308" w:lineRule="auto"/>
        <w:rPr>
          <w:sz w:val="20"/>
          <w:szCs w:val="20"/>
          <w:color w:val="auto"/>
        </w:rPr>
      </w:pPr>
      <w:r>
        <w:rPr>
          <w:rFonts w:ascii="Arial" w:cs="Arial" w:eastAsia="Arial" w:hAnsi="Arial"/>
          <w:sz w:val="17"/>
          <w:szCs w:val="17"/>
          <w:color w:val="auto"/>
        </w:rPr>
        <w:t>The Company, from time to time, may be party to litigation arising in the ordinary course of business. The Company is not subject to any material legal proceedings, and to the best of its knowledge, no material legal proceedings are currently pending or threatened.</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ind w:left="560" w:firstLine="423"/>
        <w:spacing w:after="0" w:line="254"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indemnification for certain liabilities. The exposure under these agreements is unknown because it involves claims that may be made against it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also has indemnification obligations to its directors and executive officers for specified events or occurrences, subject to some limits, while they are serving at its request in such capacities. There have been no claims to date and the Company believes the fair value of these indemnification agreements is minimal. Accordingly, the Company had not recorded any liabilities for these agreements as of June 30, 2021 and December 31, 2020.</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73"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5" w:lineRule="exact"/>
        <w:rPr>
          <w:sz w:val="20"/>
          <w:szCs w:val="20"/>
          <w:color w:val="auto"/>
        </w:rPr>
      </w:pPr>
    </w:p>
    <w:p>
      <w:pPr>
        <w:ind w:left="540" w:hanging="424"/>
        <w:spacing w:after="0"/>
        <w:tabs>
          <w:tab w:leader="none" w:pos="5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CONVERTIBLE PREFERRED SHARES</w:t>
      </w:r>
    </w:p>
    <w:p>
      <w:pPr>
        <w:spacing w:after="0" w:line="121" w:lineRule="exact"/>
        <w:rPr>
          <w:sz w:val="20"/>
          <w:szCs w:val="20"/>
          <w:color w:val="auto"/>
        </w:rPr>
      </w:pPr>
    </w:p>
    <w:p>
      <w:pPr>
        <w:ind w:left="560" w:right="380" w:firstLine="423"/>
        <w:spacing w:after="0" w:line="286" w:lineRule="auto"/>
        <w:rPr>
          <w:sz w:val="20"/>
          <w:szCs w:val="20"/>
          <w:color w:val="auto"/>
        </w:rPr>
      </w:pPr>
      <w:r>
        <w:rPr>
          <w:rFonts w:ascii="Arial" w:cs="Arial" w:eastAsia="Arial" w:hAnsi="Arial"/>
          <w:sz w:val="17"/>
          <w:szCs w:val="17"/>
          <w:color w:val="auto"/>
        </w:rPr>
        <w:t>In June 2021, the Company completed its IPO, selling an aggregate of 11,500,000 shares of common stock. All outstanding redeemable convertible preferred shares were converted into 32,489,398 shares of common stock upon the completion of the IPO, June 1, 2021. As of June 30, 2021, the Company did not have any outstanding shares of redeemable convertible preferred shares.</w:t>
      </w:r>
    </w:p>
    <w:p>
      <w:pPr>
        <w:spacing w:after="0" w:line="57" w:lineRule="exact"/>
        <w:rPr>
          <w:sz w:val="20"/>
          <w:szCs w:val="20"/>
          <w:color w:val="auto"/>
        </w:rPr>
      </w:pPr>
    </w:p>
    <w:p>
      <w:pPr>
        <w:ind w:left="560" w:right="100" w:firstLine="423"/>
        <w:spacing w:after="0" w:line="277" w:lineRule="auto"/>
        <w:rPr>
          <w:sz w:val="20"/>
          <w:szCs w:val="20"/>
          <w:color w:val="auto"/>
        </w:rPr>
      </w:pPr>
      <w:r>
        <w:rPr>
          <w:rFonts w:ascii="Arial" w:cs="Arial" w:eastAsia="Arial" w:hAnsi="Arial"/>
          <w:sz w:val="18"/>
          <w:szCs w:val="18"/>
          <w:color w:val="auto"/>
        </w:rPr>
        <w:t>In February 2021, the Company issued 9,638,141 Series B redeemable convertible preferred shares at a price of $13.488 per share for gross cash proceeds of $130.0 million. The Company incurred issuance costs of $243,000.</w:t>
      </w:r>
    </w:p>
    <w:p>
      <w:pPr>
        <w:spacing w:after="0" w:line="62" w:lineRule="exact"/>
        <w:rPr>
          <w:sz w:val="20"/>
          <w:szCs w:val="20"/>
          <w:color w:val="auto"/>
        </w:rPr>
      </w:pPr>
    </w:p>
    <w:p>
      <w:pPr>
        <w:ind w:left="560" w:firstLine="423"/>
        <w:spacing w:after="0" w:line="263" w:lineRule="auto"/>
        <w:rPr>
          <w:sz w:val="20"/>
          <w:szCs w:val="20"/>
          <w:color w:val="auto"/>
        </w:rPr>
      </w:pPr>
      <w:r>
        <w:rPr>
          <w:rFonts w:ascii="Arial" w:cs="Arial" w:eastAsia="Arial" w:hAnsi="Arial"/>
          <w:sz w:val="18"/>
          <w:szCs w:val="18"/>
          <w:color w:val="auto"/>
        </w:rPr>
        <w:t>In December 2019, the Company issued 10,348,507 Series A redeemable convertible preferred shares at a price of $2.899 per share for gross cash proceeds of $30.0 million and issued 2,154,245 shares upon the conversion of the outstanding convertible note and accrued interest of $2.1 million. The Company incurred issuance costs of $95,000.</w:t>
      </w:r>
    </w:p>
    <w:p>
      <w:pPr>
        <w:spacing w:after="0" w:line="76" w:lineRule="exact"/>
        <w:rPr>
          <w:sz w:val="20"/>
          <w:szCs w:val="20"/>
          <w:color w:val="auto"/>
        </w:rPr>
      </w:pPr>
    </w:p>
    <w:p>
      <w:pPr>
        <w:ind w:left="560" w:right="140" w:firstLine="423"/>
        <w:spacing w:after="0" w:line="273" w:lineRule="auto"/>
        <w:rPr>
          <w:sz w:val="20"/>
          <w:szCs w:val="20"/>
          <w:color w:val="auto"/>
        </w:rPr>
      </w:pPr>
      <w:r>
        <w:rPr>
          <w:rFonts w:ascii="Arial" w:cs="Arial" w:eastAsia="Arial" w:hAnsi="Arial"/>
          <w:sz w:val="17"/>
          <w:szCs w:val="17"/>
          <w:color w:val="auto"/>
        </w:rPr>
        <w:t>In connection with the initial issuance of the Series A redeemable convertible preferred shares, the Company had an obligation to sell an additional 10,348,505 Series A shares at $2.899 per share upon achievement of certain milestones in two tranche. The Company determined that the obligation to sell additional shares is a freestanding financing instrument and a liability. The Company estimated the fair value of the liability to be $1.5 million and recorded it as a reduction to redeemable convertible preferred shares and as a derivative tranche liability in its condensed consolidated balance sheet at the issuance date in December 2019. For the three months ended March 31, 2020, the Company remeasured the derivative tranche liability by $0.2 million.</w:t>
      </w:r>
    </w:p>
    <w:p>
      <w:pPr>
        <w:spacing w:after="0" w:line="70" w:lineRule="exact"/>
        <w:rPr>
          <w:sz w:val="20"/>
          <w:szCs w:val="20"/>
          <w:color w:val="auto"/>
        </w:rPr>
      </w:pPr>
    </w:p>
    <w:p>
      <w:pPr>
        <w:ind w:left="560" w:right="160" w:firstLine="423"/>
        <w:spacing w:after="0" w:line="263" w:lineRule="auto"/>
        <w:rPr>
          <w:sz w:val="20"/>
          <w:szCs w:val="20"/>
          <w:color w:val="auto"/>
        </w:rPr>
      </w:pPr>
      <w:r>
        <w:rPr>
          <w:rFonts w:ascii="Arial" w:cs="Arial" w:eastAsia="Arial" w:hAnsi="Arial"/>
          <w:sz w:val="18"/>
          <w:szCs w:val="18"/>
          <w:color w:val="auto"/>
        </w:rPr>
        <w:t>In November and December 2020, the Board approved the settlement of tranche and the Company issued 10,348,505 shares for gross cash proceeds of $30.0 million. The Company incurred issuance costs of $22,000. As of December 31, 2020, no derivative tranche liabilities were outstanding.</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authorized, issued, and outstanding Series A redeemable convertible preferred shares as of December 31, 2020 were as follows:</w:t>
      </w:r>
    </w:p>
    <w:p>
      <w:pPr>
        <w:spacing w:after="0" w:line="26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December 31, 2020</w:t>
            </w:r>
          </w:p>
        </w:tc>
        <w:tc>
          <w:tcPr>
            <w:tcW w:w="9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760" w:type="dxa"/>
            <w:vAlign w:val="bottom"/>
          </w:tcPr>
          <w:p>
            <w:pPr>
              <w:spacing w:after="0"/>
              <w:rPr>
                <w:sz w:val="10"/>
                <w:szCs w:val="10"/>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5"/>
              </w:rPr>
              <w:t>Shares</w:t>
            </w:r>
          </w:p>
        </w:tc>
        <w:tc>
          <w:tcPr>
            <w:tcW w:w="11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2"/>
              </w:rPr>
              <w:t>Shares</w:t>
            </w: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Liquidation</w:t>
            </w:r>
          </w:p>
        </w:tc>
        <w:tc>
          <w:tcPr>
            <w:tcW w:w="9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Issued and</w:t>
            </w:r>
          </w:p>
        </w:tc>
        <w:tc>
          <w:tcPr>
            <w:tcW w:w="116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6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Authorized</w:t>
            </w: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Outstanding</w:t>
            </w: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Value</w:t>
            </w: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 redeemable convertible preferred shares</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22,851,257</w:t>
            </w:r>
          </w:p>
        </w:tc>
        <w:tc>
          <w:tcPr>
            <w:tcW w:w="2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22,851,257</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$66,245,059</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$91,964,055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540" w:hanging="424"/>
        <w:spacing w:after="0"/>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COMMON SHARES/COMMON STOCK</w:t>
      </w:r>
    </w:p>
    <w:p>
      <w:pPr>
        <w:spacing w:after="0" w:line="121" w:lineRule="exact"/>
        <w:rPr>
          <w:sz w:val="20"/>
          <w:szCs w:val="20"/>
          <w:color w:val="auto"/>
        </w:rPr>
      </w:pPr>
    </w:p>
    <w:p>
      <w:pPr>
        <w:ind w:left="560" w:right="560" w:firstLine="423"/>
        <w:spacing w:after="0" w:line="277" w:lineRule="auto"/>
        <w:rPr>
          <w:sz w:val="20"/>
          <w:szCs w:val="20"/>
          <w:color w:val="auto"/>
        </w:rPr>
      </w:pPr>
      <w:r>
        <w:rPr>
          <w:rFonts w:ascii="Arial" w:cs="Arial" w:eastAsia="Arial" w:hAnsi="Arial"/>
          <w:sz w:val="18"/>
          <w:szCs w:val="18"/>
          <w:color w:val="auto"/>
        </w:rPr>
        <w:t>Upon completion of the IPO, the Company is authorized to issue 500.0 million shares of common stock at a par value $0.0001. As of June 30, 2021, 61,928,939 shares of common stock were issued and outstanding.</w:t>
      </w:r>
    </w:p>
    <w:p>
      <w:pPr>
        <w:spacing w:after="0" w:line="62" w:lineRule="exact"/>
        <w:rPr>
          <w:sz w:val="20"/>
          <w:szCs w:val="20"/>
          <w:color w:val="auto"/>
        </w:rPr>
      </w:pPr>
    </w:p>
    <w:p>
      <w:pPr>
        <w:ind w:left="560" w:right="40" w:firstLine="423"/>
        <w:spacing w:after="0" w:line="311" w:lineRule="auto"/>
        <w:rPr>
          <w:sz w:val="20"/>
          <w:szCs w:val="20"/>
          <w:color w:val="auto"/>
        </w:rPr>
      </w:pPr>
      <w:r>
        <w:rPr>
          <w:rFonts w:ascii="Arial" w:cs="Arial" w:eastAsia="Arial" w:hAnsi="Arial"/>
          <w:sz w:val="16"/>
          <w:szCs w:val="16"/>
          <w:color w:val="auto"/>
        </w:rPr>
        <w:t>As of December 31, 2020, the Company was authorized to issue 28,887,127 common shares. Common shares’ holders are entitled to vote and elect one Board member. As of December 31, 2020, the Company had 6,035,869 issued and outstanding common shares. As of December 31, 2020, the Company reserved 22,851,257 shares upon conversion of redeemable convertible preferred shares into common shares, respectively.</w:t>
      </w:r>
    </w:p>
    <w:p>
      <w:pPr>
        <w:spacing w:after="0" w:line="41" w:lineRule="exact"/>
        <w:rPr>
          <w:sz w:val="20"/>
          <w:szCs w:val="20"/>
          <w:color w:val="auto"/>
        </w:rPr>
      </w:pPr>
    </w:p>
    <w:p>
      <w:pPr>
        <w:ind w:left="560" w:right="20" w:firstLine="423"/>
        <w:spacing w:after="0" w:line="257" w:lineRule="auto"/>
        <w:rPr>
          <w:sz w:val="20"/>
          <w:szCs w:val="20"/>
          <w:color w:val="auto"/>
        </w:rPr>
      </w:pPr>
      <w:r>
        <w:rPr>
          <w:rFonts w:ascii="Arial" w:cs="Arial" w:eastAsia="Arial" w:hAnsi="Arial"/>
          <w:sz w:val="18"/>
          <w:szCs w:val="18"/>
          <w:color w:val="auto"/>
        </w:rPr>
        <w:t>In November 2018, the Company entered into common shares purchase agreements with two founders of the Company. The individuals purchased a total of 2,790,000 common shares for a total purchase price of $300. Shares vest monthly for two and four years, respectively. Vesting for a certain number of shares was accelerated upon the Company’s closing of its Series A redeemable convertible preferred share financing. The Company also has an option for a period of ninety days after the individual’s employment is terminated either voluntarily or involuntarily to repurchase the unvested common shares at a price that is the lower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86"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80"/>
        <w:spacing w:after="0" w:line="263" w:lineRule="auto"/>
        <w:rPr>
          <w:sz w:val="20"/>
          <w:szCs w:val="20"/>
          <w:color w:val="auto"/>
        </w:rPr>
      </w:pPr>
      <w:r>
        <w:rPr>
          <w:rFonts w:ascii="Arial" w:cs="Arial" w:eastAsia="Arial" w:hAnsi="Arial"/>
          <w:sz w:val="18"/>
          <w:szCs w:val="18"/>
          <w:color w:val="auto"/>
        </w:rPr>
        <w:t>of the original price per share paid by the founder for such stock or the fair value as of the date of such repurchase. As of December 31, 2020, there were 193,766 shares unvested. The founders’ shares were converted to common stock in the Conversion. As of June 30, 2021, all founders’ common stock were vested.</w:t>
      </w:r>
    </w:p>
    <w:p>
      <w:pPr>
        <w:spacing w:after="0" w:line="328" w:lineRule="exact"/>
        <w:rPr>
          <w:sz w:val="20"/>
          <w:szCs w:val="20"/>
          <w:color w:val="auto"/>
        </w:rPr>
      </w:pPr>
    </w:p>
    <w:p>
      <w:pPr>
        <w:ind w:left="540" w:hanging="424"/>
        <w:spacing w:after="0"/>
        <w:tabs>
          <w:tab w:leader="none" w:pos="5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INCENTIVE SHARES AND SHARE/STOCK-BASED COMPENSATION</w:t>
      </w:r>
    </w:p>
    <w:p>
      <w:pPr>
        <w:spacing w:after="0" w:line="121" w:lineRule="exact"/>
        <w:rPr>
          <w:sz w:val="20"/>
          <w:szCs w:val="20"/>
          <w:color w:val="auto"/>
        </w:rPr>
      </w:pPr>
    </w:p>
    <w:p>
      <w:pPr>
        <w:ind w:left="560" w:right="40" w:firstLine="423"/>
        <w:spacing w:after="0" w:line="254" w:lineRule="auto"/>
        <w:rPr>
          <w:sz w:val="20"/>
          <w:szCs w:val="20"/>
          <w:color w:val="auto"/>
        </w:rPr>
      </w:pPr>
      <w:r>
        <w:rPr>
          <w:rFonts w:ascii="Arial" w:cs="Arial" w:eastAsia="Arial" w:hAnsi="Arial"/>
          <w:sz w:val="18"/>
          <w:szCs w:val="18"/>
          <w:color w:val="auto"/>
        </w:rPr>
        <w:t>Prior to the Conversion, Day One Holding LLC granted incentive shares under the Incentive Share Plan and was authorized to issue 8,924,177 incentive shares. Incentive shares were a separate non-voting class of shares that participate in distributions only after incentive shares vest, unless it is approved by the Board and include at least two of the preferred members, and a participation threshold is met. The incentive shares represented profits interests in Day One Holding LLC, which is an interest in the increase in the Company’s value over the participation threshold, as defined in the Operating Agreement and as determined at the time of grant. A holder of incentive share had the right to participate in distributions of profits only in excess of the participation threshold. The participation threshold was based on the valuation of the Company’s common shares on or around the grant date.</w:t>
      </w:r>
    </w:p>
    <w:p>
      <w:pPr>
        <w:spacing w:after="0" w:line="87" w:lineRule="exact"/>
        <w:rPr>
          <w:sz w:val="20"/>
          <w:szCs w:val="20"/>
          <w:color w:val="auto"/>
        </w:rPr>
      </w:pPr>
    </w:p>
    <w:p>
      <w:pPr>
        <w:ind w:left="560" w:right="60" w:firstLine="423"/>
        <w:spacing w:after="0" w:line="259" w:lineRule="auto"/>
        <w:rPr>
          <w:sz w:val="20"/>
          <w:szCs w:val="20"/>
          <w:color w:val="auto"/>
        </w:rPr>
      </w:pPr>
      <w:r>
        <w:rPr>
          <w:rFonts w:ascii="Arial" w:cs="Arial" w:eastAsia="Arial" w:hAnsi="Arial"/>
          <w:sz w:val="18"/>
          <w:szCs w:val="18"/>
          <w:color w:val="auto"/>
        </w:rPr>
        <w:t>Day One Holding LLC granted incentive shares to employees and non-employees, which generally vested over a four-year period with cliff vesting for the first year. The Board approved vesting terms and conditions of each award and could accelerate vesting of incentive shares on an award-by-award basis. Vesting of incentive shares would be accelerated for all unvested shares upon a termination of services without cause within 12 months after the consummation of a change of control transaction.</w:t>
      </w:r>
    </w:p>
    <w:p>
      <w:pPr>
        <w:spacing w:after="0" w:line="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fair value of the incentive shares was estimated using an option pricing model with the following assumptions:</w:t>
      </w:r>
    </w:p>
    <w:p>
      <w:pPr>
        <w:spacing w:after="0" w:line="20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0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80" w:type="dxa"/>
            <w:vAlign w:val="bottom"/>
            <w:gridSpan w:val="4"/>
          </w:tcPr>
          <w:p>
            <w:pPr>
              <w:jc w:val="center"/>
              <w:ind w:right="98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19"/>
        </w:trPr>
        <w:tc>
          <w:tcPr>
            <w:tcW w:w="35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36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2021 (through</w:t>
            </w: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ind w:right="93"/>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2021 (through</w:t>
            </w:r>
          </w:p>
        </w:tc>
        <w:tc>
          <w:tcPr>
            <w:tcW w:w="4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vMerge w:val="restart"/>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May 26, 2021)</w:t>
            </w: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9"/>
              </w:rPr>
              <w:t>May 26, 2021)</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share fair value</w:t>
            </w:r>
          </w:p>
        </w:tc>
        <w:tc>
          <w:tcPr>
            <w:tcW w:w="1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$6.36</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- 8.89</w:t>
            </w:r>
          </w:p>
        </w:tc>
        <w:tc>
          <w:tcPr>
            <w:tcW w:w="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0.81 -0.89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Participating threshold</w:t>
            </w:r>
          </w:p>
        </w:tc>
        <w:tc>
          <w:tcPr>
            <w:tcW w:w="1680" w:type="dxa"/>
            <w:vAlign w:val="bottom"/>
            <w:gridSpan w:val="2"/>
          </w:tcPr>
          <w:p>
            <w:pPr>
              <w:ind w:left="158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7.51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0.27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$6.36</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- 7.51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0.18%</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0.14%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0.18% - 0.3%</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Volatility</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72.90%</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80.00%</w:t>
            </w: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72.90%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78 - 80%</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Time to liquidity (in years)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0.20 - 1.80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- 1.80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3.03 - 3.30</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Grant date fair value</w:t>
            </w:r>
          </w:p>
        </w:tc>
        <w:tc>
          <w:tcPr>
            <w:tcW w:w="1680" w:type="dxa"/>
            <w:vAlign w:val="bottom"/>
            <w:gridSpan w:val="2"/>
          </w:tcPr>
          <w:p>
            <w:pPr>
              <w:ind w:left="158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4.24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0.74</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$4.24</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- 4.52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0.71 - 0.74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60" w:firstLine="423"/>
        <w:spacing w:after="0" w:line="254" w:lineRule="auto"/>
        <w:rPr>
          <w:sz w:val="20"/>
          <w:szCs w:val="20"/>
          <w:color w:val="auto"/>
        </w:rPr>
      </w:pPr>
      <w:r>
        <w:rPr>
          <w:rFonts w:ascii="Arial" w:cs="Arial" w:eastAsia="Arial" w:hAnsi="Arial"/>
          <w:sz w:val="18"/>
          <w:szCs w:val="18"/>
          <w:color w:val="auto"/>
        </w:rPr>
        <w:t>The Company used the option pricing model to estimate the fair value of each incentive shares award on the date of grant. The members’ equity value was based on a recent enterprise valuation analysis performed and common share fair value. The participation threshold amounts are determined by the Board at the time of grant. The expected life of the awards granted during the period was determined based on an expected time to the liquidation event. The Company applied the risk-free interest rate based on the U.S. Treasury yield in effect at the time of the grant consistent with the life of the award. The expected volatility is based on a peer group in the industry in which the Company does business consistent with the expected time to liquidity. The dividend yield was set at zero as the underlying security does not and is not expected to pay a dividend.</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Fair Value of Common Share</w:t>
      </w:r>
    </w:p>
    <w:p>
      <w:pPr>
        <w:spacing w:after="0" w:line="117" w:lineRule="exact"/>
        <w:rPr>
          <w:sz w:val="20"/>
          <w:szCs w:val="20"/>
          <w:color w:val="auto"/>
        </w:rPr>
      </w:pPr>
    </w:p>
    <w:p>
      <w:pPr>
        <w:ind w:left="560" w:firstLine="423"/>
        <w:spacing w:after="0" w:line="290" w:lineRule="auto"/>
        <w:rPr>
          <w:sz w:val="20"/>
          <w:szCs w:val="20"/>
          <w:color w:val="auto"/>
        </w:rPr>
      </w:pPr>
      <w:r>
        <w:rPr>
          <w:rFonts w:ascii="Arial" w:cs="Arial" w:eastAsia="Arial" w:hAnsi="Arial"/>
          <w:sz w:val="16"/>
          <w:szCs w:val="16"/>
          <w:color w:val="auto"/>
        </w:rPr>
        <w:t xml:space="preserve">Prior to the IPO, management’s approach to estimate the fair value of the common share is consistent with the methods outlined in the American Institute of Certified Public Accountants’ Practice Aid, </w:t>
      </w:r>
      <w:r>
        <w:rPr>
          <w:rFonts w:ascii="Arial" w:cs="Arial" w:eastAsia="Arial" w:hAnsi="Arial"/>
          <w:sz w:val="16"/>
          <w:szCs w:val="16"/>
          <w:i w:val="1"/>
          <w:iCs w:val="1"/>
          <w:color w:val="auto"/>
        </w:rPr>
        <w:t>Valuation of Privately-Held-Company Equity Securities Issued as</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w:t>
      </w:r>
      <w:r>
        <w:rPr>
          <w:rFonts w:ascii="Arial" w:cs="Arial" w:eastAsia="Arial" w:hAnsi="Arial"/>
          <w:sz w:val="16"/>
          <w:szCs w:val="16"/>
          <w:color w:val="auto"/>
        </w:rPr>
        <w:t>the “Practice Aid”), considering a number of objective and subjective factors including: valuations of common shares performed</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assistance of independent third-party valuation specialists; the Company’s stage of development and business strategy, including the status of research and development efforts, and the material risks related to the business and industry; the Company’s results of operations and financial position, including levels of available capital resources; the valuation of publicly traded companies in the life sciences and biotechnology sectors, as well as recently completed mergers and acquisitions of peer companies; the lack of marketability of the common shares; the prices of redeemable convertible preferred shares sold to investors in arm’s length transactions and the rights, preferences, and privileges of the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86"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80"/>
        <w:spacing w:after="0" w:line="259" w:lineRule="auto"/>
        <w:rPr>
          <w:sz w:val="20"/>
          <w:szCs w:val="20"/>
          <w:color w:val="auto"/>
        </w:rPr>
      </w:pPr>
      <w:r>
        <w:rPr>
          <w:rFonts w:ascii="Arial" w:cs="Arial" w:eastAsia="Arial" w:hAnsi="Arial"/>
          <w:sz w:val="18"/>
          <w:szCs w:val="18"/>
          <w:color w:val="auto"/>
        </w:rPr>
        <w:t>Company’s redeemable convertible preferred shares relative to those of common shares; the likelihood of achieving a liquidity event for the holders of the common and redeemable convertible preferred shares, such as an initial public offering or a sale, given prevailing market conditions. The fair value of the common shares was approved by the Board until such time as the Company shares are listed on an established stock exchange or national market system.</w:t>
      </w:r>
    </w:p>
    <w:p>
      <w:pPr>
        <w:spacing w:after="0" w:line="79" w:lineRule="exact"/>
        <w:rPr>
          <w:sz w:val="20"/>
          <w:szCs w:val="20"/>
          <w:color w:val="auto"/>
        </w:rPr>
      </w:pPr>
    </w:p>
    <w:p>
      <w:pPr>
        <w:ind w:left="560" w:firstLine="423"/>
        <w:spacing w:after="0" w:line="277" w:lineRule="auto"/>
        <w:rPr>
          <w:sz w:val="20"/>
          <w:szCs w:val="20"/>
          <w:color w:val="auto"/>
        </w:rPr>
      </w:pPr>
      <w:r>
        <w:rPr>
          <w:rFonts w:ascii="Arial" w:cs="Arial" w:eastAsia="Arial" w:hAnsi="Arial"/>
          <w:sz w:val="18"/>
          <w:szCs w:val="18"/>
          <w:color w:val="auto"/>
        </w:rPr>
        <w:t>The incentive shares have been classified as equity awards and share-based compensation expense was based on the grant date fair value of the award.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 provides a summary of the incentive shares activity:</w:t>
      </w:r>
    </w:p>
    <w:p>
      <w:pPr>
        <w:spacing w:after="0" w:line="20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1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3"/>
              </w:rPr>
              <w:t>Weighted Average</w:t>
            </w: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2020</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4,112,017</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Granted</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2,959,795</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(265,596)</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Converted to unvested common stock</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(6,806,216)</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June 30, 2021</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2021 Stock Incentive Plan</w:t>
      </w:r>
    </w:p>
    <w:p>
      <w:pPr>
        <w:spacing w:after="0" w:line="117" w:lineRule="exact"/>
        <w:rPr>
          <w:sz w:val="20"/>
          <w:szCs w:val="20"/>
          <w:color w:val="auto"/>
        </w:rPr>
      </w:pPr>
    </w:p>
    <w:p>
      <w:pPr>
        <w:jc w:val="both"/>
        <w:ind w:left="560" w:right="160" w:firstLine="423"/>
        <w:spacing w:after="0" w:line="263" w:lineRule="auto"/>
        <w:rPr>
          <w:sz w:val="20"/>
          <w:szCs w:val="20"/>
          <w:color w:val="auto"/>
        </w:rPr>
      </w:pPr>
      <w:r>
        <w:rPr>
          <w:rFonts w:ascii="Arial" w:cs="Arial" w:eastAsia="Arial" w:hAnsi="Arial"/>
          <w:sz w:val="18"/>
          <w:szCs w:val="18"/>
          <w:color w:val="auto"/>
        </w:rPr>
        <w:t>Immediately prior to consummation of the IPO, all of the outstanding incentive shares were converted into 5,433,290 shares of common stock, of which 4,719,605 were unvested common stock. The following table provides a summary of the unvested common stock grant activity during the six months ended June 30, 2021.</w:t>
      </w:r>
    </w:p>
    <w:p>
      <w:pPr>
        <w:spacing w:after="0" w:line="16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9"/>
              </w:rPr>
              <w:t>Number of</w:t>
            </w:r>
          </w:p>
        </w:tc>
        <w:tc>
          <w:tcPr>
            <w:tcW w:w="2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3"/>
              </w:rPr>
              <w:t>Weighted Average</w:t>
            </w: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580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restricted stock as of December 31, 2020</w:t>
            </w:r>
          </w:p>
        </w:tc>
        <w:tc>
          <w:tcPr>
            <w:tcW w:w="7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Conversion of incentive shares</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4,719,605</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(36,489)</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Unvested restricted stock as of June 30, 2021</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4,683,116</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60" w:firstLine="423"/>
        <w:spacing w:after="0" w:line="283" w:lineRule="auto"/>
        <w:rPr>
          <w:sz w:val="20"/>
          <w:szCs w:val="20"/>
          <w:color w:val="auto"/>
        </w:rPr>
      </w:pPr>
      <w:r>
        <w:rPr>
          <w:rFonts w:ascii="Arial" w:cs="Arial" w:eastAsia="Arial" w:hAnsi="Arial"/>
          <w:sz w:val="16"/>
          <w:szCs w:val="16"/>
          <w:color w:val="auto"/>
        </w:rPr>
        <w:t>In May 2021, in connection with the IPO, the Board of Directors and stockholders approved the 2021 Equity Incentive Plan (the “2021 Plan”), which became effective on the day before the date of the effectiveness of the IPO. The 2021 Plan provides for the grant of incentive stock options, nonstatutory stock options, stock appreciation rights, awards of restricted stock, restricted stock units and other stock-based awards. The number of shares of common stock reserved for issuance under the 2021 Plan is equal to the sum of: (1) 6,369,000; plus (2) 4,719,605 shares of common stock issued in respect of the Conversion of incentive shares that were subject to vesting immediately prior to the effectiveness of the registration statement for the IPO that expire, terminate or are otherwise surrendered, canceled, forfeited or repurchased by us at their original issuance price pursuant to a contractual repurchase right. The number of shares available for grant and issuance under the 2021 Plan will be automatically increased on January 1 of each of 2022 through 2031, by the lesser of (a) 5% of the number of shares of all classes of the Company’s common stock, plus the total number of shares of Company common stock issuable upon conversion of any preferred stock or exercise of any warrants to acquire shares of Company common stock for a nominal exercise price issued and outstanding on each December 31 immediately prior to the date of increase or (b) such number of shares determined by the Board of Directors.</w:t>
      </w:r>
    </w:p>
    <w:p>
      <w:pPr>
        <w:spacing w:after="0" w:line="4" w:lineRule="exact"/>
        <w:rPr>
          <w:sz w:val="20"/>
          <w:szCs w:val="20"/>
          <w:color w:val="auto"/>
        </w:rPr>
      </w:pPr>
    </w:p>
    <w:p>
      <w:pPr>
        <w:ind w:left="560" w:firstLine="423"/>
        <w:spacing w:after="0" w:line="302" w:lineRule="auto"/>
        <w:rPr>
          <w:sz w:val="20"/>
          <w:szCs w:val="20"/>
          <w:color w:val="auto"/>
        </w:rPr>
      </w:pPr>
      <w:r>
        <w:rPr>
          <w:rFonts w:ascii="Arial" w:cs="Arial" w:eastAsia="Arial" w:hAnsi="Arial"/>
          <w:sz w:val="16"/>
          <w:szCs w:val="16"/>
          <w:color w:val="auto"/>
        </w:rPr>
        <w:t>The Company issued 4,418,874 stock options with at weighted average fair value of $9.30 upon effectiveness of the IPO during the three months ended June 30, 2021. The intrinsic value of outstanding options is $29.9 million and remaining contractual life of 9.9 years as of June 30, 2021. The following table provides a summary of stock option activity under the 2021 Plan during the six months ended June 30, 2021.</w:t>
      </w:r>
    </w:p>
    <w:p>
      <w:pPr>
        <w:spacing w:after="0" w:line="15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320" w:top="486" w:right="5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Number of</w:t>
            </w:r>
          </w:p>
        </w:tc>
        <w:tc>
          <w:tcPr>
            <w:tcW w:w="30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3"/>
              </w:rPr>
              <w:t>Weighted Average</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Shares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7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Granted</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4,418,874</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2021</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4,418,874</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34"/>
        </w:trPr>
        <w:tc>
          <w:tcPr>
            <w:tcW w:w="5840" w:type="dxa"/>
            <w:vAlign w:val="bottom"/>
          </w:tcPr>
          <w:p>
            <w:pPr>
              <w:spacing w:after="0"/>
              <w:rPr>
                <w:sz w:val="20"/>
                <w:szCs w:val="20"/>
                <w:color w:val="auto"/>
              </w:rPr>
            </w:pPr>
            <w:r>
              <w:rPr>
                <w:rFonts w:ascii="Arial" w:cs="Arial" w:eastAsia="Arial" w:hAnsi="Arial"/>
                <w:sz w:val="18"/>
                <w:szCs w:val="18"/>
                <w:color w:val="auto"/>
              </w:rPr>
              <w:t>Exercisable at June 30, 2021</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21,622</w:t>
            </w:r>
          </w:p>
        </w:tc>
        <w:tc>
          <w:tcPr>
            <w:tcW w:w="44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17" w:lineRule="exact"/>
        <w:rPr>
          <w:sz w:val="20"/>
          <w:szCs w:val="20"/>
          <w:color w:val="auto"/>
        </w:rPr>
      </w:pPr>
    </w:p>
    <w:p>
      <w:pPr>
        <w:ind w:left="560" w:right="40" w:firstLine="423"/>
        <w:spacing w:after="0" w:line="272" w:lineRule="auto"/>
        <w:rPr>
          <w:sz w:val="20"/>
          <w:szCs w:val="20"/>
          <w:color w:val="auto"/>
        </w:rPr>
      </w:pPr>
      <w:r>
        <w:rPr>
          <w:rFonts w:ascii="Arial" w:cs="Arial" w:eastAsia="Arial" w:hAnsi="Arial"/>
          <w:sz w:val="17"/>
          <w:szCs w:val="17"/>
          <w:color w:val="auto"/>
        </w:rPr>
        <w:t>In May 2021, the Board of Directors adopted and the stockholders approved the 2021 Employee Stock Purchase Plan, (“the ESPP”), which became effective on May 26, 2021. A total of 603,000 shares of common stock were reserved for issuance under the ESPP. The number of shares of the common stock reserved for issuance under the ESPP will automatically increase on the first day of each fiscal year, beginning with the fiscal year commencing on January 1, 2021 and continuing for each fiscal year until, and including, the fiscal year commencing on January 1, 2031, by the lesser of: a) 1% of the total number of outstanding shares of common stock of the Company (on an as converted basis outstanding on the immediately preceding December 31 (rounded down to the nearest whole share); b) an amount determined by the Board of Directors. No shares have been issued under the ESPP as of June 30, 2021.</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Share/Stock-based compensation</w:t>
      </w:r>
    </w:p>
    <w:p>
      <w:pPr>
        <w:spacing w:after="0" w:line="117" w:lineRule="exact"/>
        <w:rPr>
          <w:sz w:val="20"/>
          <w:szCs w:val="20"/>
          <w:color w:val="auto"/>
        </w:rPr>
      </w:pPr>
    </w:p>
    <w:p>
      <w:pPr>
        <w:ind w:left="560" w:firstLine="423"/>
        <w:spacing w:after="0" w:line="291" w:lineRule="auto"/>
        <w:rPr>
          <w:sz w:val="20"/>
          <w:szCs w:val="20"/>
          <w:color w:val="auto"/>
        </w:rPr>
      </w:pPr>
      <w:r>
        <w:rPr>
          <w:rFonts w:ascii="Arial" w:cs="Arial" w:eastAsia="Arial" w:hAnsi="Arial"/>
          <w:sz w:val="16"/>
          <w:szCs w:val="16"/>
          <w:color w:val="auto"/>
        </w:rPr>
        <w:t>The Company recorded share/stock-based compensation expense related to the issuance of incentive shares and stock options of $3.1 million and $0.1 million during the six months ended June 30, 2021 and 2020, respectively, and $2.5 million and $0.1 million during the three months ended June 30, 2021 and 2020, respectively. As of June 30, 2021, there was $39.6 million of unrecognized compensation cost related to unvested restricted stock and stock options that is expected to be recognized over a weighted-average period of approximately 3.0 years. As of June 30, 2020, there was $0.7 million of unrecognized compensation cost related to unvested incentive shares that is expected to be recognized over a weighted-average period of approximately 2.9 years. The Company did not recognize incremental share-based compensation expense related to the conversion of the incentive shares to unvested common stock in accordance with the Conversion, as such exchange was at fair value.</w:t>
      </w:r>
    </w:p>
    <w:p>
      <w:pPr>
        <w:spacing w:after="0" w:line="58" w:lineRule="exact"/>
        <w:rPr>
          <w:sz w:val="20"/>
          <w:szCs w:val="20"/>
          <w:color w:val="auto"/>
        </w:rPr>
      </w:pPr>
    </w:p>
    <w:p>
      <w:pPr>
        <w:jc w:val="both"/>
        <w:ind w:left="560" w:right="180" w:firstLine="423"/>
        <w:spacing w:after="0" w:line="259" w:lineRule="auto"/>
        <w:rPr>
          <w:sz w:val="20"/>
          <w:szCs w:val="20"/>
          <w:color w:val="auto"/>
        </w:rPr>
      </w:pPr>
      <w:r>
        <w:rPr>
          <w:rFonts w:ascii="Arial" w:cs="Arial" w:eastAsia="Arial" w:hAnsi="Arial"/>
          <w:sz w:val="18"/>
          <w:szCs w:val="18"/>
          <w:color w:val="auto"/>
        </w:rPr>
        <w:t>The Company uses intrinsic value to value its unvested common stock and stock options, which is the difference between the Company’s common stock market value and the exercise price of a share and recognizes expense over the vesting term of the award. The Company uses the Black-Scholes option pricing model to estimate the fair value of stock option granted with the following assumption for awards granted in May 2021:</w:t>
      </w:r>
    </w:p>
    <w:p>
      <w:pPr>
        <w:spacing w:after="0" w:line="228"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Common stock fair value</w:t>
            </w:r>
          </w:p>
        </w:tc>
        <w:tc>
          <w:tcPr>
            <w:tcW w:w="41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4740" w:type="dxa"/>
            <w:vAlign w:val="bottom"/>
            <w:gridSpan w:val="2"/>
          </w:tcPr>
          <w:p>
            <w:pPr>
              <w:jc w:val="right"/>
              <w:spacing w:after="0"/>
              <w:rPr>
                <w:sz w:val="20"/>
                <w:szCs w:val="20"/>
                <w:color w:val="auto"/>
              </w:rPr>
            </w:pPr>
            <w:r>
              <w:rPr>
                <w:rFonts w:ascii="Arial" w:cs="Arial" w:eastAsia="Arial" w:hAnsi="Arial"/>
                <w:sz w:val="18"/>
                <w:szCs w:val="18"/>
                <w:color w:val="auto"/>
              </w:rPr>
              <w:t>5.28 - 5.90</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66.51%</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740" w:type="dxa"/>
            <w:vAlign w:val="bottom"/>
            <w:gridSpan w:val="2"/>
          </w:tcPr>
          <w:p>
            <w:pPr>
              <w:jc w:val="right"/>
              <w:spacing w:after="0"/>
              <w:rPr>
                <w:sz w:val="20"/>
                <w:szCs w:val="20"/>
                <w:color w:val="auto"/>
              </w:rPr>
            </w:pPr>
            <w:r>
              <w:rPr>
                <w:rFonts w:ascii="Arial" w:cs="Arial" w:eastAsia="Arial" w:hAnsi="Arial"/>
                <w:sz w:val="18"/>
                <w:szCs w:val="18"/>
                <w:color w:val="auto"/>
              </w:rPr>
              <w:t>0.86% - 1.00%</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4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365"/>
        </w:trPr>
        <w:tc>
          <w:tcPr>
            <w:tcW w:w="2740" w:type="dxa"/>
            <w:vAlign w:val="bottom"/>
          </w:tcPr>
          <w:p>
            <w:pPr>
              <w:spacing w:after="0"/>
              <w:rPr>
                <w:sz w:val="24"/>
                <w:szCs w:val="24"/>
                <w:color w:val="auto"/>
              </w:rPr>
            </w:pPr>
          </w:p>
        </w:tc>
        <w:tc>
          <w:tcPr>
            <w:tcW w:w="4100" w:type="dxa"/>
            <w:vAlign w:val="bottom"/>
          </w:tcPr>
          <w:p>
            <w:pPr>
              <w:jc w:val="right"/>
              <w:ind w:right="2910"/>
              <w:spacing w:after="0"/>
              <w:rPr>
                <w:sz w:val="20"/>
                <w:szCs w:val="20"/>
                <w:color w:val="auto"/>
              </w:rPr>
            </w:pPr>
            <w:r>
              <w:rPr>
                <w:rFonts w:ascii="Arial" w:cs="Arial" w:eastAsia="Arial" w:hAnsi="Arial"/>
                <w:sz w:val="18"/>
                <w:szCs w:val="18"/>
                <w:color w:val="auto"/>
              </w:rPr>
              <w:t>20</w:t>
            </w:r>
          </w:p>
        </w:tc>
        <w:tc>
          <w:tcPr>
            <w:tcW w:w="640" w:type="dxa"/>
            <w:vAlign w:val="bottom"/>
          </w:tcPr>
          <w:p>
            <w:pPr>
              <w:spacing w:after="0"/>
              <w:rPr>
                <w:sz w:val="24"/>
                <w:szCs w:val="24"/>
                <w:color w:val="auto"/>
              </w:rPr>
            </w:pPr>
          </w:p>
        </w:tc>
      </w:tr>
    </w:tbl>
    <w:p>
      <w:pPr>
        <w:sectPr>
          <w:pgSz w:w="11900" w:h="16838" w:orient="portrait"/>
          <w:cols w:equalWidth="0" w:num="1">
            <w:col w:w="11120"/>
          </w:cols>
          <w:pgMar w:left="320" w:top="486"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spacing w:after="0"/>
        <w:rPr>
          <w:sz w:val="20"/>
          <w:szCs w:val="20"/>
          <w:color w:val="auto"/>
        </w:rPr>
      </w:pPr>
      <w:r>
        <w:rPr>
          <w:rFonts w:ascii="Arial" w:cs="Arial" w:eastAsia="Arial" w:hAnsi="Arial"/>
          <w:sz w:val="17"/>
          <w:szCs w:val="17"/>
          <w:color w:val="auto"/>
        </w:rPr>
        <w:t>Share/stock-based compensation expense recorded in the accompanying Condensed Consolidated Statements of Operations and</w:t>
      </w:r>
    </w:p>
    <w:p>
      <w:pPr>
        <w:spacing w:after="0" w:line="3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Comprehensive Loss is as follows (in thousands):</w:t>
      </w:r>
    </w:p>
    <w:p>
      <w:pPr>
        <w:spacing w:after="0" w:line="21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4"/>
          </w:tcPr>
          <w:p>
            <w:pPr>
              <w:jc w:val="right"/>
              <w:ind w:right="139"/>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5"/>
          </w:tcPr>
          <w:p>
            <w:pPr>
              <w:ind w:left="3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rPr>
              <w:t>June 30,</w:t>
            </w:r>
          </w:p>
        </w:tc>
        <w:tc>
          <w:tcPr>
            <w:tcW w:w="2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bottom w:val="single" w:sz="8" w:color="auto"/>
            </w:tcBorders>
          </w:tcPr>
          <w:p>
            <w:pPr>
              <w:jc w:val="right"/>
              <w:ind w:right="19"/>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713</w:t>
            </w:r>
          </w:p>
        </w:tc>
        <w:tc>
          <w:tcPr>
            <w:tcW w:w="920" w:type="dxa"/>
            <w:vAlign w:val="bottom"/>
            <w:gridSpan w:val="2"/>
            <w:shd w:val="clear" w:color="auto" w:fill="CCEEFF"/>
          </w:tcPr>
          <w:p>
            <w:pPr>
              <w:jc w:val="right"/>
              <w:ind w:right="559"/>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1,824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2,243</w:t>
            </w: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3,075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560" w:right="8600" w:hanging="444"/>
        <w:spacing w:after="0" w:line="400" w:lineRule="auto"/>
        <w:tabs>
          <w:tab w:leader="none" w:pos="552"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NET LOSS PER SHARE </w:t>
      </w:r>
      <w:r>
        <w:rPr>
          <w:rFonts w:ascii="Arial" w:cs="Arial" w:eastAsia="Arial" w:hAnsi="Arial"/>
          <w:sz w:val="17"/>
          <w:szCs w:val="17"/>
          <w:b w:val="1"/>
          <w:bCs w:val="1"/>
          <w:i w:val="1"/>
          <w:iCs w:val="1"/>
          <w:color w:val="auto"/>
        </w:rPr>
        <w:t>Net Loss Per Share</w:t>
      </w:r>
    </w:p>
    <w:p>
      <w:pPr>
        <w:ind w:left="560" w:right="460" w:firstLine="423"/>
        <w:spacing w:after="0" w:line="277" w:lineRule="auto"/>
        <w:rPr>
          <w:sz w:val="20"/>
          <w:szCs w:val="20"/>
          <w:color w:val="auto"/>
        </w:rPr>
      </w:pPr>
      <w:r>
        <w:rPr>
          <w:rFonts w:ascii="Arial" w:cs="Arial" w:eastAsia="Arial" w:hAnsi="Arial"/>
          <w:sz w:val="18"/>
          <w:szCs w:val="18"/>
          <w:color w:val="auto"/>
        </w:rPr>
        <w:t>Basic and diluted net loss per share attributable to common shareholders/stockholders after the Conversion is calculated as follows (in thousands except share and per share amounts):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2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(15,473)</w:t>
            </w:r>
          </w:p>
        </w:tc>
        <w:tc>
          <w:tcPr>
            <w:tcW w:w="5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60" w:type="dxa"/>
            <w:vAlign w:val="bottom"/>
          </w:tcPr>
          <w:p>
            <w:pPr>
              <w:spacing w:after="0" w:line="201" w:lineRule="exact"/>
              <w:rPr>
                <w:sz w:val="20"/>
                <w:szCs w:val="20"/>
                <w:color w:val="auto"/>
              </w:rPr>
            </w:pPr>
            <w:r>
              <w:rPr>
                <w:rFonts w:ascii="Arial" w:cs="Arial" w:eastAsia="Arial" w:hAnsi="Arial"/>
                <w:sz w:val="18"/>
                <w:szCs w:val="18"/>
                <w:color w:val="auto"/>
              </w:rPr>
              <w:t>Net loss attributable to redeemable convertible noncontrolling</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180"/>
              <w:spacing w:after="0"/>
              <w:rPr>
                <w:sz w:val="20"/>
                <w:szCs w:val="20"/>
                <w:color w:val="auto"/>
              </w:rPr>
            </w:pPr>
            <w:r>
              <w:rPr>
                <w:rFonts w:ascii="Arial" w:cs="Arial" w:eastAsia="Arial" w:hAnsi="Arial"/>
                <w:sz w:val="18"/>
                <w:szCs w:val="18"/>
                <w:color w:val="auto"/>
              </w:rPr>
              <w:t>interests</w:t>
            </w:r>
          </w:p>
        </w:tc>
        <w:tc>
          <w:tcPr>
            <w:tcW w:w="100" w:type="dxa"/>
            <w:vAlign w:val="bottom"/>
          </w:tcPr>
          <w:p>
            <w:pPr>
              <w:spacing w:after="0"/>
              <w:rPr>
                <w:sz w:val="20"/>
                <w:szCs w:val="20"/>
                <w:color w:val="auto"/>
              </w:rPr>
            </w:pP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(1,191)</w:t>
            </w:r>
          </w:p>
        </w:tc>
        <w:tc>
          <w:tcPr>
            <w:tcW w:w="10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(649)</w:t>
            </w:r>
          </w:p>
        </w:tc>
        <w:tc>
          <w:tcPr>
            <w:tcW w:w="80" w:type="dxa"/>
            <w:vAlign w:val="bottom"/>
          </w:tcPr>
          <w:p>
            <w:pPr>
              <w:spacing w:after="0"/>
              <w:rPr>
                <w:sz w:val="20"/>
                <w:szCs w:val="20"/>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(2,109)</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02"/>
        </w:trPr>
        <w:tc>
          <w:tcPr>
            <w:tcW w:w="5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Exchange of redeemable noncontrolling interest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 deemed dividend (refer to Note 13)</w:t>
            </w:r>
          </w:p>
        </w:tc>
        <w:tc>
          <w:tcPr>
            <w:tcW w:w="10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(99,994)</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(99,994)</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060" w:type="dxa"/>
            <w:vAlign w:val="bottom"/>
          </w:tcPr>
          <w:p>
            <w:pPr>
              <w:spacing w:after="0"/>
              <w:rPr>
                <w:sz w:val="20"/>
                <w:szCs w:val="20"/>
                <w:color w:val="auto"/>
              </w:rPr>
            </w:pPr>
            <w:r>
              <w:rPr>
                <w:rFonts w:ascii="Arial" w:cs="Arial" w:eastAsia="Arial" w:hAnsi="Arial"/>
                <w:sz w:val="18"/>
                <w:szCs w:val="18"/>
                <w:color w:val="auto"/>
              </w:rPr>
              <w:t>Net loss attributable to common share members/common</w:t>
            </w: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180"/>
              <w:spacing w:after="0"/>
              <w:rPr>
                <w:sz w:val="20"/>
                <w:szCs w:val="20"/>
                <w:color w:val="auto"/>
              </w:rPr>
            </w:pPr>
            <w:r>
              <w:rPr>
                <w:rFonts w:ascii="Arial" w:cs="Arial" w:eastAsia="Arial" w:hAnsi="Arial"/>
                <w:sz w:val="18"/>
                <w:szCs w:val="18"/>
                <w:color w:val="auto"/>
              </w:rPr>
              <w:t>stockholders</w:t>
            </w:r>
          </w:p>
        </w:tc>
        <w:tc>
          <w:tcPr>
            <w:tcW w:w="100" w:type="dxa"/>
            <w:vAlign w:val="bottom"/>
          </w:tcPr>
          <w:p>
            <w:pPr>
              <w:spacing w:after="0"/>
              <w:rPr>
                <w:sz w:val="20"/>
                <w:szCs w:val="20"/>
                <w:color w:val="auto"/>
              </w:rPr>
            </w:pP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(114,276)</w:t>
            </w:r>
          </w:p>
        </w:tc>
        <w:tc>
          <w:tcPr>
            <w:tcW w:w="10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(1,760)</w:t>
            </w:r>
          </w:p>
        </w:tc>
        <w:tc>
          <w:tcPr>
            <w:tcW w:w="80" w:type="dxa"/>
            <w:vAlign w:val="bottom"/>
          </w:tcPr>
          <w:p>
            <w:pPr>
              <w:spacing w:after="0"/>
              <w:rPr>
                <w:sz w:val="20"/>
                <w:szCs w:val="20"/>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(129,460)</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(3,295)</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8"/>
                <w:szCs w:val="18"/>
                <w:color w:val="auto"/>
              </w:rPr>
              <w:t>Weighted-average number of common shares used in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180"/>
              <w:spacing w:after="0"/>
              <w:rPr>
                <w:sz w:val="20"/>
                <w:szCs w:val="20"/>
                <w:color w:val="auto"/>
              </w:rPr>
            </w:pPr>
            <w:r>
              <w:rPr>
                <w:rFonts w:ascii="Arial" w:cs="Arial" w:eastAsia="Arial" w:hAnsi="Arial"/>
                <w:sz w:val="18"/>
                <w:szCs w:val="18"/>
                <w:color w:val="auto"/>
              </w:rPr>
              <w:t>computing net loss per share, basic and diluted</w:t>
            </w:r>
          </w:p>
        </w:tc>
        <w:tc>
          <w:tcPr>
            <w:tcW w:w="1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22,661,889</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w w:val="89"/>
              </w:rPr>
              <w:t>5,456,203</w:t>
            </w:r>
          </w:p>
        </w:tc>
        <w:tc>
          <w:tcPr>
            <w:tcW w:w="80" w:type="dxa"/>
            <w:vAlign w:val="bottom"/>
          </w:tcPr>
          <w:p>
            <w:pPr>
              <w:spacing w:after="0"/>
              <w:rPr>
                <w:sz w:val="20"/>
                <w:szCs w:val="20"/>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11,976,577</w:t>
            </w: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5,383,549</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right="20" w:firstLine="423"/>
        <w:spacing w:after="0" w:line="277" w:lineRule="auto"/>
        <w:rPr>
          <w:sz w:val="20"/>
          <w:szCs w:val="20"/>
          <w:color w:val="auto"/>
        </w:rPr>
      </w:pPr>
      <w:r>
        <w:rPr>
          <w:rFonts w:ascii="Arial" w:cs="Arial" w:eastAsia="Arial" w:hAnsi="Arial"/>
          <w:sz w:val="18"/>
          <w:szCs w:val="18"/>
          <w:color w:val="auto"/>
        </w:rPr>
        <w:t>The following outstanding potentially dilutive securities have been excluded from the calculation of diluted net loss per share, as their effect is anti-dilutive:</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19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As of June 30,</w:t>
            </w:r>
          </w:p>
        </w:tc>
      </w:tr>
      <w:tr>
        <w:trPr>
          <w:trHeight w:val="155"/>
        </w:trPr>
        <w:tc>
          <w:tcPr>
            <w:tcW w:w="6440" w:type="dxa"/>
            <w:vAlign w:val="bottom"/>
            <w:tcBorders>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3"/>
                <w:szCs w:val="13"/>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shares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12,502,752</w:t>
            </w:r>
          </w:p>
        </w:tc>
        <w:tc>
          <w:tcPr>
            <w:tcW w:w="6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Incentive shares</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683,379</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4,418,874</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6440" w:type="dxa"/>
            <w:vAlign w:val="bottom"/>
          </w:tcPr>
          <w:p>
            <w:pPr>
              <w:spacing w:after="0"/>
              <w:rPr>
                <w:sz w:val="20"/>
                <w:szCs w:val="20"/>
                <w:color w:val="auto"/>
              </w:rPr>
            </w:pPr>
            <w:r>
              <w:rPr>
                <w:rFonts w:ascii="Arial" w:cs="Arial" w:eastAsia="Arial" w:hAnsi="Arial"/>
                <w:sz w:val="18"/>
                <w:szCs w:val="18"/>
                <w:color w:val="auto"/>
              </w:rPr>
              <w:t>Unvested common shares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4,683,116</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484,391</w:t>
            </w:r>
          </w:p>
        </w:tc>
      </w:tr>
      <w:tr>
        <w:trPr>
          <w:trHeight w:val="210"/>
        </w:trPr>
        <w:tc>
          <w:tcPr>
            <w:tcW w:w="64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9,101,990</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13,670,522</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27" w:lineRule="exact"/>
        <w:rPr>
          <w:sz w:val="20"/>
          <w:szCs w:val="20"/>
          <w:color w:val="auto"/>
        </w:rPr>
      </w:pPr>
    </w:p>
    <w:p>
      <w:pPr>
        <w:ind w:left="540" w:hanging="424"/>
        <w:spacing w:after="0"/>
        <w:tabs>
          <w:tab w:leader="none" w:pos="5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NONCONTROLLING INTEREST</w:t>
      </w:r>
    </w:p>
    <w:p>
      <w:pPr>
        <w:spacing w:after="0" w:line="94" w:lineRule="exact"/>
        <w:rPr>
          <w:sz w:val="20"/>
          <w:szCs w:val="20"/>
          <w:color w:val="auto"/>
        </w:rPr>
      </w:pPr>
    </w:p>
    <w:p>
      <w:pPr>
        <w:ind w:left="560" w:right="120" w:firstLine="423"/>
        <w:spacing w:after="0" w:line="277" w:lineRule="auto"/>
        <w:rPr>
          <w:sz w:val="20"/>
          <w:szCs w:val="20"/>
          <w:color w:val="auto"/>
        </w:rPr>
      </w:pPr>
      <w:r>
        <w:rPr>
          <w:rFonts w:ascii="Arial" w:cs="Arial" w:eastAsia="Arial" w:hAnsi="Arial"/>
          <w:sz w:val="18"/>
          <w:szCs w:val="18"/>
          <w:color w:val="auto"/>
        </w:rPr>
        <w:t>DOT-1, the Company’s subsidiary, issued Series A redeemable convertible preferred shares to Takeda in accordance with the Takeda Asset Agreement (Note 7). The Company concluded that it represented a redeemable noncontrolling interest.</w:t>
      </w:r>
    </w:p>
    <w:p>
      <w:pPr>
        <w:spacing w:after="0" w:line="62" w:lineRule="exact"/>
        <w:rPr>
          <w:sz w:val="20"/>
          <w:szCs w:val="20"/>
          <w:color w:val="auto"/>
        </w:rPr>
      </w:pPr>
    </w:p>
    <w:p>
      <w:pPr>
        <w:ind w:left="560" w:firstLine="423"/>
        <w:spacing w:after="0" w:line="263" w:lineRule="auto"/>
        <w:rPr>
          <w:sz w:val="20"/>
          <w:szCs w:val="20"/>
          <w:color w:val="auto"/>
        </w:rPr>
      </w:pPr>
      <w:r>
        <w:rPr>
          <w:rFonts w:ascii="Arial" w:cs="Arial" w:eastAsia="Arial" w:hAnsi="Arial"/>
          <w:sz w:val="18"/>
          <w:szCs w:val="18"/>
          <w:color w:val="auto"/>
        </w:rPr>
        <w:t>The Company adjusts the carrying value of redeemable noncontrolling interest to allocate net losses of the subsidiary to Takeda. Transfers to and from the redeemable noncontrolling interest represent changes in ownership and the allocation of Series A redeemable convertible preferred shares issuance costs issued by the subsidiary.</w:t>
      </w:r>
    </w:p>
    <w:p>
      <w:pPr>
        <w:spacing w:after="0" w:line="76" w:lineRule="exact"/>
        <w:rPr>
          <w:sz w:val="20"/>
          <w:szCs w:val="20"/>
          <w:color w:val="auto"/>
        </w:rPr>
      </w:pPr>
    </w:p>
    <w:p>
      <w:pPr>
        <w:ind w:left="560" w:right="80" w:firstLine="423"/>
        <w:spacing w:after="0" w:line="301" w:lineRule="auto"/>
        <w:rPr>
          <w:sz w:val="20"/>
          <w:szCs w:val="20"/>
          <w:color w:val="auto"/>
        </w:rPr>
      </w:pPr>
      <w:r>
        <w:rPr>
          <w:rFonts w:ascii="Arial" w:cs="Arial" w:eastAsia="Arial" w:hAnsi="Arial"/>
          <w:sz w:val="16"/>
          <w:szCs w:val="16"/>
          <w:color w:val="auto"/>
        </w:rPr>
        <w:t>On May 26, 2021, pursuant to the pursuant to the terms of the Millennium Stock Exchange Agreement, Takeda exchanged its 9,857,143 shares of Series A redeemable convertible preferred stock in DOT-1, for 6,470,382 shares of common stock of the Company. Prior to the Exchange, the Company accounted for the redeemable noncontrolling interest as discussed in the paragraph above and allocated $2.1 million and $0.9 million of net losses for the period from January 1 to May 26, 2021 and from April 1 to May 26, 2021, respectively, to Takeda.</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86"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
        <w:spacing w:after="0" w:line="275" w:lineRule="auto"/>
        <w:rPr>
          <w:sz w:val="20"/>
          <w:szCs w:val="20"/>
          <w:color w:val="auto"/>
        </w:rPr>
      </w:pPr>
      <w:r>
        <w:rPr>
          <w:rFonts w:ascii="Arial" w:cs="Arial" w:eastAsia="Arial" w:hAnsi="Arial"/>
          <w:sz w:val="17"/>
          <w:szCs w:val="17"/>
          <w:color w:val="auto"/>
        </w:rPr>
        <w:t>The Exchange resulted in DOT-1 becoming a wholly owned subsidiary of the Company, and was recorded for accounting purposes as an extinguishment of the redeemable noncontrolling interest. As such, the Company also recognized an extinguishment loss of $100.0 million to additional paid in capital, which was calculated as a difference between the fair value of common stock issued to Takeda in the conversion and the carrying value of redeemable noncontrolling interest at the conversion date. The all-stock exchange was treated as a deemed dividend in the calculation of net loss attributable to common stockholders and net loss and per share.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i w:val="1"/>
          <w:iCs w:val="1"/>
          <w:color w:val="auto"/>
        </w:rPr>
        <w:t>You should read the following discussion and analysis of financial condition and operating results together with the summary consolidated financial data, our consolidated financial statements and related notes, our interim condensed consolidated financial statements and related notes, and other financial information appearing in this Quarterly Report on Form 10-Q. This discussion contains forward-looking statements that involve risks and uncertainties. As a result of many factors, such as those set forth in the section of the report titled “Risk Factors” and elsewhere in this this Quarterly Report on Form 10-Q, our actual results may differ materially from those anticipated in or implied by these forward-looking statements. Please also see the section of this Quarterly Report on Form 10-Q titled “Cautionary Note Regarding Forward-Looking Statements.”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Day One was founded to address a critical unmet need: children with cancer are being left behind in a cancer drug development revolution. Our name was inspired by the “The Day One Talk” that physicians have with patients and their families about an initial cancer diagnosis and treatment plan. We aim to re-envision cancer drug development and redefine what’s possible for all people living with cancer—regardless of age—starting from Day One.</w:t>
      </w:r>
    </w:p>
    <w:p>
      <w:pPr>
        <w:spacing w:after="0" w:line="187" w:lineRule="exact"/>
        <w:rPr>
          <w:sz w:val="20"/>
          <w:szCs w:val="20"/>
          <w:color w:val="auto"/>
        </w:rPr>
      </w:pPr>
    </w:p>
    <w:p>
      <w:pPr>
        <w:ind w:left="120" w:firstLine="991"/>
        <w:spacing w:after="0" w:line="286" w:lineRule="auto"/>
        <w:rPr>
          <w:sz w:val="20"/>
          <w:szCs w:val="20"/>
          <w:color w:val="auto"/>
        </w:rPr>
      </w:pPr>
      <w:r>
        <w:rPr>
          <w:rFonts w:ascii="Arial" w:cs="Arial" w:eastAsia="Arial" w:hAnsi="Arial"/>
          <w:sz w:val="16"/>
          <w:szCs w:val="16"/>
          <w:color w:val="auto"/>
        </w:rPr>
        <w:t>We are a clinical-stage biopharmaceutical company dedicated to developing and commercializing targeted therapies for patients of all ages with genetically defined cancers. Initially, we focus our clinical development efforts on pediatric patients living with cancer, a vulnerable population that has been underserved in the recent revolution in targeted therapeutics and immuno-oncology. Our lead product candidate, DAY101, is an oral, brain-penetrant, highly-selective type II pan-rapidly accelerated fibrosarcoma, or pan-RAF, kinase inhibitor. DAY101 has been studied in over 250 patients and has been shown to be well-tolerated as a monotherapy. DAY101 has demonstrated encouraging anti-tumor activity in pediatric and adult populations with specific genetic alterations that result in the over-activation of the RAS/mitogen- activated protein kinase, or MAPK, pathway leading to uncontrolled cell growth. We have initiated a pivotal Phase 2 trial (FIREFLY-1) of DAY101 for pediatric patients with relapsed or progressive low-grade glioma, or pLGG, the most common brain tumor diagnosed in children, for which there are no approved therapies or standard of care. We dosed the first patient in this trial in the second quarter of 2021, and we expect to report initial data from this trial in the first half of 2022. DAY101 has been granted Breakthrough Therapy designation by the U.S. Food and Drug Administration, or the FDA, for the treatment of pLGG, based on initial results from a Phase 1 trial which showed evidence of rapid anti-tumor activity and durable responses in pLGG patients. We also plan to study DAY101 alone or in combination with other agents that target key signaling nodes in the MAPK pathway in patient populations where various genetic alterations are believed to play an important role in driving disease. We initiated our adult solid tumor trial in the second quarter of 2021.</w:t>
      </w:r>
    </w:p>
    <w:p>
      <w:pPr>
        <w:spacing w:after="0" w:line="174" w:lineRule="exact"/>
        <w:rPr>
          <w:sz w:val="20"/>
          <w:szCs w:val="20"/>
          <w:color w:val="auto"/>
        </w:rPr>
      </w:pPr>
    </w:p>
    <w:p>
      <w:pPr>
        <w:ind w:left="120" w:right="40" w:firstLine="991"/>
        <w:spacing w:after="0" w:line="293" w:lineRule="auto"/>
        <w:rPr>
          <w:sz w:val="20"/>
          <w:szCs w:val="20"/>
          <w:color w:val="auto"/>
        </w:rPr>
      </w:pPr>
      <w:r>
        <w:rPr>
          <w:rFonts w:ascii="Arial" w:cs="Arial" w:eastAsia="Arial" w:hAnsi="Arial"/>
          <w:sz w:val="16"/>
          <w:szCs w:val="16"/>
          <w:color w:val="auto"/>
        </w:rPr>
        <w:t>Our second product candidate, pimasertib, is an oral, highly-selective small molecule inhibitor of mitogen-activated protein kinase kinases 1 and 2 (MEK), a well-characterized key signaling node in the MAPK pathway. We expect to initiate a Phase 1b/2 trial in the first quarter of 2022 to study the combination of DAY101 and pimasertib in patients 12 years and older with various MAPK-altered solid tumors. We believe our business development capabilities combined with our extensive experience in oncology drug development and deep ties within the research and patient advocacy communities, particularly within the pediatric setting, positions us to be a leader in identifying, acquiring and developing therapies for patients of all ages. We hold exclusive worldwide rights to both DAY101 and pimasertib for all indications subject to certain milestone and royalty payments.</w:t>
      </w:r>
    </w:p>
    <w:p>
      <w:pPr>
        <w:spacing w:after="0" w:line="164" w:lineRule="exact"/>
        <w:rPr>
          <w:sz w:val="20"/>
          <w:szCs w:val="20"/>
          <w:color w:val="auto"/>
        </w:rPr>
      </w:pPr>
    </w:p>
    <w:p>
      <w:pPr>
        <w:ind w:left="120" w:right="40" w:firstLine="991"/>
        <w:spacing w:after="0" w:line="301" w:lineRule="auto"/>
        <w:rPr>
          <w:sz w:val="20"/>
          <w:szCs w:val="20"/>
          <w:color w:val="auto"/>
        </w:rPr>
      </w:pPr>
      <w:r>
        <w:rPr>
          <w:rFonts w:ascii="Arial" w:cs="Arial" w:eastAsia="Arial" w:hAnsi="Arial"/>
          <w:sz w:val="16"/>
          <w:szCs w:val="16"/>
          <w:color w:val="auto"/>
        </w:rPr>
        <w:t>On June 1, 2021, we closed our initial public offering, or IPO, of an aggregate of 11,500,000 shares of common stock at a price to the public of $16.00 per share, which included 1,500,000 shares issued upon the full exercise by the underwriters of their option to purchase additional shares of common stock. We received aggregate net proceeds from the IPO of $167.0 million, after deducting underwriting discounts, commissions, and offering costs of 17.0 million. The common stock began trading on the Nasdaq Global Select Market on May 27, 2021, under the symbol “DAWN”.</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86"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991"/>
        <w:spacing w:after="0" w:line="263" w:lineRule="auto"/>
        <w:rPr>
          <w:sz w:val="20"/>
          <w:szCs w:val="20"/>
          <w:color w:val="auto"/>
        </w:rPr>
      </w:pPr>
      <w:r>
        <w:rPr>
          <w:rFonts w:ascii="Arial" w:cs="Arial" w:eastAsia="Arial" w:hAnsi="Arial"/>
          <w:sz w:val="18"/>
          <w:szCs w:val="18"/>
          <w:color w:val="auto"/>
        </w:rPr>
        <w:t>On the date of the effectiveness of the IPO, we completed the Conversion, which included the following: Day One Holding LLC, converted from a Delaware limited liability company to a Delaware corporation by filing a certificate of conversion with the Secretary of State of the State of Delaware; and changed its name to Day One Biopharmaceuticals, Inc.</w:t>
      </w:r>
    </w:p>
    <w:p>
      <w:pPr>
        <w:spacing w:after="0" w:line="18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As part of the Conversion:</w:t>
      </w:r>
    </w:p>
    <w:p>
      <w:pPr>
        <w:spacing w:after="0" w:line="131" w:lineRule="exact"/>
        <w:rPr>
          <w:sz w:val="20"/>
          <w:szCs w:val="20"/>
          <w:color w:val="auto"/>
        </w:rPr>
      </w:pPr>
    </w:p>
    <w:p>
      <w:pPr>
        <w:ind w:left="1080" w:right="380" w:hanging="424"/>
        <w:spacing w:after="0" w:line="342"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holders of Series A redeemable convertible preferred shares of Day One Holding LLC received one share of our Series A redeemable convertible preferred stock for each Series A redeemable convertible preferred share held immediately prior to the Conversion;</w:t>
      </w:r>
    </w:p>
    <w:p>
      <w:pPr>
        <w:spacing w:after="0" w:line="29" w:lineRule="exact"/>
        <w:rPr>
          <w:rFonts w:ascii="Arial" w:cs="Arial" w:eastAsia="Arial" w:hAnsi="Arial"/>
          <w:sz w:val="16"/>
          <w:szCs w:val="16"/>
          <w:color w:val="auto"/>
        </w:rPr>
      </w:pPr>
    </w:p>
    <w:p>
      <w:pPr>
        <w:ind w:left="1080" w:right="400" w:hanging="424"/>
        <w:spacing w:after="0" w:line="342"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holders of Series B redeemable convertible preferred shares of Day One Holding LLC received one share of our Series B redeemable convertible preferred stock for each Series B redeemable convertible preferred share held immediately prior to the Conversion;</w:t>
      </w:r>
    </w:p>
    <w:p>
      <w:pPr>
        <w:spacing w:after="0" w:line="29" w:lineRule="exact"/>
        <w:rPr>
          <w:rFonts w:ascii="Arial" w:cs="Arial" w:eastAsia="Arial" w:hAnsi="Arial"/>
          <w:sz w:val="16"/>
          <w:szCs w:val="16"/>
          <w:color w:val="auto"/>
        </w:rPr>
      </w:pPr>
    </w:p>
    <w:p>
      <w:pPr>
        <w:ind w:left="1080" w:right="20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holders of common shares of Day One Holding LLC received one share of our common stock for each common share held immediately prior to the Conversion;</w:t>
      </w:r>
    </w:p>
    <w:p>
      <w:pPr>
        <w:spacing w:after="0" w:line="75" w:lineRule="exact"/>
        <w:rPr>
          <w:rFonts w:ascii="Arial" w:cs="Arial" w:eastAsia="Arial" w:hAnsi="Arial"/>
          <w:sz w:val="18"/>
          <w:szCs w:val="18"/>
          <w:color w:val="auto"/>
        </w:rPr>
      </w:pPr>
    </w:p>
    <w:p>
      <w:pPr>
        <w:ind w:left="1080" w:right="60" w:hanging="424"/>
        <w:spacing w:after="0" w:line="25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outstanding incentive share in Day One Holding LLC converted into a number of shares of our common stock based upon a conversion price determined by the board of directors. The conversion price was determined as a difference between the IPO price of $16.00 per share and a participating threshold for each incentive share. We issued 5,433,290 common stock shares upon the conversion of incentive shares of Day One Holding LLC, of which 4,719,605 common stock shares continue to vest as per the original vesting terms of the incentive shares awards.</w:t>
      </w:r>
    </w:p>
    <w:p>
      <w:pPr>
        <w:spacing w:after="0" w:line="80" w:lineRule="exact"/>
        <w:rPr>
          <w:sz w:val="20"/>
          <w:szCs w:val="20"/>
          <w:color w:val="auto"/>
        </w:rPr>
      </w:pPr>
    </w:p>
    <w:p>
      <w:pPr>
        <w:ind w:left="560" w:right="40" w:firstLine="423"/>
        <w:spacing w:after="0" w:line="259" w:lineRule="auto"/>
        <w:rPr>
          <w:sz w:val="20"/>
          <w:szCs w:val="20"/>
          <w:color w:val="auto"/>
        </w:rPr>
      </w:pPr>
      <w:r>
        <w:rPr>
          <w:rFonts w:ascii="Arial" w:cs="Arial" w:eastAsia="Arial" w:hAnsi="Arial"/>
          <w:sz w:val="18"/>
          <w:szCs w:val="18"/>
          <w:color w:val="auto"/>
        </w:rPr>
        <w:t>In connection with the IPO and the Conversion, pursuant to the terms of the Millennium Stock Exchange Agreement and the Plan of Conversion, or the Millennium Stock Exchange Agreement, Millennium Pharmaceuticals, Inc., or Takeda, agreed to exchanged 9,857,143 shares of Series A redeemable convertible preferred stock of DOT Therapeutics-1, Inc., or DOT-1, a subsidiary of Day One Holding LLC, for 6,470,382 shares of our common stock.</w:t>
      </w:r>
    </w:p>
    <w:p>
      <w:pPr>
        <w:spacing w:after="0" w:line="79" w:lineRule="exact"/>
        <w:rPr>
          <w:sz w:val="20"/>
          <w:szCs w:val="20"/>
          <w:color w:val="auto"/>
        </w:rPr>
      </w:pPr>
    </w:p>
    <w:p>
      <w:pPr>
        <w:ind w:left="560" w:firstLine="423"/>
        <w:spacing w:after="0" w:line="257" w:lineRule="auto"/>
        <w:rPr>
          <w:sz w:val="20"/>
          <w:szCs w:val="20"/>
          <w:color w:val="auto"/>
        </w:rPr>
      </w:pPr>
      <w:r>
        <w:rPr>
          <w:rFonts w:ascii="Arial" w:cs="Arial" w:eastAsia="Arial" w:hAnsi="Arial"/>
          <w:sz w:val="18"/>
          <w:szCs w:val="18"/>
          <w:color w:val="auto"/>
        </w:rPr>
        <w:t>We continue to hold all property and assets of Day One Holding LLC and assume all of the debts and obligations of Day One Holding LLC. Effective on the date of the Conversion, the member of the board of directors and officers of Day One Holding LLC became the member of the board of directors and officers of the successor Delaware corporation. The Conversion was a tax-free reorganization that included authorization to issue to capital stock consisting of 500,000,000 shares of common stock, $0.0001 par value per share, and 10,000,000 shares of undesignated preferred stock, $0.0001 par value per share.</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80"/>
          </w:cols>
          <w:pgMar w:left="320" w:top="486"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6172200" cy="23571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72200"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40" w:hanging="424"/>
        <w:spacing w:after="0"/>
        <w:tabs>
          <w:tab w:leader="none" w:pos="5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patients ³ 12 years of age</w:t>
      </w:r>
    </w:p>
    <w:p>
      <w:pPr>
        <w:ind w:left="540" w:hanging="424"/>
        <w:spacing w:after="0" w:line="221" w:lineRule="auto"/>
        <w:tabs>
          <w:tab w:leader="none" w:pos="540" w:val="left"/>
        </w:tabs>
        <w:numPr>
          <w:ilvl w:val="0"/>
          <w:numId w:val="20"/>
        </w:numPr>
        <w:rPr>
          <w:rFonts w:ascii="Arial" w:cs="Arial" w:eastAsia="Arial" w:hAnsi="Arial"/>
          <w:sz w:val="7"/>
          <w:szCs w:val="7"/>
          <w:i w:val="1"/>
          <w:iCs w:val="1"/>
          <w:color w:val="auto"/>
        </w:rPr>
      </w:pPr>
      <w:r>
        <w:rPr>
          <w:rFonts w:ascii="Arial" w:cs="Arial" w:eastAsia="Arial" w:hAnsi="Arial"/>
          <w:sz w:val="14"/>
          <w:szCs w:val="14"/>
          <w:i w:val="1"/>
          <w:iCs w:val="1"/>
          <w:color w:val="auto"/>
        </w:rPr>
        <w:t>Pivotal Phase 2 trial expected to support registration</w:t>
      </w:r>
    </w:p>
    <w:p>
      <w:pPr>
        <w:ind w:left="540" w:hanging="424"/>
        <w:spacing w:after="0" w:line="221" w:lineRule="auto"/>
        <w:tabs>
          <w:tab w:leader="none" w:pos="540" w:val="left"/>
        </w:tabs>
        <w:numPr>
          <w:ilvl w:val="0"/>
          <w:numId w:val="21"/>
        </w:numPr>
        <w:rPr>
          <w:rFonts w:ascii="Arial" w:cs="Arial" w:eastAsia="Arial" w:hAnsi="Arial"/>
          <w:sz w:val="7"/>
          <w:szCs w:val="7"/>
          <w:i w:val="1"/>
          <w:iCs w:val="1"/>
          <w:color w:val="auto"/>
        </w:rPr>
      </w:pPr>
      <w:r>
        <w:rPr>
          <w:rFonts w:ascii="Arial" w:cs="Arial" w:eastAsia="Arial" w:hAnsi="Arial"/>
          <w:sz w:val="14"/>
          <w:szCs w:val="14"/>
          <w:i w:val="1"/>
          <w:iCs w:val="1"/>
          <w:color w:val="auto"/>
        </w:rPr>
        <w:t>DAY101 adult monotherapy Phase 1 dose escalation and expansion trial previously completed</w:t>
      </w:r>
    </w:p>
    <w:p>
      <w:pPr>
        <w:spacing w:after="0" w:line="1" w:lineRule="exact"/>
        <w:rPr>
          <w:sz w:val="20"/>
          <w:szCs w:val="20"/>
          <w:color w:val="auto"/>
        </w:rPr>
      </w:pPr>
    </w:p>
    <w:p>
      <w:pPr>
        <w:ind w:left="540" w:hanging="424"/>
        <w:spacing w:after="0"/>
        <w:tabs>
          <w:tab w:leader="none" w:pos="540" w:val="left"/>
        </w:tabs>
        <w:numPr>
          <w:ilvl w:val="0"/>
          <w:numId w:val="22"/>
        </w:numPr>
        <w:rPr>
          <w:rFonts w:ascii="Arial" w:cs="Arial" w:eastAsia="Arial" w:hAnsi="Arial"/>
          <w:sz w:val="7"/>
          <w:szCs w:val="7"/>
          <w:i w:val="1"/>
          <w:iCs w:val="1"/>
          <w:color w:val="auto"/>
        </w:rPr>
      </w:pPr>
      <w:r>
        <w:rPr>
          <w:rFonts w:ascii="Arial" w:cs="Arial" w:eastAsia="Arial" w:hAnsi="Arial"/>
          <w:sz w:val="14"/>
          <w:szCs w:val="14"/>
          <w:i w:val="1"/>
          <w:iCs w:val="1"/>
          <w:color w:val="auto"/>
        </w:rPr>
        <w:t>Pimasertib Phase 1 dose escalation and expansion trial previously completed</w:t>
      </w:r>
    </w:p>
    <w:p>
      <w:pPr>
        <w:spacing w:after="0" w:line="196" w:lineRule="exact"/>
        <w:rPr>
          <w:sz w:val="20"/>
          <w:szCs w:val="20"/>
          <w:color w:val="auto"/>
        </w:rPr>
      </w:pPr>
    </w:p>
    <w:p>
      <w:pPr>
        <w:ind w:left="120" w:firstLine="991"/>
        <w:spacing w:after="0" w:line="287" w:lineRule="auto"/>
        <w:rPr>
          <w:sz w:val="20"/>
          <w:szCs w:val="20"/>
          <w:color w:val="auto"/>
        </w:rPr>
      </w:pPr>
      <w:r>
        <w:rPr>
          <w:rFonts w:ascii="Arial" w:cs="Arial" w:eastAsia="Arial" w:hAnsi="Arial"/>
          <w:sz w:val="16"/>
          <w:szCs w:val="16"/>
          <w:color w:val="auto"/>
        </w:rPr>
        <w:t>Since our inception in November 2018, we have devoted substantially all of our resources to identifying, acquiring and developing our product candidates and building our pipeline, organizing and staffing our company, business planning, establishing and maintaining our intellectual property portfolio, establishing arrangements with third parties for the manufacture of our product candidates, raising capital and providing general and administrative support for these operations. We do not have any products approved for commercial sale and have not generated any revenues from product sales or any other source and have incurred net losses since commencement of our operations. For the three months ended June 30, 2021 and 2020, we reported a net loss and comprehensive loss of $15.5 million and $2.4 million, respectively. For the six months ended June 30, 2021 and 2020, we reported a net loss and comprehensive loss of $31.6 million and $4.4 million, respectively. We had an accumulated deficit of $86.3 million as of June 30, 2021. We expect a significant increase in expenses and substantial losses for the foreseeable future as we continue our development of, and seek regulatory approvals for our product candidates and commercialize any approved products, seek to expand our product pipeline and invest in our organization. In addition, we expect to continue to incur additional costs associated with operating as a public company, including significant legal, audit, accounting, regulatory, tax-related, director and officer insurance, investor relations and other expenses that we did not incur as a private company.</w:t>
      </w:r>
    </w:p>
    <w:p>
      <w:pPr>
        <w:spacing w:after="0" w:line="172" w:lineRule="exact"/>
        <w:rPr>
          <w:sz w:val="20"/>
          <w:szCs w:val="20"/>
          <w:color w:val="auto"/>
        </w:rPr>
      </w:pPr>
    </w:p>
    <w:p>
      <w:pPr>
        <w:ind w:left="120" w:right="420" w:firstLine="991"/>
        <w:spacing w:after="0" w:line="277" w:lineRule="auto"/>
        <w:rPr>
          <w:sz w:val="20"/>
          <w:szCs w:val="20"/>
          <w:color w:val="auto"/>
        </w:rPr>
      </w:pPr>
      <w:r>
        <w:rPr>
          <w:rFonts w:ascii="Arial" w:cs="Arial" w:eastAsia="Arial" w:hAnsi="Arial"/>
          <w:sz w:val="18"/>
          <w:szCs w:val="18"/>
          <w:color w:val="auto"/>
        </w:rPr>
        <w:t>To date, we have funded our operations through the sale of our redeemable convertible preferred shares, convertible notes and sale of common stock in the IPO.</w:t>
      </w:r>
    </w:p>
    <w:p>
      <w:pPr>
        <w:spacing w:after="0" w:line="170" w:lineRule="exact"/>
        <w:rPr>
          <w:sz w:val="20"/>
          <w:szCs w:val="20"/>
          <w:color w:val="auto"/>
        </w:rPr>
      </w:pPr>
    </w:p>
    <w:p>
      <w:pPr>
        <w:ind w:left="120" w:right="20" w:firstLine="991"/>
        <w:spacing w:after="0" w:line="273" w:lineRule="auto"/>
        <w:rPr>
          <w:sz w:val="20"/>
          <w:szCs w:val="20"/>
          <w:color w:val="auto"/>
        </w:rPr>
      </w:pPr>
      <w:r>
        <w:rPr>
          <w:rFonts w:ascii="Arial" w:cs="Arial" w:eastAsia="Arial" w:hAnsi="Arial"/>
          <w:sz w:val="17"/>
          <w:szCs w:val="17"/>
          <w:color w:val="auto"/>
        </w:rPr>
        <w:t>Cash and cash equivalents totaled $310.0 million as of June 30, 2021. Based on Day One’s current operating plan, management believes it has sufficient capital resources to fund anticipated operations into the second half of 2023. Because of the numerous risks and uncertainties associated with product development, we may never achieve profitability, and unless and until then, we will need to continue to raise additional capital. There are no assurances that we will be successful in obtaining an adequate level of financing to support our business plans. If we are unable to raise capital as and when needed or on attractive terms, we may have to significantly delay, reduce or discontinue the development and commercialization of our product candidates or scale back or terminate our pursuit of new in-licenses and acquisitions.</w:t>
      </w:r>
    </w:p>
    <w:p>
      <w:pPr>
        <w:spacing w:after="0" w:line="178" w:lineRule="exact"/>
        <w:rPr>
          <w:sz w:val="20"/>
          <w:szCs w:val="20"/>
          <w:color w:val="auto"/>
        </w:rPr>
      </w:pPr>
    </w:p>
    <w:p>
      <w:pPr>
        <w:ind w:left="120" w:right="220" w:firstLine="991"/>
        <w:spacing w:after="0" w:line="301" w:lineRule="auto"/>
        <w:rPr>
          <w:sz w:val="20"/>
          <w:szCs w:val="20"/>
          <w:color w:val="auto"/>
        </w:rPr>
      </w:pPr>
      <w:r>
        <w:rPr>
          <w:rFonts w:ascii="Arial" w:cs="Arial" w:eastAsia="Arial" w:hAnsi="Arial"/>
          <w:sz w:val="16"/>
          <w:szCs w:val="16"/>
          <w:color w:val="auto"/>
        </w:rPr>
        <w:t>We do not own or operate, and currently have no plans to establish, any manufacturing facilities. We rely, and expect to continue to rely, on third parties for the manufacture of our product candidates for clinical testing, as well as for commercial manufacturing if any of our product candidates obtain marketing approval. As we advance our product candidates through development, we will explore adding backup suppliers for the API, drug product, packaging and formulation for each of our product candidates to protect against any potential supply disruptions.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86"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17" w:lineRule="exact"/>
        <w:rPr>
          <w:sz w:val="20"/>
          <w:szCs w:val="20"/>
          <w:color w:val="auto"/>
        </w:rPr>
      </w:pPr>
    </w:p>
    <w:p>
      <w:pPr>
        <w:ind w:left="120" w:right="60" w:firstLine="991"/>
        <w:spacing w:after="0" w:line="257" w:lineRule="auto"/>
        <w:rPr>
          <w:sz w:val="20"/>
          <w:szCs w:val="20"/>
          <w:color w:val="auto"/>
        </w:rPr>
      </w:pPr>
      <w:r>
        <w:rPr>
          <w:rFonts w:ascii="Arial" w:cs="Arial" w:eastAsia="Arial" w:hAnsi="Arial"/>
          <w:sz w:val="18"/>
          <w:szCs w:val="18"/>
          <w:color w:val="auto"/>
        </w:rPr>
        <w:t>The degree to which COVID-19 impacts our business operations, research and development programs and financial condition will depend on future developments, including the ultimate duration and/or severity of the outbreak, the impact of any resurgences and new strains that emerge, actions by government authorities to contain the spread of the virus, the timing, availability, and effectiveness of any vaccines, and when and to what extent normal economic and operating conditions can resume. Our management team continues to actively monitor this health crisis and its effects on our operations, key vendors and workforce.</w:t>
      </w:r>
    </w:p>
    <w:p>
      <w:pPr>
        <w:spacing w:after="0" w:line="188" w:lineRule="exact"/>
        <w:rPr>
          <w:sz w:val="20"/>
          <w:szCs w:val="20"/>
          <w:color w:val="auto"/>
        </w:rPr>
      </w:pPr>
    </w:p>
    <w:p>
      <w:pPr>
        <w:ind w:left="120" w:right="20" w:firstLine="991"/>
        <w:spacing w:after="0" w:line="290" w:lineRule="auto"/>
        <w:rPr>
          <w:sz w:val="20"/>
          <w:szCs w:val="20"/>
          <w:color w:val="auto"/>
        </w:rPr>
      </w:pPr>
      <w:r>
        <w:rPr>
          <w:rFonts w:ascii="Arial" w:cs="Arial" w:eastAsia="Arial" w:hAnsi="Arial"/>
          <w:sz w:val="16"/>
          <w:szCs w:val="16"/>
          <w:color w:val="auto"/>
        </w:rPr>
        <w:t>We conduct our clinical trials in the U.S. and internationally in geographic regions that are impacted by COVID-19 to varying degrees. We expect to see volatility in services rendered from our third-party service providers as local governments respond to resurgences and the emergence of new strains, each of which may result in the prolonged reinstitution, extension or enhancement of protective measures. The American Cancer Society has also reported that the pandemic has led to declines in screening, diagnosis and treatment for cancer patients, which will impact the enrollment of patients in clinical trials targeting early-stage cancers and retention of patients overall in our trials. Patient safety remains our paramount concern and we continue to collaborate with our existing and with new investigational sites to implement measures to minimize disruptions to patients and ensure continued access to treatment, in accordance with health authority guidance. We are unable to predict the ultimate impact of this pandemic on our ongoing and planned clinical programs. With respect to manufacturing and supply, we do not anticipate any disruptions to our drug supply chain.</w:t>
      </w:r>
    </w:p>
    <w:p>
      <w:pPr>
        <w:spacing w:after="0" w:line="165" w:lineRule="exact"/>
        <w:rPr>
          <w:sz w:val="20"/>
          <w:szCs w:val="20"/>
          <w:color w:val="auto"/>
        </w:rPr>
      </w:pPr>
    </w:p>
    <w:p>
      <w:pPr>
        <w:ind w:left="120" w:right="400" w:firstLine="991"/>
        <w:spacing w:after="0" w:line="259" w:lineRule="auto"/>
        <w:rPr>
          <w:sz w:val="20"/>
          <w:szCs w:val="20"/>
          <w:color w:val="auto"/>
        </w:rPr>
      </w:pPr>
      <w:r>
        <w:rPr>
          <w:rFonts w:ascii="Arial" w:cs="Arial" w:eastAsia="Arial" w:hAnsi="Arial"/>
          <w:sz w:val="18"/>
          <w:szCs w:val="18"/>
          <w:color w:val="auto"/>
        </w:rPr>
        <w:t>The full impact of the COVID-19 outbreak remains highly uncertain and subject to change. The safety, health and well-being of our employees remains a primary concern, and we instituted remote work arrangements for our office-based employees. There are many uncertainties around the COVID-19 pandemic and future developments, which are unpredictable, may result in a material, negative impact to our operations and financial condition.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agreements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Takeda asset agreement</w:t>
      </w:r>
    </w:p>
    <w:p>
      <w:pPr>
        <w:spacing w:after="0" w:line="117" w:lineRule="exact"/>
        <w:rPr>
          <w:sz w:val="20"/>
          <w:szCs w:val="20"/>
          <w:color w:val="auto"/>
        </w:rPr>
      </w:pPr>
    </w:p>
    <w:p>
      <w:pPr>
        <w:ind w:left="560" w:firstLine="423"/>
        <w:spacing w:after="0" w:line="268" w:lineRule="auto"/>
        <w:rPr>
          <w:sz w:val="20"/>
          <w:szCs w:val="20"/>
          <w:color w:val="auto"/>
        </w:rPr>
      </w:pPr>
      <w:r>
        <w:rPr>
          <w:rFonts w:ascii="Arial" w:cs="Arial" w:eastAsia="Arial" w:hAnsi="Arial"/>
          <w:sz w:val="17"/>
          <w:szCs w:val="17"/>
          <w:color w:val="auto"/>
        </w:rPr>
        <w:t>On December 16, 2019, DOT-1, our subsidiary, entered into an asset purchase agreement, or the Takeda Asset Agreement, with Millennium Pharmaceuticals, Inc., an affiliate of Takeda Pharmaceutical Company Limited, or Takeda. Pursuant to the Takeda Asset Agreement, we purchased certain technology rights and know-how related to TAK-580 (which is now DAY101) which was being developed to treat patients with primary brain tumors or brain metastases of solid tumors. We also received clinical inventory supplies to use in our research and development activities of such RAF-inhibitor and an assigned investigator clinical trial agreement. Takeda also assigned to us its exclusive license agreement, or the Viracta License Agreement, with Sunesis Pharmaceuticals, Inc. (now Viracta Therapeutics, Inc. or Viracta). Takeda also granted us a worldwide, sublicensable exclusive license under specified patents and know-how and non-exclusive license under other patents and know-how generated by Takeda under the Takeda Asset Agreement or otherwise through practice of the technology assigned or licensed to us under the Takeda Asset Agreement, in each case, to develop, manufacture and commercialize products containing DAY101 in all fields of use. We also granted Takeda an exclusive license under the technology assigned or licensed to us under the Takeda Asset Agreement and a non-exclusive license under any patents and know-how generated by us under the Takeda Asset Agreement or otherwise through the practice of the technology assigned or licensed to us under the Takeda Asset Agreement, in each case, only for Takeda to develop, manufacture and commercialize products containing DAY101 in the field excluded from our license grant. This grant back license to Takeda was terminated at the time of Conversion in connection with the Millennium Stock Exchange Agreement.</w:t>
      </w:r>
    </w:p>
    <w:p>
      <w:pPr>
        <w:spacing w:after="0" w:line="76" w:lineRule="exact"/>
        <w:rPr>
          <w:sz w:val="20"/>
          <w:szCs w:val="20"/>
          <w:color w:val="auto"/>
        </w:rPr>
      </w:pPr>
    </w:p>
    <w:p>
      <w:pPr>
        <w:ind w:left="560" w:firstLine="423"/>
        <w:spacing w:after="0" w:line="254" w:lineRule="auto"/>
        <w:rPr>
          <w:sz w:val="20"/>
          <w:szCs w:val="20"/>
          <w:color w:val="auto"/>
        </w:rPr>
      </w:pPr>
      <w:r>
        <w:rPr>
          <w:rFonts w:ascii="Arial" w:cs="Arial" w:eastAsia="Arial" w:hAnsi="Arial"/>
          <w:sz w:val="18"/>
          <w:szCs w:val="18"/>
          <w:color w:val="auto"/>
        </w:rPr>
        <w:t>In consideration for the sale and assignment of assets and the grant of the license under the Takeda Asset Agreement, DOT-1 made an upfront payment of $1.0 million in cash and issued 9,857,143 shares of Series A redeemable convertible preferred stock in DOT-1. The fair value of issued shares was estimated as $9.9 million, based on the price paid by other investors for issued shares in the Series A financing of DOT-1 Therapeutics, Inc. Pursuant to the terms of the Millennium Stock Exchange Agreement, Takeda agreed to exchange the 9,857,143 shares of Series A redeemable convertible preferred stock of DOT-1, Inc. for 6,470,382 shares of the Company’s common stock pursuant to and contingent upon the effectiveness of the Conversion (refer to Note 1). The Company recorded a total of $10.9 million consideration for license and clinical supplies as research and development expenses.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86"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Viracta license agreement</w:t>
      </w:r>
    </w:p>
    <w:p>
      <w:pPr>
        <w:spacing w:after="0" w:line="117" w:lineRule="exact"/>
        <w:rPr>
          <w:sz w:val="20"/>
          <w:szCs w:val="20"/>
          <w:color w:val="auto"/>
        </w:rPr>
      </w:pPr>
    </w:p>
    <w:p>
      <w:pPr>
        <w:jc w:val="both"/>
        <w:ind w:left="560" w:right="400" w:firstLine="423"/>
        <w:spacing w:after="0" w:line="286" w:lineRule="auto"/>
        <w:rPr>
          <w:sz w:val="20"/>
          <w:szCs w:val="20"/>
          <w:color w:val="auto"/>
        </w:rPr>
      </w:pPr>
      <w:r>
        <w:rPr>
          <w:rFonts w:ascii="Arial" w:cs="Arial" w:eastAsia="Arial" w:hAnsi="Arial"/>
          <w:sz w:val="17"/>
          <w:szCs w:val="17"/>
          <w:color w:val="auto"/>
        </w:rPr>
        <w:t>On December 16, 2019, we amended and restated the Viracta License Agreement that was assigned to us pursuant to the Takeda Asset Agreement. Under the Viracta License Agreement, we received a worldwide exclusive license under specified patent rights and know-how to develop, use, manufacture, and commercialize products containing compounds binding the RAF protein family.</w:t>
      </w:r>
    </w:p>
    <w:p>
      <w:pPr>
        <w:spacing w:after="0" w:line="165" w:lineRule="exact"/>
        <w:rPr>
          <w:sz w:val="20"/>
          <w:szCs w:val="20"/>
          <w:color w:val="auto"/>
        </w:rPr>
      </w:pPr>
    </w:p>
    <w:p>
      <w:pPr>
        <w:ind w:left="560" w:firstLine="423"/>
        <w:spacing w:after="0" w:line="255" w:lineRule="auto"/>
        <w:rPr>
          <w:sz w:val="20"/>
          <w:szCs w:val="20"/>
          <w:color w:val="auto"/>
        </w:rPr>
      </w:pPr>
      <w:r>
        <w:rPr>
          <w:rFonts w:ascii="Arial" w:cs="Arial" w:eastAsia="Arial" w:hAnsi="Arial"/>
          <w:sz w:val="18"/>
          <w:szCs w:val="18"/>
          <w:color w:val="auto"/>
        </w:rPr>
        <w:t>Under the Viracta License Agreement, we paid $2.0 million upfront in cash to Viracta, which was recorded as research and development expenses. We made a milestone payment of $3.0 million to Viracta in February 2021, which is recorded was research and development expenses when the milestone was achieved in April 2021. We are also required to make milestone payments of up to $54 million upon achievement of specified development and regulatory milestones. The total amount of consideration for the assets and the license acquired related to the Takeda Asset Agreement and Viracta License Agreement of $12.9 million was recorded as research and development expenses in the consolidated income statement in December 2019.</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License agreement with Merck KGaA, Darmstadt, Germany</w:t>
      </w:r>
    </w:p>
    <w:p>
      <w:pPr>
        <w:spacing w:after="0" w:line="117" w:lineRule="exact"/>
        <w:rPr>
          <w:sz w:val="20"/>
          <w:szCs w:val="20"/>
          <w:color w:val="auto"/>
        </w:rPr>
      </w:pPr>
    </w:p>
    <w:p>
      <w:pPr>
        <w:ind w:left="560" w:right="40" w:firstLine="423"/>
        <w:spacing w:after="0" w:line="287" w:lineRule="auto"/>
        <w:rPr>
          <w:sz w:val="20"/>
          <w:szCs w:val="20"/>
          <w:color w:val="auto"/>
        </w:rPr>
      </w:pPr>
      <w:r>
        <w:rPr>
          <w:rFonts w:ascii="Arial" w:cs="Arial" w:eastAsia="Arial" w:hAnsi="Arial"/>
          <w:sz w:val="16"/>
          <w:szCs w:val="16"/>
          <w:color w:val="auto"/>
        </w:rPr>
        <w:t>On February 10, 2021, DOT Therapeutics-2, or DOT-2, our subsidiary, entered into a license agreement, or MRKDG License Agreement, with Merck KGaA, Darmstadt, Germany, a pharmaceutical corporation located in Darmstadt, Germany. Under the MRKDG License Agreement, Merck KGaA, Darmstadt, Germany as licensor granted to DOT-2, an exclusive worldwide license, with the right to grant sublicenses through multiple tiers, under specified patent rights and know-how for us to research, develop, manufacture and commercialize products containing and comprising the pimasertib and MSC2015103B compounds. Our exclusive license grant is subject to a non-exclusive license granted by Merck KGaA, Darmstadt, Germany’s affiliate to a cancer research organization and Merck KGaA, Darmstadt, Germany retains the right to conduct, directly or indirectly, certain ongoing clinical studies relating to pimasertib. In consideration for the rights granted under the MRKDG License Agreement, we made an upfront payment of $8.0 million to the licensor, which was recorded as research and development expenses. We may also be required to make additional payments of up to $367.0 million based upon the achievement of specified development, regulatory, and commercial milestones, as well a high, single-digit royalty percentage on future net sales of licensed products, if any. Milestones and royalties are contingent upon future events and will be recorded when the milestones are achieved and when payments are due.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86"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results of operations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120" w:right="120" w:firstLine="991"/>
        <w:spacing w:after="0" w:line="342" w:lineRule="auto"/>
        <w:rPr>
          <w:sz w:val="20"/>
          <w:szCs w:val="20"/>
          <w:color w:val="auto"/>
        </w:rPr>
      </w:pPr>
      <w:r>
        <w:rPr>
          <w:rFonts w:ascii="Arial" w:cs="Arial" w:eastAsia="Arial" w:hAnsi="Arial"/>
          <w:sz w:val="16"/>
          <w:szCs w:val="16"/>
          <w:color w:val="auto"/>
        </w:rPr>
        <w:t>Research and development expenses consist primarily of external and internal expenses incurred for our research activities, including our discovery and in-licensing undertakings, and the development of our lead product candidate, DAY101 and our second product candidate, pimasertib.</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External expenses include:</w:t>
      </w:r>
    </w:p>
    <w:p>
      <w:pPr>
        <w:spacing w:after="0" w:line="131"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associated with acquiring technology and intellectual property licenses that have no alternative future uses;</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incurred under agreements with third-party contract research organizations, or CROs, CMOs and other third parties that conduct clinical trials on our behalf;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costs associated with our research and development programs, including laboratory materials and supplies.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Internal expenses include:</w:t>
      </w:r>
    </w:p>
    <w:p>
      <w:pPr>
        <w:spacing w:after="0" w:line="131" w:lineRule="exact"/>
        <w:rPr>
          <w:sz w:val="20"/>
          <w:szCs w:val="20"/>
          <w:color w:val="auto"/>
        </w:rPr>
      </w:pPr>
    </w:p>
    <w:p>
      <w:pPr>
        <w:ind w:left="1080" w:right="20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employee-related costs, including salaries, benefits and share-based compensation expense, for our research and development personnel;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facilities and other overhead expenses, including expenses for rent and facilities maintenance, and amortization.</w:t>
      </w:r>
    </w:p>
    <w:p>
      <w:pPr>
        <w:spacing w:after="0" w:line="225" w:lineRule="exact"/>
        <w:rPr>
          <w:sz w:val="20"/>
          <w:szCs w:val="20"/>
          <w:color w:val="auto"/>
        </w:rPr>
      </w:pPr>
    </w:p>
    <w:p>
      <w:pPr>
        <w:ind w:left="120" w:firstLine="991"/>
        <w:spacing w:after="0" w:line="275" w:lineRule="auto"/>
        <w:rPr>
          <w:sz w:val="20"/>
          <w:szCs w:val="20"/>
          <w:color w:val="auto"/>
        </w:rPr>
      </w:pPr>
      <w:r>
        <w:rPr>
          <w:rFonts w:ascii="Arial" w:cs="Arial" w:eastAsia="Arial" w:hAnsi="Arial"/>
          <w:sz w:val="17"/>
          <w:szCs w:val="17"/>
          <w:color w:val="auto"/>
        </w:rPr>
        <w:t>We expense research and development expenses as incurred. We track external costs by program, which currently consist of expenses for our DAY101 program and our pimasertib program. Our pimasertib product candidate was licensed from Merck KGaA, Darmstadt, Germany in February 2021, and we did not have significant external costs for pimasertib during the three months ended March 31, 2021. In the future, external expenses for any additional clinical programs will separately be broken out. However, we do not track indirect costs on a program specific basis because these costs are deployed across multiple programs and, as such, are not separately classified.</w:t>
      </w:r>
    </w:p>
    <w:p>
      <w:pPr>
        <w:spacing w:after="0" w:line="176" w:lineRule="exact"/>
        <w:rPr>
          <w:sz w:val="20"/>
          <w:szCs w:val="20"/>
          <w:color w:val="auto"/>
        </w:rPr>
      </w:pPr>
    </w:p>
    <w:p>
      <w:pPr>
        <w:ind w:left="120" w:right="260" w:firstLine="991"/>
        <w:spacing w:after="0" w:line="301" w:lineRule="auto"/>
        <w:rPr>
          <w:sz w:val="20"/>
          <w:szCs w:val="20"/>
          <w:color w:val="auto"/>
        </w:rPr>
      </w:pPr>
      <w:r>
        <w:rPr>
          <w:rFonts w:ascii="Arial" w:cs="Arial" w:eastAsia="Arial" w:hAnsi="Arial"/>
          <w:sz w:val="16"/>
          <w:szCs w:val="16"/>
          <w:color w:val="auto"/>
        </w:rPr>
        <w:t>Research and development activities are central to our business model. We expect that our research and development expenses will increase substantially for the foreseeable future as we continue to implement our business strategy, advance DAY101 and pimasertib through clinical trials and conduct larger clinical trials, expand our research and development efforts, and identify, acquire and develop additional product candidates, particularly as more of our product candidates move into clinical development and later stages of clinical development.</w:t>
      </w:r>
    </w:p>
    <w:p>
      <w:pPr>
        <w:spacing w:after="0" w:line="157" w:lineRule="exact"/>
        <w:rPr>
          <w:sz w:val="20"/>
          <w:szCs w:val="20"/>
          <w:color w:val="auto"/>
        </w:rPr>
      </w:pPr>
    </w:p>
    <w:p>
      <w:pPr>
        <w:ind w:left="120" w:right="80" w:firstLine="991"/>
        <w:spacing w:after="0" w:line="257" w:lineRule="auto"/>
        <w:rPr>
          <w:sz w:val="20"/>
          <w:szCs w:val="20"/>
          <w:color w:val="auto"/>
        </w:rPr>
      </w:pPr>
      <w:r>
        <w:rPr>
          <w:rFonts w:ascii="Arial" w:cs="Arial" w:eastAsia="Arial" w:hAnsi="Arial"/>
          <w:sz w:val="18"/>
          <w:szCs w:val="18"/>
          <w:color w:val="auto"/>
        </w:rPr>
        <w:t>We cannot reasonably determine the duration and costs to complete future clinical trials of DAY101, pimasertib or any other product candidate we may develop or acquire, or to what extent we will generate revenue from the commercialization and sale of any of our product candidates. The successful development and commercialization of our product candidates, as well as our ability to obtain the necessary regulatory and marketing approvals are highly uncertain. This is due to numerous risks and uncertainties associated with developing new drugs, many of which are outside of our control, including:</w:t>
      </w:r>
    </w:p>
    <w:p>
      <w:pPr>
        <w:spacing w:after="0" w:line="93" w:lineRule="exact"/>
        <w:rPr>
          <w:sz w:val="20"/>
          <w:szCs w:val="20"/>
          <w:color w:val="auto"/>
        </w:rPr>
      </w:pPr>
    </w:p>
    <w:p>
      <w:pPr>
        <w:ind w:left="1080" w:right="18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scope, rate of progress, expense and results of preclinical development activities, as well as of any future clinical trials of our product candidates, and other research and development activities we may conduct;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uncertainties in clinical trial design;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of trials required for approval;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drop-out or discontinuation rates of patients, particularly in light of the COVID-19 pandemic environment;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safety and efficacy profiles of our product candidates;</w:t>
      </w:r>
    </w:p>
    <w:p>
      <w:pPr>
        <w:spacing w:after="0" w:line="130"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receipt and terms of any approvals from applicable regulatory authorities, including the FDA, European Medicines Agency, Health Canada or other regulatory agencies of the investigational NDAs, clinical trial applications or other regulatory filings for DAY101 and future product candidates;</w:t>
      </w:r>
    </w:p>
    <w:p>
      <w:pPr>
        <w:sectPr>
          <w:pgSz w:w="11900" w:h="16838" w:orient="portrait"/>
          <w:cols w:equalWidth="0" w:num="1">
            <w:col w:w="11120"/>
          </w:cols>
          <w:pgMar w:left="320" w:top="486" w:right="459" w:bottom="1440" w:gutter="0" w:footer="0" w:header="0"/>
        </w:sectPr>
      </w:pP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120"/>
          </w:cols>
          <w:pgMar w:left="320" w:top="486" w:right="45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obtaining and maintaining intellectual property protection and regulatory exclusivity for our product candidates;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establishing clinical and commercial manufacturing capabilities or making arrangements with third-party manufacturers in order to ensure that we or our third-party manufacturers are able to make product successfully;</w:t>
      </w:r>
    </w:p>
    <w:p>
      <w:pPr>
        <w:spacing w:after="0" w:line="75" w:lineRule="exact"/>
        <w:rPr>
          <w:rFonts w:ascii="Arial" w:cs="Arial" w:eastAsia="Arial" w:hAnsi="Arial"/>
          <w:sz w:val="18"/>
          <w:szCs w:val="18"/>
          <w:color w:val="auto"/>
        </w:rPr>
      </w:pPr>
    </w:p>
    <w:p>
      <w:pPr>
        <w:ind w:left="1080" w:right="76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retention and expansion of a workforce of experienced scientists and others to continue research and development of our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products following any marketing approvals.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significant and changing government regulation and regulatory guidance;</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of any business interruptions to our operations or to those of the third parties with whom we work, particularly considering the COVID-19 pandemic environment;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extent to which we establish additional strategic collaborations or other arrangements.</w:t>
      </w:r>
    </w:p>
    <w:p>
      <w:pPr>
        <w:spacing w:after="0" w:line="225" w:lineRule="exact"/>
        <w:rPr>
          <w:sz w:val="20"/>
          <w:szCs w:val="20"/>
          <w:color w:val="auto"/>
        </w:rPr>
      </w:pPr>
    </w:p>
    <w:p>
      <w:pPr>
        <w:ind w:left="120" w:right="60" w:firstLine="991"/>
        <w:spacing w:after="0" w:line="257" w:lineRule="auto"/>
        <w:rPr>
          <w:sz w:val="20"/>
          <w:szCs w:val="20"/>
          <w:color w:val="auto"/>
        </w:rPr>
      </w:pPr>
      <w:r>
        <w:rPr>
          <w:rFonts w:ascii="Arial" w:cs="Arial" w:eastAsia="Arial" w:hAnsi="Arial"/>
          <w:sz w:val="18"/>
          <w:szCs w:val="18"/>
          <w:color w:val="auto"/>
        </w:rPr>
        <w:t>A change in estimates of any of these factors could mean a significant change in the costs and timing associated with the development of our current and future product candidates. For example, if the FDA or another regulatory authority were to require us to conduct clinical trials beyond those that we currently anticipate will be required for the completion of clinical development of a product candidate, or if we experience significant delays in our clinical trials due to patient enrollment or other reasons, we could be required to expend significant additional financial resources and time on the completion of clinical development.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120" w:firstLine="991"/>
        <w:spacing w:after="0" w:line="296" w:lineRule="auto"/>
        <w:rPr>
          <w:sz w:val="20"/>
          <w:szCs w:val="20"/>
          <w:color w:val="auto"/>
        </w:rPr>
      </w:pPr>
      <w:r>
        <w:rPr>
          <w:rFonts w:ascii="Arial" w:cs="Arial" w:eastAsia="Arial" w:hAnsi="Arial"/>
          <w:sz w:val="16"/>
          <w:szCs w:val="16"/>
          <w:color w:val="auto"/>
        </w:rPr>
        <w:t>General and administrative expenses consist primarily of personnel-related costs, legal and professional service costs, insurance costs, and facility-related costs. Personnel-related costs include salaries, bonuses, benefits, stock-based compensation, travel expenses, and other related costs, for personnel in our executive, finance, corporate, business development and administrative functions. Legal and professional service expenses include legal fees related to intellectual property and corporate matters; professional fees for accounting, auditing, tax, human resources, business development, and other consulting services, stock-based compensation issued to certain nonemployee consultants, and travel expenses and facilities-related expenses.</w:t>
      </w:r>
    </w:p>
    <w:p>
      <w:pPr>
        <w:spacing w:after="0" w:line="161" w:lineRule="exact"/>
        <w:rPr>
          <w:sz w:val="20"/>
          <w:szCs w:val="20"/>
          <w:color w:val="auto"/>
        </w:rPr>
      </w:pPr>
    </w:p>
    <w:p>
      <w:pPr>
        <w:ind w:left="120" w:right="20" w:firstLine="991"/>
        <w:spacing w:after="0" w:line="279" w:lineRule="auto"/>
        <w:rPr>
          <w:sz w:val="20"/>
          <w:szCs w:val="20"/>
          <w:color w:val="auto"/>
        </w:rPr>
      </w:pPr>
      <w:r>
        <w:rPr>
          <w:rFonts w:ascii="Arial" w:cs="Arial" w:eastAsia="Arial" w:hAnsi="Arial"/>
          <w:sz w:val="17"/>
          <w:szCs w:val="17"/>
          <w:color w:val="auto"/>
        </w:rPr>
        <w:t>We expect that our general and administrative expenses will increase substantially for the foreseeable future as we anticipate an increase in our personnel headcount to support expansion of research and development efforts for our product candidates, as well as to support our operations generally. We also expect an increase in expenses associated with being a public company, including costs related to compliance with the Nasdaq and SEC requirements; additional director and officer insurance costs; and investor and public relations costs.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fair value of derivative tranche liability</w:t>
      </w:r>
    </w:p>
    <w:p>
      <w:pPr>
        <w:spacing w:after="0" w:line="117" w:lineRule="exact"/>
        <w:rPr>
          <w:sz w:val="20"/>
          <w:szCs w:val="20"/>
          <w:color w:val="auto"/>
        </w:rPr>
      </w:pPr>
    </w:p>
    <w:p>
      <w:pPr>
        <w:ind w:left="120" w:right="20" w:firstLine="991"/>
        <w:spacing w:after="0" w:line="275" w:lineRule="auto"/>
        <w:rPr>
          <w:sz w:val="20"/>
          <w:szCs w:val="20"/>
          <w:color w:val="auto"/>
        </w:rPr>
      </w:pPr>
      <w:r>
        <w:rPr>
          <w:rFonts w:ascii="Arial" w:cs="Arial" w:eastAsia="Arial" w:hAnsi="Arial"/>
          <w:sz w:val="17"/>
          <w:szCs w:val="17"/>
          <w:color w:val="auto"/>
        </w:rPr>
        <w:t>Our obligation to issue additional redeemable convertible preferred shares upon the occurrence of certain milestone events represented a freestanding financial instrument. The instrument was classified as a liability in the consolidated balance sheets and re-measured at each reporting period end and at the settlement date. Changes in the fair value were recognized in other income (expense) in the Consolidated Statements of Operations and Comprehensive Loss. The tranches were settled and reclassified to redeemable convertible preferred shares upon our issuance of additional Series A redeemable convertible preferred shares in November and December 2020.</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86"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 attributable to redeemable convertible noncontrolling interest</w:t>
      </w:r>
    </w:p>
    <w:p>
      <w:pPr>
        <w:spacing w:after="0" w:line="117"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Net loss attributable to redeemable convertible noncontrolling interest represented a portion of the net loss that is not allocated to us in our subsidiary, DOT-1. On May 26, 2021, in connection with the terms of the Millennium Stock Exchange Agreement, Takeda exchanged its shares in DOT-1 for our common stock. At that time, redeemable convertible noncontrolling interest was extinguished and DOT-1 became our wholly owned subsidiary.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Exchange of redeemable noncontrolling interest shares – deemed dividend</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For the three months ended June 30, 2021, as a result of exchange of Takeda shares, we recognized an extinguishment loss</w:t>
      </w:r>
    </w:p>
    <w:p>
      <w:pPr>
        <w:spacing w:after="0" w:line="23" w:lineRule="exact"/>
        <w:rPr>
          <w:sz w:val="20"/>
          <w:szCs w:val="20"/>
          <w:color w:val="auto"/>
        </w:rPr>
      </w:pPr>
    </w:p>
    <w:p>
      <w:pPr>
        <w:jc w:val="both"/>
        <w:ind w:left="120" w:right="280"/>
        <w:spacing w:after="0" w:line="277" w:lineRule="auto"/>
        <w:rPr>
          <w:sz w:val="20"/>
          <w:szCs w:val="20"/>
          <w:color w:val="auto"/>
        </w:rPr>
      </w:pPr>
      <w:r>
        <w:rPr>
          <w:rFonts w:ascii="Arial" w:cs="Arial" w:eastAsia="Arial" w:hAnsi="Arial"/>
          <w:sz w:val="17"/>
          <w:szCs w:val="17"/>
          <w:color w:val="auto"/>
        </w:rPr>
        <w:t>of approximately $100.0 million to additional paid in capital, which was calculated as a difference between the fair value of common stock issued to Takeda in the conversion and the carrying value of redeemable noncontrolling interest at the conversion date. The all-stock, non-cash exchange was treated as a deemed dividend in the calculation of net loss attributable to common stockholders and net loss per share.</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80"/>
          </w:cols>
          <w:pgMar w:left="320" w:top="486" w:right="4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three months ended June 30, 2021 and 2020</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results of operations for the three months ended June 30, 2021 and 2020:</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4"/>
          </w:tcPr>
          <w:p>
            <w:pPr>
              <w:jc w:val="right"/>
              <w:ind w:right="481"/>
              <w:spacing w:after="0"/>
              <w:rPr>
                <w:sz w:val="20"/>
                <w:szCs w:val="20"/>
                <w:color w:val="auto"/>
              </w:rPr>
            </w:pPr>
            <w:r>
              <w:rPr>
                <w:rFonts w:ascii="Arial" w:cs="Arial" w:eastAsia="Arial" w:hAnsi="Arial"/>
                <w:sz w:val="14"/>
                <w:szCs w:val="14"/>
                <w:b w:val="1"/>
                <w:bCs w:val="1"/>
                <w:color w:val="auto"/>
                <w:w w:val="99"/>
              </w:rPr>
              <w:t>Three Months Ended</w:t>
            </w: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34"/>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4"/>
                <w:szCs w:val="14"/>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4"/>
                <w:szCs w:val="14"/>
                <w:color w:val="auto"/>
              </w:rPr>
            </w:pPr>
          </w:p>
        </w:tc>
        <w:tc>
          <w:tcPr>
            <w:tcW w:w="1120" w:type="dxa"/>
            <w:vAlign w:val="bottom"/>
            <w:gridSpan w:val="2"/>
          </w:tcPr>
          <w:p>
            <w:pPr>
              <w:jc w:val="right"/>
              <w:ind w:right="381"/>
              <w:spacing w:after="0"/>
              <w:rPr>
                <w:sz w:val="20"/>
                <w:szCs w:val="20"/>
                <w:color w:val="auto"/>
              </w:rPr>
            </w:pPr>
            <w:r>
              <w:rPr>
                <w:rFonts w:ascii="Arial" w:cs="Arial" w:eastAsia="Arial" w:hAnsi="Arial"/>
                <w:sz w:val="14"/>
                <w:szCs w:val="14"/>
                <w:b w:val="1"/>
                <w:bCs w:val="1"/>
                <w:color w:val="auto"/>
              </w:rPr>
              <w:t>$ Change</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1"/>
              <w:spacing w:after="0"/>
              <w:rPr>
                <w:sz w:val="20"/>
                <w:szCs w:val="20"/>
                <w:color w:val="auto"/>
              </w:rPr>
            </w:pPr>
            <w:r>
              <w:rPr>
                <w:rFonts w:ascii="Arial" w:cs="Arial" w:eastAsia="Arial" w:hAnsi="Arial"/>
                <w:sz w:val="18"/>
                <w:szCs w:val="18"/>
                <w:color w:val="auto"/>
              </w:rPr>
              <w:t>9,914</w:t>
            </w:r>
          </w:p>
        </w:tc>
        <w:tc>
          <w:tcPr>
            <w:tcW w:w="940" w:type="dxa"/>
            <w:vAlign w:val="bottom"/>
            <w:gridSpan w:val="2"/>
          </w:tcPr>
          <w:p>
            <w:pPr>
              <w:jc w:val="right"/>
              <w:ind w:right="301"/>
              <w:spacing w:after="0"/>
              <w:rPr>
                <w:sz w:val="20"/>
                <w:szCs w:val="20"/>
                <w:color w:val="auto"/>
              </w:rPr>
            </w:pPr>
            <w:r>
              <w:rPr>
                <w:rFonts w:ascii="Arial" w:cs="Arial" w:eastAsia="Arial" w:hAnsi="Arial"/>
                <w:sz w:val="18"/>
                <w:szCs w:val="18"/>
                <w:color w:val="auto"/>
                <w:w w:val="89"/>
              </w:rPr>
              <w:t>$ 1,437</w:t>
            </w:r>
          </w:p>
        </w:tc>
        <w:tc>
          <w:tcPr>
            <w:tcW w:w="1120" w:type="dxa"/>
            <w:vAlign w:val="bottom"/>
            <w:gridSpan w:val="2"/>
          </w:tcPr>
          <w:p>
            <w:pPr>
              <w:jc w:val="right"/>
              <w:ind w:right="301"/>
              <w:spacing w:after="0"/>
              <w:rPr>
                <w:sz w:val="20"/>
                <w:szCs w:val="20"/>
                <w:color w:val="auto"/>
              </w:rPr>
            </w:pPr>
            <w:r>
              <w:rPr>
                <w:rFonts w:ascii="Arial" w:cs="Arial" w:eastAsia="Arial" w:hAnsi="Arial"/>
                <w:sz w:val="18"/>
                <w:szCs w:val="18"/>
                <w:color w:val="auto"/>
              </w:rPr>
              <w:t>$   8,477</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5,525</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872</w:t>
            </w:r>
          </w:p>
        </w:tc>
        <w:tc>
          <w:tcPr>
            <w:tcW w:w="112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4,653</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720" w:type="dxa"/>
            <w:vAlign w:val="bottom"/>
            <w:vMerge w:val="restart"/>
          </w:tcPr>
          <w:p>
            <w:pPr>
              <w:ind w:left="720"/>
              <w:spacing w:after="0"/>
              <w:rPr>
                <w:sz w:val="20"/>
                <w:szCs w:val="20"/>
                <w:color w:val="auto"/>
              </w:rPr>
            </w:pPr>
            <w:r>
              <w:rPr>
                <w:rFonts w:ascii="Arial" w:cs="Arial" w:eastAsia="Arial" w:hAnsi="Arial"/>
                <w:sz w:val="18"/>
                <w:szCs w:val="18"/>
                <w:color w:val="auto"/>
              </w:rPr>
              <w:t>Total operating expenses</w:t>
            </w: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7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15,439</w:t>
            </w:r>
          </w:p>
        </w:tc>
        <w:tc>
          <w:tcPr>
            <w:tcW w:w="38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2,309</w:t>
            </w:r>
          </w:p>
        </w:tc>
        <w:tc>
          <w:tcPr>
            <w:tcW w:w="38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13,130</w:t>
            </w:r>
          </w:p>
        </w:tc>
        <w:tc>
          <w:tcPr>
            <w:tcW w:w="38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(15,439)</w:t>
            </w: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(2,309)</w:t>
            </w:r>
          </w:p>
        </w:tc>
        <w:tc>
          <w:tcPr>
            <w:tcW w:w="11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(13,130)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900" w:type="dxa"/>
            <w:vAlign w:val="bottom"/>
            <w:gridSpan w:val="2"/>
            <w:vMerge w:val="restart"/>
          </w:tcPr>
          <w:p>
            <w:pPr>
              <w:ind w:left="18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0" w:type="dxa"/>
            <w:vAlign w:val="bottom"/>
          </w:tcPr>
          <w:p>
            <w:pPr>
              <w:spacing w:after="0"/>
              <w:rPr>
                <w:sz w:val="19"/>
                <w:szCs w:val="19"/>
                <w:color w:val="auto"/>
              </w:rPr>
            </w:pPr>
          </w:p>
        </w:tc>
        <w:tc>
          <w:tcPr>
            <w:tcW w:w="590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41"/>
              <w:spacing w:after="0"/>
              <w:rPr>
                <w:sz w:val="20"/>
                <w:szCs w:val="20"/>
                <w:color w:val="auto"/>
              </w:rPr>
            </w:pPr>
            <w:r>
              <w:rPr>
                <w:rFonts w:ascii="Arial" w:cs="Arial" w:eastAsia="Arial" w:hAnsi="Arial"/>
                <w:sz w:val="18"/>
                <w:szCs w:val="18"/>
                <w:color w:val="auto"/>
              </w:rPr>
              <w:t>(7)</w:t>
            </w: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38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38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(27)</w:t>
            </w:r>
          </w:p>
        </w:tc>
        <w:tc>
          <w:tcPr>
            <w:tcW w:w="94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(27)</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Changes in fair value of derivative tranche liability</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1"/>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(90)</w:t>
            </w:r>
          </w:p>
        </w:tc>
        <w:tc>
          <w:tcPr>
            <w:tcW w:w="1120" w:type="dxa"/>
            <w:vAlign w:val="bottom"/>
            <w:gridSpan w:val="2"/>
          </w:tcPr>
          <w:p>
            <w:pPr>
              <w:jc w:val="right"/>
              <w:ind w:right="301"/>
              <w:spacing w:after="0"/>
              <w:rPr>
                <w:sz w:val="20"/>
                <w:szCs w:val="20"/>
                <w:color w:val="auto"/>
              </w:rPr>
            </w:pPr>
            <w:r>
              <w:rPr>
                <w:rFonts w:ascii="Arial" w:cs="Arial" w:eastAsia="Arial" w:hAnsi="Arial"/>
                <w:sz w:val="18"/>
                <w:szCs w:val="18"/>
                <w:color w:val="auto"/>
              </w:rPr>
              <w:t>90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and comprehensive loss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(15,473)</w:t>
            </w: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(2,409)</w:t>
            </w:r>
          </w:p>
        </w:tc>
        <w:tc>
          <w:tcPr>
            <w:tcW w:w="11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(13,064)</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900" w:type="dxa"/>
            <w:vAlign w:val="bottom"/>
            <w:gridSpan w:val="2"/>
            <w:vMerge w:val="restart"/>
          </w:tcPr>
          <w:p>
            <w:pPr>
              <w:ind w:left="180"/>
              <w:spacing w:after="0"/>
              <w:rPr>
                <w:sz w:val="20"/>
                <w:szCs w:val="20"/>
                <w:color w:val="auto"/>
              </w:rPr>
            </w:pPr>
            <w:r>
              <w:rPr>
                <w:rFonts w:ascii="Arial" w:cs="Arial" w:eastAsia="Arial" w:hAnsi="Arial"/>
                <w:sz w:val="18"/>
                <w:szCs w:val="18"/>
                <w:color w:val="auto"/>
              </w:rPr>
              <w:t>Net loss attributable to redeemable convertible noncontrolling interests</w:t>
            </w: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0" w:type="dxa"/>
            <w:vAlign w:val="bottom"/>
          </w:tcPr>
          <w:p>
            <w:pPr>
              <w:spacing w:after="0"/>
              <w:rPr>
                <w:sz w:val="19"/>
                <w:szCs w:val="19"/>
                <w:color w:val="auto"/>
              </w:rPr>
            </w:pPr>
          </w:p>
        </w:tc>
        <w:tc>
          <w:tcPr>
            <w:tcW w:w="590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(1,191)</w:t>
            </w:r>
          </w:p>
        </w:tc>
        <w:tc>
          <w:tcPr>
            <w:tcW w:w="38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(649)</w:t>
            </w:r>
          </w:p>
        </w:tc>
        <w:tc>
          <w:tcPr>
            <w:tcW w:w="38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(542)</w:t>
            </w:r>
          </w:p>
        </w:tc>
        <w:tc>
          <w:tcPr>
            <w:tcW w:w="38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w w:val="95"/>
              </w:rPr>
              <w:t>Exchange of redeemable noncontrolling interest shares – deemed dividend</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(99,994)</w:t>
            </w:r>
          </w:p>
        </w:tc>
        <w:tc>
          <w:tcPr>
            <w:tcW w:w="94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(99,994)</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900" w:type="dxa"/>
            <w:vAlign w:val="bottom"/>
            <w:gridSpan w:val="2"/>
            <w:vMerge w:val="restart"/>
          </w:tcPr>
          <w:p>
            <w:pPr>
              <w:ind w:left="180"/>
              <w:spacing w:after="0"/>
              <w:rPr>
                <w:sz w:val="20"/>
                <w:szCs w:val="20"/>
                <w:color w:val="auto"/>
              </w:rPr>
            </w:pPr>
            <w:r>
              <w:rPr>
                <w:rFonts w:ascii="Arial" w:cs="Arial" w:eastAsia="Arial" w:hAnsi="Arial"/>
                <w:sz w:val="18"/>
                <w:szCs w:val="18"/>
                <w:color w:val="auto"/>
                <w:w w:val="97"/>
              </w:rPr>
              <w:t>Net Loss attributable to common share members / common stock holders</w:t>
            </w:r>
          </w:p>
        </w:tc>
        <w:tc>
          <w:tcPr>
            <w:tcW w:w="3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vMerge w:val="restart"/>
          </w:tcPr>
          <w:p>
            <w:pPr>
              <w:jc w:val="right"/>
              <w:ind w:right="241"/>
              <w:spacing w:after="0"/>
              <w:rPr>
                <w:sz w:val="20"/>
                <w:szCs w:val="20"/>
                <w:color w:val="auto"/>
              </w:rPr>
            </w:pPr>
            <w:r>
              <w:rPr>
                <w:rFonts w:ascii="Arial" w:cs="Arial" w:eastAsia="Arial" w:hAnsi="Arial"/>
                <w:sz w:val="16"/>
                <w:szCs w:val="16"/>
                <w:color w:val="auto"/>
                <w:w w:val="74"/>
              </w:rPr>
              <w:t>)</w:t>
            </w:r>
          </w:p>
        </w:tc>
        <w:tc>
          <w:tcPr>
            <w:tcW w:w="560" w:type="dxa"/>
            <w:vAlign w:val="bottom"/>
            <w:shd w:val="clear" w:color="auto" w:fill="000000"/>
          </w:tcPr>
          <w:p>
            <w:pPr>
              <w:spacing w:after="0" w:line="20" w:lineRule="exact"/>
              <w:rPr>
                <w:sz w:val="1"/>
                <w:szCs w:val="1"/>
                <w:color w:val="auto"/>
              </w:rPr>
            </w:pPr>
          </w:p>
        </w:tc>
        <w:tc>
          <w:tcPr>
            <w:tcW w:w="380" w:type="dxa"/>
            <w:vAlign w:val="bottom"/>
            <w:vMerge w:val="restart"/>
          </w:tcPr>
          <w:p>
            <w:pPr>
              <w:jc w:val="right"/>
              <w:ind w:right="241"/>
              <w:spacing w:after="0"/>
              <w:rPr>
                <w:sz w:val="20"/>
                <w:szCs w:val="20"/>
                <w:color w:val="auto"/>
              </w:rPr>
            </w:pPr>
            <w:r>
              <w:rPr>
                <w:rFonts w:ascii="Arial" w:cs="Arial" w:eastAsia="Arial" w:hAnsi="Arial"/>
                <w:sz w:val="16"/>
                <w:szCs w:val="16"/>
                <w:color w:val="auto"/>
                <w:w w:val="74"/>
              </w:rPr>
              <w:t>)</w:t>
            </w:r>
          </w:p>
        </w:tc>
        <w:tc>
          <w:tcPr>
            <w:tcW w:w="740" w:type="dxa"/>
            <w:vAlign w:val="bottom"/>
            <w:shd w:val="clear" w:color="auto" w:fill="000000"/>
          </w:tcPr>
          <w:p>
            <w:pPr>
              <w:spacing w:after="0" w:line="20" w:lineRule="exact"/>
              <w:rPr>
                <w:sz w:val="1"/>
                <w:szCs w:val="1"/>
                <w:color w:val="auto"/>
              </w:rPr>
            </w:pPr>
          </w:p>
        </w:tc>
        <w:tc>
          <w:tcPr>
            <w:tcW w:w="380" w:type="dxa"/>
            <w:vAlign w:val="bottom"/>
            <w:vMerge w:val="restart"/>
          </w:tcPr>
          <w:p>
            <w:pPr>
              <w:jc w:val="right"/>
              <w:ind w:right="241"/>
              <w:spacing w:after="0"/>
              <w:rPr>
                <w:sz w:val="20"/>
                <w:szCs w:val="20"/>
                <w:color w:val="auto"/>
              </w:rPr>
            </w:pPr>
            <w:r>
              <w:rPr>
                <w:rFonts w:ascii="Arial" w:cs="Arial" w:eastAsia="Arial" w:hAnsi="Arial"/>
                <w:sz w:val="16"/>
                <w:szCs w:val="16"/>
                <w:color w:val="auto"/>
                <w:w w:val="74"/>
              </w:rPr>
              <w:t>)</w:t>
            </w: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0" w:type="dxa"/>
            <w:vAlign w:val="bottom"/>
          </w:tcPr>
          <w:p>
            <w:pPr>
              <w:spacing w:after="0"/>
              <w:rPr>
                <w:sz w:val="19"/>
                <w:szCs w:val="19"/>
                <w:color w:val="auto"/>
              </w:rPr>
            </w:pPr>
          </w:p>
        </w:tc>
        <w:tc>
          <w:tcPr>
            <w:tcW w:w="5900" w:type="dxa"/>
            <w:vAlign w:val="bottom"/>
            <w:gridSpan w:val="2"/>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7"/>
              </w:rPr>
              <w:t>(114,276</w:t>
            </w:r>
          </w:p>
        </w:tc>
        <w:tc>
          <w:tcPr>
            <w:tcW w:w="38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(1,760</w:t>
            </w:r>
          </w:p>
        </w:tc>
        <w:tc>
          <w:tcPr>
            <w:tcW w:w="38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(112,516</w:t>
            </w:r>
          </w:p>
        </w:tc>
        <w:tc>
          <w:tcPr>
            <w:tcW w:w="38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6393%</w:t>
            </w:r>
          </w:p>
        </w:tc>
        <w:tc>
          <w:tcPr>
            <w:tcW w:w="0" w:type="dxa"/>
            <w:vAlign w:val="bottom"/>
          </w:tcPr>
          <w:p>
            <w:pPr>
              <w:spacing w:after="0"/>
              <w:rPr>
                <w:sz w:val="1"/>
                <w:szCs w:val="1"/>
                <w:color w:val="auto"/>
              </w:rPr>
            </w:pPr>
          </w:p>
        </w:tc>
      </w:tr>
      <w:tr>
        <w:trPr>
          <w:trHeight w:val="20"/>
        </w:trPr>
        <w:tc>
          <w:tcPr>
            <w:tcW w:w="260" w:type="dxa"/>
            <w:vAlign w:val="bottom"/>
            <w:vMerge w:val="restart"/>
          </w:tcPr>
          <w:p>
            <w:pPr>
              <w:jc w:val="right"/>
              <w:ind w:right="90"/>
              <w:spacing w:after="0"/>
              <w:rPr>
                <w:sz w:val="20"/>
                <w:szCs w:val="20"/>
                <w:color w:val="auto"/>
              </w:rPr>
            </w:pPr>
            <w:r>
              <w:rPr>
                <w:rFonts w:ascii="Arial" w:cs="Arial" w:eastAsia="Arial" w:hAnsi="Arial"/>
                <w:sz w:val="18"/>
                <w:szCs w:val="18"/>
                <w:color w:val="auto"/>
                <w:w w:val="84"/>
              </w:rPr>
              <w:t>*</w:t>
            </w:r>
          </w:p>
        </w:tc>
        <w:tc>
          <w:tcPr>
            <w:tcW w:w="5900" w:type="dxa"/>
            <w:vAlign w:val="bottom"/>
            <w:gridSpan w:val="2"/>
            <w:vMerge w:val="restart"/>
          </w:tcPr>
          <w:p>
            <w:pPr>
              <w:ind w:left="160"/>
              <w:spacing w:after="0"/>
              <w:rPr>
                <w:sz w:val="20"/>
                <w:szCs w:val="20"/>
                <w:color w:val="auto"/>
              </w:rPr>
            </w:pPr>
            <w:r>
              <w:rPr>
                <w:rFonts w:ascii="Arial" w:cs="Arial" w:eastAsia="Arial" w:hAnsi="Arial"/>
                <w:sz w:val="18"/>
                <w:szCs w:val="18"/>
                <w:color w:val="auto"/>
              </w:rPr>
              <w:t>not meaningful</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60" w:type="dxa"/>
            <w:vAlign w:val="bottom"/>
            <w:vMerge w:val="continue"/>
          </w:tcPr>
          <w:p>
            <w:pPr>
              <w:spacing w:after="0"/>
              <w:rPr>
                <w:sz w:val="24"/>
                <w:szCs w:val="24"/>
                <w:color w:val="auto"/>
              </w:rPr>
            </w:pPr>
          </w:p>
        </w:tc>
        <w:tc>
          <w:tcPr>
            <w:tcW w:w="590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60" w:type="dxa"/>
            <w:vAlign w:val="bottom"/>
          </w:tcPr>
          <w:p>
            <w:pPr>
              <w:spacing w:after="0"/>
              <w:rPr>
                <w:sz w:val="24"/>
                <w:szCs w:val="24"/>
                <w:color w:val="auto"/>
              </w:rPr>
            </w:pPr>
          </w:p>
        </w:tc>
        <w:tc>
          <w:tcPr>
            <w:tcW w:w="5900" w:type="dxa"/>
            <w:vAlign w:val="bottom"/>
            <w:gridSpan w:val="2"/>
          </w:tcPr>
          <w:p>
            <w:pPr>
              <w:jc w:val="right"/>
              <w:ind w:right="470"/>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486" w:right="8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120" w:firstLine="991"/>
        <w:spacing w:after="0" w:line="270" w:lineRule="auto"/>
        <w:rPr>
          <w:sz w:val="20"/>
          <w:szCs w:val="20"/>
          <w:color w:val="auto"/>
        </w:rPr>
      </w:pPr>
      <w:r>
        <w:rPr>
          <w:rFonts w:ascii="Arial" w:cs="Arial" w:eastAsia="Arial" w:hAnsi="Arial"/>
          <w:sz w:val="17"/>
          <w:szCs w:val="17"/>
          <w:color w:val="auto"/>
        </w:rPr>
        <w:t>Research and development expenses for the three months ended June 30, 2021 were $9.9 million, compared to $1.4 million for the three months ended June 30, 2020. In April 2021, we recorded a $3.0 million expense related to a milestone payment under the Viracta License Agreement. No such expense was recorded in the three months ended June 30, 2020. Third-party and consulting services expenses increased by $3.9 million, from $0.8 million in the three months ended June 30, 2020 to $4.7 million in the three months ended June 30, 2021, due to an increase in clinical trial expenses and other product development expenses. Our personnel related expenses increased by $1.5 million, from $0.7 million in the three months ended June 30, 2020 to $2.2 million in the three months ended June 30, 2021. The increase in personnel costs was attributable to an increase in headcount and increased share/stock-based compensation expense recognized in the three months ended June 30, 2021 compared to the same period in 2020. We expect that our research and development expenses will continue to increase to support our clinical development and licensing of new product candidates and hiring and expanding our internal research and developments operations.</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80"/>
          </w:cols>
          <w:pgMar w:left="320" w:top="486"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summarizes our external and internal research and development expenses for the three months ended June 30, 2021 and 2020:</w:t>
      </w:r>
    </w:p>
    <w:p>
      <w:pPr>
        <w:spacing w:after="0" w:line="267"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Three Months</w:t>
      </w:r>
    </w:p>
    <w:p>
      <w:pPr>
        <w:spacing w:after="0" w:line="4" w:lineRule="exact"/>
        <w:rPr>
          <w:sz w:val="20"/>
          <w:szCs w:val="20"/>
          <w:color w:val="auto"/>
        </w:rPr>
      </w:pPr>
    </w:p>
    <w:p>
      <w:pPr>
        <w:ind w:left="8600"/>
        <w:spacing w:after="0"/>
        <w:rPr>
          <w:sz w:val="20"/>
          <w:szCs w:val="20"/>
          <w:color w:val="auto"/>
        </w:rPr>
      </w:pPr>
      <w:r>
        <w:rPr>
          <w:rFonts w:ascii="Arial" w:cs="Arial" w:eastAsia="Arial" w:hAnsi="Arial"/>
          <w:sz w:val="14"/>
          <w:szCs w:val="14"/>
          <w:b w:val="1"/>
          <w:bCs w:val="1"/>
          <w:color w:val="auto"/>
        </w:rPr>
        <w:t>Ended June 30,</w:t>
      </w:r>
    </w:p>
    <w:tbl>
      <w:tblPr>
        <w:tblLayout w:type="fixed"/>
        <w:tblInd w:w="1440" w:type="dxa"/>
        <w:tblCellMar>
          <w:top w:w="0" w:type="dxa"/>
          <w:left w:w="0" w:type="dxa"/>
          <w:bottom w:w="0" w:type="dxa"/>
          <w:right w:w="0" w:type="dxa"/>
        </w:tblCellMar>
      </w:tblPr>
      <w:tr>
        <w:trPr>
          <w:trHeight w:val="156"/>
        </w:trPr>
        <w:tc>
          <w:tcPr>
            <w:tcW w:w="6960" w:type="dxa"/>
            <w:vAlign w:val="bottom"/>
          </w:tcPr>
          <w:p>
            <w:pPr>
              <w:spacing w:after="0"/>
              <w:rPr>
                <w:sz w:val="13"/>
                <w:szCs w:val="13"/>
                <w:color w:val="auto"/>
              </w:rPr>
            </w:pPr>
          </w:p>
        </w:tc>
        <w:tc>
          <w:tcPr>
            <w:tcW w:w="500" w:type="dxa"/>
            <w:vAlign w:val="bottom"/>
            <w:tcBorders>
              <w:bottom w:val="single" w:sz="8" w:color="auto"/>
            </w:tcBorders>
          </w:tcPr>
          <w:p>
            <w:pPr>
              <w:jc w:val="right"/>
              <w:ind w:right="15"/>
              <w:spacing w:after="0" w:line="156"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33"/>
              <w:spacing w:after="0" w:line="156" w:lineRule="exact"/>
              <w:rPr>
                <w:sz w:val="20"/>
                <w:szCs w:val="20"/>
                <w:color w:val="auto"/>
              </w:rPr>
            </w:pPr>
            <w:r>
              <w:rPr>
                <w:rFonts w:ascii="Arial" w:cs="Arial" w:eastAsia="Arial" w:hAnsi="Arial"/>
                <w:sz w:val="14"/>
                <w:szCs w:val="14"/>
                <w:b w:val="1"/>
                <w:bCs w:val="1"/>
                <w:color w:val="auto"/>
                <w:w w:val="89"/>
              </w:rPr>
              <w:t>2020</w:t>
            </w:r>
          </w:p>
        </w:tc>
        <w:tc>
          <w:tcPr>
            <w:tcW w:w="40" w:type="dxa"/>
            <w:vAlign w:val="bottom"/>
          </w:tcPr>
          <w:p>
            <w:pPr>
              <w:spacing w:after="0"/>
              <w:rPr>
                <w:sz w:val="13"/>
                <w:szCs w:val="13"/>
                <w:color w:val="auto"/>
              </w:rPr>
            </w:pPr>
          </w:p>
        </w:tc>
      </w:tr>
      <w:tr>
        <w:trPr>
          <w:trHeight w:val="142"/>
        </w:trPr>
        <w:tc>
          <w:tcPr>
            <w:tcW w:w="6960" w:type="dxa"/>
            <w:vAlign w:val="bottom"/>
          </w:tcPr>
          <w:p>
            <w:pPr>
              <w:spacing w:after="0"/>
              <w:rPr>
                <w:sz w:val="12"/>
                <w:szCs w:val="12"/>
                <w:color w:val="auto"/>
              </w:rPr>
            </w:pPr>
          </w:p>
        </w:tc>
        <w:tc>
          <w:tcPr>
            <w:tcW w:w="1360" w:type="dxa"/>
            <w:vAlign w:val="bottom"/>
            <w:gridSpan w:val="5"/>
          </w:tcPr>
          <w:p>
            <w:pPr>
              <w:jc w:val="right"/>
              <w:ind w:right="153"/>
              <w:spacing w:after="0" w:line="142"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External costs: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line="216" w:lineRule="exact"/>
              <w:rPr>
                <w:sz w:val="20"/>
                <w:szCs w:val="20"/>
                <w:color w:val="auto"/>
              </w:rPr>
            </w:pPr>
            <w:r>
              <w:rPr>
                <w:rFonts w:ascii="Arial" w:cs="Arial" w:eastAsia="Arial" w:hAnsi="Arial"/>
                <w:sz w:val="18"/>
                <w:szCs w:val="18"/>
                <w:color w:val="auto"/>
              </w:rPr>
              <w:t xml:space="preserve">Third-party CRO, CMO and other third-party clinical trial costs </w:t>
            </w:r>
            <w:r>
              <w:rPr>
                <w:rFonts w:ascii="Arial" w:cs="Arial" w:eastAsia="Arial" w:hAnsi="Arial"/>
                <w:sz w:val="25"/>
                <w:szCs w:val="25"/>
                <w:color w:val="auto"/>
                <w:vertAlign w:val="superscript"/>
              </w:rPr>
              <w:t>(1)</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$4,730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761</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Milestone payment related to the Viracta License Agreement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Other research and development costs, including laboratory materials and supplies</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Internal costs: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Employee related expenses</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2,207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672</w:t>
            </w:r>
          </w:p>
        </w:tc>
      </w:tr>
      <w:tr>
        <w:trPr>
          <w:trHeight w:val="27"/>
        </w:trPr>
        <w:tc>
          <w:tcPr>
            <w:tcW w:w="69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9,914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1,437</w:t>
            </w:r>
          </w:p>
        </w:tc>
      </w:tr>
      <w:tr>
        <w:trPr>
          <w:trHeight w:val="20"/>
        </w:trPr>
        <w:tc>
          <w:tcPr>
            <w:tcW w:w="69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line="263"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Third-party CRO, CMO and other third-party clinical trial costs for DAY 101 program and pimasertib program were $4.2 million and $0.5 million for three months ended June 30, 2021. For the three months ended June 30, 2020, third-party CRO, CMO and other third-party clinical trial costs were attributable to the DAY101 program.</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120" w:right="200" w:firstLine="991"/>
        <w:spacing w:after="0" w:line="259" w:lineRule="auto"/>
        <w:rPr>
          <w:sz w:val="20"/>
          <w:szCs w:val="20"/>
          <w:color w:val="auto"/>
        </w:rPr>
      </w:pPr>
      <w:r>
        <w:rPr>
          <w:rFonts w:ascii="Arial" w:cs="Arial" w:eastAsia="Arial" w:hAnsi="Arial"/>
          <w:sz w:val="18"/>
          <w:szCs w:val="18"/>
          <w:color w:val="auto"/>
        </w:rPr>
        <w:t>General and administrative expenses increased $4.6 million, from $0.9 million for the three months ended June 30, 2020 to $5.5 million for the three months ended June 30, 2021. The increase in general and administrative expenses was primarily due to $2.9 million in employee compensation costs driven by headcount growth, approximately $1.6 million in legal and professional services driven by operational support and the cost of being a public company, and $0.1 million in facilities costs and other expenses.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in fair value of derivative tranche liability</w:t>
      </w:r>
    </w:p>
    <w:p>
      <w:pPr>
        <w:spacing w:after="0" w:line="117" w:lineRule="exact"/>
        <w:rPr>
          <w:sz w:val="20"/>
          <w:szCs w:val="20"/>
          <w:color w:val="auto"/>
        </w:rPr>
      </w:pPr>
    </w:p>
    <w:p>
      <w:pPr>
        <w:ind w:left="120" w:right="80" w:firstLine="991"/>
        <w:spacing w:after="0" w:line="286" w:lineRule="auto"/>
        <w:rPr>
          <w:sz w:val="20"/>
          <w:szCs w:val="20"/>
          <w:color w:val="auto"/>
        </w:rPr>
      </w:pPr>
      <w:r>
        <w:rPr>
          <w:rFonts w:ascii="Arial" w:cs="Arial" w:eastAsia="Arial" w:hAnsi="Arial"/>
          <w:sz w:val="17"/>
          <w:szCs w:val="17"/>
          <w:color w:val="auto"/>
        </w:rPr>
        <w:t>During three months ended June 30, 2020, we recorded $0.1 million expense relating to changes in the fair value of the derivative tranche liability which resulted from milestone closings of our Series A redeemable convertible preferred shares financing. As of December 31, 2020, the derivative tranche liability was settled and no expense recognized during the three months ended June 30, 2021.</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Exchange of redeemable noncontrolling interest shares – deemed dividend</w:t>
      </w:r>
    </w:p>
    <w:p>
      <w:pPr>
        <w:spacing w:after="0" w:line="117" w:lineRule="exact"/>
        <w:rPr>
          <w:sz w:val="20"/>
          <w:szCs w:val="20"/>
          <w:color w:val="auto"/>
        </w:rPr>
      </w:pPr>
    </w:p>
    <w:p>
      <w:pPr>
        <w:ind w:left="120" w:right="40" w:firstLine="991"/>
        <w:spacing w:after="0" w:line="273" w:lineRule="auto"/>
        <w:rPr>
          <w:sz w:val="20"/>
          <w:szCs w:val="20"/>
          <w:color w:val="auto"/>
        </w:rPr>
      </w:pPr>
      <w:r>
        <w:rPr>
          <w:rFonts w:ascii="Arial" w:cs="Arial" w:eastAsia="Arial" w:hAnsi="Arial"/>
          <w:sz w:val="17"/>
          <w:szCs w:val="17"/>
          <w:color w:val="auto"/>
        </w:rPr>
        <w:t>During the three months ended June 30, 2021, we exchanged Takeda’s redeemable noncontrolling interest shares in our subsidiary, DOT-1 Therapeutics Inc., for common stock of Day One Biopharmaceuticals, Inc. which resulted in accounting for the transaction as a deemed dividend. As such, we recognized a $100.0 million, non-cash, extinguishment loss to additional paid-in capital, which was calculated as a difference between the fair value of common stock issued to Takeda in the Conversion and the carrying value of the redeemable noncontrolling interest at the conversion date. This was disclosed below net loss on the income statement as a deemed dividend, and included in the net loss per share calculation. There was no such loss recognized during the three months ended June 30, 2020.</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86"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six months ended June 30, 2021 and 2020</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results of operations for the six months ended June 30, 2021 and 2020 (unaudited):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4"/>
          </w:tcPr>
          <w:p>
            <w:pPr>
              <w:jc w:val="right"/>
              <w:ind w:right="581"/>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34"/>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4"/>
                <w:szCs w:val="14"/>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4"/>
                <w:szCs w:val="14"/>
                <w:color w:val="auto"/>
              </w:rPr>
            </w:pPr>
          </w:p>
        </w:tc>
        <w:tc>
          <w:tcPr>
            <w:tcW w:w="1120" w:type="dxa"/>
            <w:vAlign w:val="bottom"/>
            <w:gridSpan w:val="2"/>
          </w:tcPr>
          <w:p>
            <w:pPr>
              <w:jc w:val="right"/>
              <w:ind w:right="381"/>
              <w:spacing w:after="0"/>
              <w:rPr>
                <w:sz w:val="20"/>
                <w:szCs w:val="20"/>
                <w:color w:val="auto"/>
              </w:rPr>
            </w:pPr>
            <w:r>
              <w:rPr>
                <w:rFonts w:ascii="Arial" w:cs="Arial" w:eastAsia="Arial" w:hAnsi="Arial"/>
                <w:sz w:val="14"/>
                <w:szCs w:val="14"/>
                <w:b w:val="1"/>
                <w:bCs w:val="1"/>
                <w:color w:val="auto"/>
              </w:rPr>
              <w:t>$ Change</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1"/>
              <w:spacing w:after="0"/>
              <w:rPr>
                <w:sz w:val="20"/>
                <w:szCs w:val="20"/>
                <w:color w:val="auto"/>
              </w:rPr>
            </w:pPr>
            <w:r>
              <w:rPr>
                <w:rFonts w:ascii="Arial" w:cs="Arial" w:eastAsia="Arial" w:hAnsi="Arial"/>
                <w:sz w:val="18"/>
                <w:szCs w:val="18"/>
                <w:color w:val="auto"/>
              </w:rPr>
              <w:t>22,547</w:t>
            </w:r>
          </w:p>
        </w:tc>
        <w:tc>
          <w:tcPr>
            <w:tcW w:w="940" w:type="dxa"/>
            <w:vAlign w:val="bottom"/>
            <w:gridSpan w:val="2"/>
          </w:tcPr>
          <w:p>
            <w:pPr>
              <w:jc w:val="right"/>
              <w:ind w:right="301"/>
              <w:spacing w:after="0"/>
              <w:rPr>
                <w:sz w:val="20"/>
                <w:szCs w:val="20"/>
                <w:color w:val="auto"/>
              </w:rPr>
            </w:pPr>
            <w:r>
              <w:rPr>
                <w:rFonts w:ascii="Arial" w:cs="Arial" w:eastAsia="Arial" w:hAnsi="Arial"/>
                <w:sz w:val="18"/>
                <w:szCs w:val="18"/>
                <w:color w:val="auto"/>
                <w:w w:val="89"/>
              </w:rPr>
              <w:t>$ 2,398</w:t>
            </w:r>
          </w:p>
        </w:tc>
        <w:tc>
          <w:tcPr>
            <w:tcW w:w="1120" w:type="dxa"/>
            <w:vAlign w:val="bottom"/>
            <w:gridSpan w:val="2"/>
          </w:tcPr>
          <w:p>
            <w:pPr>
              <w:jc w:val="right"/>
              <w:ind w:right="301"/>
              <w:spacing w:after="0"/>
              <w:rPr>
                <w:sz w:val="20"/>
                <w:szCs w:val="20"/>
                <w:color w:val="auto"/>
              </w:rPr>
            </w:pPr>
            <w:r>
              <w:rPr>
                <w:rFonts w:ascii="Arial" w:cs="Arial" w:eastAsia="Arial" w:hAnsi="Arial"/>
                <w:sz w:val="18"/>
                <w:szCs w:val="18"/>
                <w:color w:val="auto"/>
                <w:w w:val="95"/>
              </w:rPr>
              <w:t>$  20,149</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8,990</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1,682</w:t>
            </w:r>
          </w:p>
        </w:tc>
        <w:tc>
          <w:tcPr>
            <w:tcW w:w="112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7,308</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720" w:type="dxa"/>
            <w:vAlign w:val="bottom"/>
            <w:vMerge w:val="restart"/>
          </w:tcPr>
          <w:p>
            <w:pPr>
              <w:ind w:left="720"/>
              <w:spacing w:after="0"/>
              <w:rPr>
                <w:sz w:val="20"/>
                <w:szCs w:val="20"/>
                <w:color w:val="auto"/>
              </w:rPr>
            </w:pPr>
            <w:r>
              <w:rPr>
                <w:rFonts w:ascii="Arial" w:cs="Arial" w:eastAsia="Arial" w:hAnsi="Arial"/>
                <w:sz w:val="18"/>
                <w:szCs w:val="18"/>
                <w:color w:val="auto"/>
              </w:rPr>
              <w:t>Total operating expenses</w:t>
            </w: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7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31,537</w:t>
            </w:r>
          </w:p>
        </w:tc>
        <w:tc>
          <w:tcPr>
            <w:tcW w:w="38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4,080</w:t>
            </w:r>
          </w:p>
        </w:tc>
        <w:tc>
          <w:tcPr>
            <w:tcW w:w="38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27,457</w:t>
            </w:r>
          </w:p>
        </w:tc>
        <w:tc>
          <w:tcPr>
            <w:tcW w:w="38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18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(31,537)</w:t>
            </w: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(4,080)</w:t>
            </w:r>
          </w:p>
        </w:tc>
        <w:tc>
          <w:tcPr>
            <w:tcW w:w="11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(27,457)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900" w:type="dxa"/>
            <w:vAlign w:val="bottom"/>
            <w:gridSpan w:val="2"/>
            <w:vMerge w:val="restart"/>
          </w:tcPr>
          <w:p>
            <w:pPr>
              <w:ind w:left="18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0" w:type="dxa"/>
            <w:vAlign w:val="bottom"/>
          </w:tcPr>
          <w:p>
            <w:pPr>
              <w:spacing w:after="0"/>
              <w:rPr>
                <w:sz w:val="19"/>
                <w:szCs w:val="19"/>
                <w:color w:val="auto"/>
              </w:rPr>
            </w:pPr>
          </w:p>
        </w:tc>
        <w:tc>
          <w:tcPr>
            <w:tcW w:w="590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38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380" w:type="dxa"/>
            <w:vAlign w:val="bottom"/>
            <w:vMerge w:val="continue"/>
          </w:tcPr>
          <w:p>
            <w:pPr>
              <w:spacing w:after="0"/>
              <w:rPr>
                <w:sz w:val="19"/>
                <w:szCs w:val="19"/>
                <w:color w:val="auto"/>
              </w:rPr>
            </w:pPr>
          </w:p>
        </w:tc>
        <w:tc>
          <w:tcPr>
            <w:tcW w:w="1120" w:type="dxa"/>
            <w:vAlign w:val="bottom"/>
            <w:gridSpan w:val="2"/>
          </w:tcPr>
          <w:p>
            <w:pPr>
              <w:jc w:val="right"/>
              <w:ind w:right="241"/>
              <w:spacing w:after="0"/>
              <w:rPr>
                <w:sz w:val="20"/>
                <w:szCs w:val="20"/>
                <w:color w:val="auto"/>
              </w:rPr>
            </w:pPr>
            <w:r>
              <w:rPr>
                <w:rFonts w:ascii="Arial" w:cs="Arial" w:eastAsia="Arial" w:hAnsi="Arial"/>
                <w:sz w:val="18"/>
                <w:szCs w:val="18"/>
                <w:color w:val="auto"/>
              </w:rPr>
              <w:t>(1)</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(24)</w:t>
            </w:r>
          </w:p>
        </w:tc>
        <w:tc>
          <w:tcPr>
            <w:tcW w:w="94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(24)</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Changes in fair value of derivative tranche liability</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(308)</w:t>
            </w:r>
          </w:p>
        </w:tc>
        <w:tc>
          <w:tcPr>
            <w:tcW w:w="1120" w:type="dxa"/>
            <w:vAlign w:val="bottom"/>
            <w:gridSpan w:val="2"/>
          </w:tcPr>
          <w:p>
            <w:pPr>
              <w:jc w:val="right"/>
              <w:ind w:right="301"/>
              <w:spacing w:after="0"/>
              <w:rPr>
                <w:sz w:val="20"/>
                <w:szCs w:val="20"/>
                <w:color w:val="auto"/>
              </w:rPr>
            </w:pPr>
            <w:r>
              <w:rPr>
                <w:rFonts w:ascii="Arial" w:cs="Arial" w:eastAsia="Arial" w:hAnsi="Arial"/>
                <w:sz w:val="18"/>
                <w:szCs w:val="18"/>
                <w:color w:val="auto"/>
              </w:rPr>
              <w:t>308</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18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and comprehensive loss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(31,575)</w:t>
            </w: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(4,401)</w:t>
            </w:r>
          </w:p>
        </w:tc>
        <w:tc>
          <w:tcPr>
            <w:tcW w:w="11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(27,174)</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900" w:type="dxa"/>
            <w:vAlign w:val="bottom"/>
            <w:gridSpan w:val="2"/>
            <w:vMerge w:val="restart"/>
          </w:tcPr>
          <w:p>
            <w:pPr>
              <w:ind w:left="180"/>
              <w:spacing w:after="0"/>
              <w:rPr>
                <w:sz w:val="20"/>
                <w:szCs w:val="20"/>
                <w:color w:val="auto"/>
              </w:rPr>
            </w:pPr>
            <w:r>
              <w:rPr>
                <w:rFonts w:ascii="Arial" w:cs="Arial" w:eastAsia="Arial" w:hAnsi="Arial"/>
                <w:sz w:val="18"/>
                <w:szCs w:val="18"/>
                <w:color w:val="auto"/>
              </w:rPr>
              <w:t>Net loss attributable to redeemable convertible noncontrolling interests</w:t>
            </w: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0" w:type="dxa"/>
            <w:vAlign w:val="bottom"/>
          </w:tcPr>
          <w:p>
            <w:pPr>
              <w:spacing w:after="0"/>
              <w:rPr>
                <w:sz w:val="19"/>
                <w:szCs w:val="19"/>
                <w:color w:val="auto"/>
              </w:rPr>
            </w:pPr>
          </w:p>
        </w:tc>
        <w:tc>
          <w:tcPr>
            <w:tcW w:w="590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(2,109)</w:t>
            </w:r>
          </w:p>
        </w:tc>
        <w:tc>
          <w:tcPr>
            <w:tcW w:w="38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(1,106)</w:t>
            </w:r>
          </w:p>
        </w:tc>
        <w:tc>
          <w:tcPr>
            <w:tcW w:w="38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(1,003)</w:t>
            </w:r>
          </w:p>
        </w:tc>
        <w:tc>
          <w:tcPr>
            <w:tcW w:w="38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w w:val="95"/>
              </w:rPr>
              <w:t>Exchange of redeemable noncontrolling interest shares – deemed dividend</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(99,994)</w:t>
            </w:r>
          </w:p>
        </w:tc>
        <w:tc>
          <w:tcPr>
            <w:tcW w:w="94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(99,994)</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900" w:type="dxa"/>
            <w:vAlign w:val="bottom"/>
            <w:gridSpan w:val="2"/>
            <w:vMerge w:val="restart"/>
          </w:tcPr>
          <w:p>
            <w:pPr>
              <w:ind w:left="180"/>
              <w:spacing w:after="0"/>
              <w:rPr>
                <w:sz w:val="20"/>
                <w:szCs w:val="20"/>
                <w:color w:val="auto"/>
              </w:rPr>
            </w:pPr>
            <w:r>
              <w:rPr>
                <w:rFonts w:ascii="Arial" w:cs="Arial" w:eastAsia="Arial" w:hAnsi="Arial"/>
                <w:sz w:val="18"/>
                <w:szCs w:val="18"/>
                <w:color w:val="auto"/>
                <w:w w:val="99"/>
              </w:rPr>
              <w:t>Net Loss attributable to common share members /common stockholders</w:t>
            </w:r>
          </w:p>
        </w:tc>
        <w:tc>
          <w:tcPr>
            <w:tcW w:w="3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vMerge w:val="restart"/>
          </w:tcPr>
          <w:p>
            <w:pPr>
              <w:jc w:val="right"/>
              <w:ind w:right="241"/>
              <w:spacing w:after="0"/>
              <w:rPr>
                <w:sz w:val="20"/>
                <w:szCs w:val="20"/>
                <w:color w:val="auto"/>
              </w:rPr>
            </w:pPr>
            <w:r>
              <w:rPr>
                <w:rFonts w:ascii="Arial" w:cs="Arial" w:eastAsia="Arial" w:hAnsi="Arial"/>
                <w:sz w:val="16"/>
                <w:szCs w:val="16"/>
                <w:color w:val="auto"/>
                <w:w w:val="74"/>
              </w:rPr>
              <w:t>)</w:t>
            </w:r>
          </w:p>
        </w:tc>
        <w:tc>
          <w:tcPr>
            <w:tcW w:w="560" w:type="dxa"/>
            <w:vAlign w:val="bottom"/>
            <w:shd w:val="clear" w:color="auto" w:fill="000000"/>
          </w:tcPr>
          <w:p>
            <w:pPr>
              <w:spacing w:after="0" w:line="20" w:lineRule="exact"/>
              <w:rPr>
                <w:sz w:val="1"/>
                <w:szCs w:val="1"/>
                <w:color w:val="auto"/>
              </w:rPr>
            </w:pPr>
          </w:p>
        </w:tc>
        <w:tc>
          <w:tcPr>
            <w:tcW w:w="380" w:type="dxa"/>
            <w:vAlign w:val="bottom"/>
            <w:vMerge w:val="restart"/>
          </w:tcPr>
          <w:p>
            <w:pPr>
              <w:jc w:val="right"/>
              <w:ind w:right="241"/>
              <w:spacing w:after="0"/>
              <w:rPr>
                <w:sz w:val="20"/>
                <w:szCs w:val="20"/>
                <w:color w:val="auto"/>
              </w:rPr>
            </w:pPr>
            <w:r>
              <w:rPr>
                <w:rFonts w:ascii="Arial" w:cs="Arial" w:eastAsia="Arial" w:hAnsi="Arial"/>
                <w:sz w:val="16"/>
                <w:szCs w:val="16"/>
                <w:color w:val="auto"/>
                <w:w w:val="74"/>
              </w:rPr>
              <w:t>)</w:t>
            </w:r>
          </w:p>
        </w:tc>
        <w:tc>
          <w:tcPr>
            <w:tcW w:w="740" w:type="dxa"/>
            <w:vAlign w:val="bottom"/>
            <w:shd w:val="clear" w:color="auto" w:fill="000000"/>
          </w:tcPr>
          <w:p>
            <w:pPr>
              <w:spacing w:after="0" w:line="20" w:lineRule="exact"/>
              <w:rPr>
                <w:sz w:val="1"/>
                <w:szCs w:val="1"/>
                <w:color w:val="auto"/>
              </w:rPr>
            </w:pPr>
          </w:p>
        </w:tc>
        <w:tc>
          <w:tcPr>
            <w:tcW w:w="380" w:type="dxa"/>
            <w:vAlign w:val="bottom"/>
            <w:vMerge w:val="restart"/>
          </w:tcPr>
          <w:p>
            <w:pPr>
              <w:jc w:val="right"/>
              <w:ind w:right="241"/>
              <w:spacing w:after="0"/>
              <w:rPr>
                <w:sz w:val="20"/>
                <w:szCs w:val="20"/>
                <w:color w:val="auto"/>
              </w:rPr>
            </w:pPr>
            <w:r>
              <w:rPr>
                <w:rFonts w:ascii="Arial" w:cs="Arial" w:eastAsia="Arial" w:hAnsi="Arial"/>
                <w:sz w:val="16"/>
                <w:szCs w:val="16"/>
                <w:color w:val="auto"/>
                <w:w w:val="74"/>
              </w:rPr>
              <w:t>)</w:t>
            </w: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0" w:type="dxa"/>
            <w:vAlign w:val="bottom"/>
          </w:tcPr>
          <w:p>
            <w:pPr>
              <w:spacing w:after="0"/>
              <w:rPr>
                <w:sz w:val="19"/>
                <w:szCs w:val="19"/>
                <w:color w:val="auto"/>
              </w:rPr>
            </w:pPr>
          </w:p>
        </w:tc>
        <w:tc>
          <w:tcPr>
            <w:tcW w:w="5900" w:type="dxa"/>
            <w:vAlign w:val="bottom"/>
            <w:gridSpan w:val="2"/>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7"/>
              </w:rPr>
              <w:t>(129,460</w:t>
            </w:r>
          </w:p>
        </w:tc>
        <w:tc>
          <w:tcPr>
            <w:tcW w:w="38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(3,295</w:t>
            </w:r>
          </w:p>
        </w:tc>
        <w:tc>
          <w:tcPr>
            <w:tcW w:w="38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(126,165</w:t>
            </w:r>
          </w:p>
        </w:tc>
        <w:tc>
          <w:tcPr>
            <w:tcW w:w="38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3829%</w:t>
            </w:r>
          </w:p>
        </w:tc>
        <w:tc>
          <w:tcPr>
            <w:tcW w:w="0" w:type="dxa"/>
            <w:vAlign w:val="bottom"/>
          </w:tcPr>
          <w:p>
            <w:pPr>
              <w:spacing w:after="0"/>
              <w:rPr>
                <w:sz w:val="1"/>
                <w:szCs w:val="1"/>
                <w:color w:val="auto"/>
              </w:rPr>
            </w:pPr>
          </w:p>
        </w:tc>
      </w:tr>
      <w:tr>
        <w:trPr>
          <w:trHeight w:val="20"/>
        </w:trPr>
        <w:tc>
          <w:tcPr>
            <w:tcW w:w="260" w:type="dxa"/>
            <w:vAlign w:val="bottom"/>
            <w:vMerge w:val="restart"/>
          </w:tcPr>
          <w:p>
            <w:pPr>
              <w:jc w:val="right"/>
              <w:ind w:right="90"/>
              <w:spacing w:after="0"/>
              <w:rPr>
                <w:sz w:val="20"/>
                <w:szCs w:val="20"/>
                <w:color w:val="auto"/>
              </w:rPr>
            </w:pPr>
            <w:r>
              <w:rPr>
                <w:rFonts w:ascii="Arial" w:cs="Arial" w:eastAsia="Arial" w:hAnsi="Arial"/>
                <w:sz w:val="18"/>
                <w:szCs w:val="18"/>
                <w:color w:val="auto"/>
                <w:w w:val="84"/>
              </w:rPr>
              <w:t>*</w:t>
            </w:r>
          </w:p>
        </w:tc>
        <w:tc>
          <w:tcPr>
            <w:tcW w:w="5900" w:type="dxa"/>
            <w:vAlign w:val="bottom"/>
            <w:gridSpan w:val="2"/>
            <w:vMerge w:val="restart"/>
          </w:tcPr>
          <w:p>
            <w:pPr>
              <w:ind w:left="160"/>
              <w:spacing w:after="0"/>
              <w:rPr>
                <w:sz w:val="20"/>
                <w:szCs w:val="20"/>
                <w:color w:val="auto"/>
              </w:rPr>
            </w:pPr>
            <w:r>
              <w:rPr>
                <w:rFonts w:ascii="Arial" w:cs="Arial" w:eastAsia="Arial" w:hAnsi="Arial"/>
                <w:sz w:val="18"/>
                <w:szCs w:val="18"/>
                <w:color w:val="auto"/>
              </w:rPr>
              <w:t>not meaningful</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60" w:type="dxa"/>
            <w:vAlign w:val="bottom"/>
            <w:vMerge w:val="continue"/>
          </w:tcPr>
          <w:p>
            <w:pPr>
              <w:spacing w:after="0"/>
              <w:rPr>
                <w:sz w:val="24"/>
                <w:szCs w:val="24"/>
                <w:color w:val="auto"/>
              </w:rPr>
            </w:pPr>
          </w:p>
        </w:tc>
        <w:tc>
          <w:tcPr>
            <w:tcW w:w="590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60" w:type="dxa"/>
            <w:vAlign w:val="bottom"/>
          </w:tcPr>
          <w:p>
            <w:pPr>
              <w:spacing w:after="0"/>
              <w:rPr>
                <w:sz w:val="24"/>
                <w:szCs w:val="24"/>
                <w:color w:val="auto"/>
              </w:rPr>
            </w:pPr>
          </w:p>
        </w:tc>
        <w:tc>
          <w:tcPr>
            <w:tcW w:w="5900" w:type="dxa"/>
            <w:vAlign w:val="bottom"/>
            <w:gridSpan w:val="2"/>
          </w:tcPr>
          <w:p>
            <w:pPr>
              <w:jc w:val="right"/>
              <w:ind w:right="470"/>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486" w:right="8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120" w:firstLine="991"/>
        <w:spacing w:after="0" w:line="291" w:lineRule="auto"/>
        <w:rPr>
          <w:sz w:val="20"/>
          <w:szCs w:val="20"/>
          <w:color w:val="auto"/>
        </w:rPr>
      </w:pPr>
      <w:r>
        <w:rPr>
          <w:rFonts w:ascii="Arial" w:cs="Arial" w:eastAsia="Arial" w:hAnsi="Arial"/>
          <w:sz w:val="16"/>
          <w:szCs w:val="16"/>
          <w:color w:val="auto"/>
        </w:rPr>
        <w:t>Research and development expenses for the six months ended June 30, 2021 were $22.5 million, compared to $2.4 million for the six months ended June 30, 2020. In the period, we recorded $11.0 million in expenses related to the licensing agreements for DAY101 and pimasertib. Other third-party and consulting services expenses increased by $7.3 million, from $0.9 million in the six months ended June 30, 2020 to $8.2 million in the six months ended June 30, 2021, due to an increase in clinical trial and product development expenses. Our personnel related expenses increased by $2.0 million, from $1.4 million in the six months ended June 30, 2020 to $3.4 million in the six months ended June 30, 2021 resulting from additional headcount and stock compensation expenses. We expect that our research and development expenses will continue to increase as we ramp our clinical development activities, look to license new product candidates and hire additional talent for our expanding in research and developments operations.</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00"/>
          </w:cols>
          <w:pgMar w:left="320" w:top="486"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The following table summarizes our external and internal research and development expenses for the six months ended June 30, 2021 and 2020 (unaudited):</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2"/>
              </w:rPr>
              <w:t>Six Months Ended</w:t>
            </w:r>
          </w:p>
        </w:tc>
      </w:tr>
      <w:tr>
        <w:trPr>
          <w:trHeight w:val="162"/>
        </w:trPr>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4"/>
          </w:tcPr>
          <w:p>
            <w:pPr>
              <w:jc w:val="center"/>
              <w:ind w:left="237"/>
              <w:spacing w:after="0"/>
              <w:rPr>
                <w:sz w:val="20"/>
                <w:szCs w:val="20"/>
                <w:color w:val="auto"/>
              </w:rPr>
            </w:pPr>
            <w:r>
              <w:rPr>
                <w:rFonts w:ascii="Arial" w:cs="Arial" w:eastAsia="Arial" w:hAnsi="Arial"/>
                <w:sz w:val="14"/>
                <w:szCs w:val="14"/>
                <w:b w:val="1"/>
                <w:bCs w:val="1"/>
                <w:color w:val="auto"/>
                <w:w w:val="92"/>
              </w:rPr>
              <w:t>June 30,</w:t>
            </w: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Pr>
          <w:p>
            <w:pPr>
              <w:spacing w:after="0"/>
              <w:rPr>
                <w:sz w:val="14"/>
                <w:szCs w:val="14"/>
                <w:color w:val="auto"/>
              </w:rPr>
            </w:pPr>
          </w:p>
        </w:tc>
      </w:tr>
      <w:tr>
        <w:trPr>
          <w:trHeight w:val="142"/>
        </w:trPr>
        <w:tc>
          <w:tcPr>
            <w:tcW w:w="6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5"/>
          </w:tcPr>
          <w:p>
            <w:pPr>
              <w:jc w:val="center"/>
              <w:ind w:right="13"/>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2"/>
                <w:szCs w:val="12"/>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External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Research and development related to the MRKDG License Agreement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8,000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Third-party CRO, CMO and other third-party clinical trial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8,165</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929</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Milestone payment related to the Viracta License Agreement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3,000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Other research and development costs, including laboratory materials and supplies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r>
      <w:tr>
        <w:trPr>
          <w:trHeight w:val="216"/>
        </w:trPr>
        <w:tc>
          <w:tcPr>
            <w:tcW w:w="6840" w:type="dxa"/>
            <w:vAlign w:val="bottom"/>
          </w:tcPr>
          <w:p>
            <w:pPr>
              <w:spacing w:after="0"/>
              <w:rPr>
                <w:sz w:val="20"/>
                <w:szCs w:val="20"/>
                <w:color w:val="auto"/>
              </w:rPr>
            </w:pPr>
            <w:r>
              <w:rPr>
                <w:rFonts w:ascii="Arial" w:cs="Arial" w:eastAsia="Arial" w:hAnsi="Arial"/>
                <w:sz w:val="18"/>
                <w:szCs w:val="18"/>
                <w:b w:val="1"/>
                <w:bCs w:val="1"/>
                <w:color w:val="auto"/>
              </w:rPr>
              <w:t>Internal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Employee related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3,363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1,412</w:t>
            </w:r>
          </w:p>
        </w:tc>
      </w:t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22,547</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2,398</w:t>
            </w:r>
          </w:p>
        </w:tc>
        <w:tc>
          <w:tcPr>
            <w:tcW w:w="4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540" w:right="20" w:hanging="424"/>
        <w:spacing w:after="0" w:line="263"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Third-party CRO, CMO and other third-party clinical trial costs for DAY 101 program and pimasertib program were $7.7 million and $0.5 million for six months ended June 30, 2021. For the six months ended June 30, 2020, third-party CRO, CMO and other third-party clinical trial costs were attributable to the DAY101 program.</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General and administrative expenses increased $7.3 million, from $1.7 million for the six months ended June 30, 2020 compared to</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$9.0 million for the six months ended June 30, 2021. The increase in general and administrative expenses is primarily due to $4.1 million in employee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compensation costs driven by headcount growth, $2.5 million in legal and professional services driven by operational support and the cost of being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public company, and $0.2 million in facilities costs and other expenses.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in fair value of derivative tranche liability</w:t>
      </w:r>
    </w:p>
    <w:p>
      <w:pPr>
        <w:spacing w:after="0" w:line="117"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During six months ended June 30, 2020, we recognized $0.3 million expense for changes in fair value of derivative tranche liability related to the milestone-based closing of the Series A redeemable convertible preferred shares financing. As of December 31, 2020, the derivative tranche liability was settled and there was no such expense recognized during the six months ended June 30, 2021.</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Exchange of redeemable noncontrolling interest shares – deemed dividend</w:t>
      </w:r>
    </w:p>
    <w:p>
      <w:pPr>
        <w:spacing w:after="0" w:line="117" w:lineRule="exact"/>
        <w:rPr>
          <w:sz w:val="20"/>
          <w:szCs w:val="20"/>
          <w:color w:val="auto"/>
        </w:rPr>
      </w:pPr>
    </w:p>
    <w:p>
      <w:pPr>
        <w:ind w:left="120" w:right="60" w:firstLine="991"/>
        <w:spacing w:after="0" w:line="273" w:lineRule="auto"/>
        <w:rPr>
          <w:sz w:val="20"/>
          <w:szCs w:val="20"/>
          <w:color w:val="auto"/>
        </w:rPr>
      </w:pPr>
      <w:r>
        <w:rPr>
          <w:rFonts w:ascii="Arial" w:cs="Arial" w:eastAsia="Arial" w:hAnsi="Arial"/>
          <w:sz w:val="17"/>
          <w:szCs w:val="17"/>
          <w:color w:val="auto"/>
        </w:rPr>
        <w:t>During the six months ended June 30, 2021, we exchanged Takeda’s redeemable noncontrolling interest shares in our subsidiary, DOT-1 Therapeutics Inc., for common stock of Day One Biopharmaceuticals, Inc. which resulted in accounting for the transaction as a deemed dividend. As such, we recognized a $100.0 million, non-cash, extinguishment loss to additional paid-in capital, which was calculated as a difference between the fair value of common stock issued to Takeda in the Conversion and the carrying value of the redeemable noncontrolling interest at the conversion date. This was disclosed below net loss on the income statement as a deemed dividend, and included in the net loss per share calculation. There was no such loss recognized during the six months ended June 30, 2020.</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left="120" w:firstLine="991"/>
        <w:spacing w:after="0" w:line="254" w:lineRule="auto"/>
        <w:rPr>
          <w:sz w:val="20"/>
          <w:szCs w:val="20"/>
          <w:color w:val="auto"/>
        </w:rPr>
      </w:pPr>
      <w:r>
        <w:rPr>
          <w:rFonts w:ascii="Arial" w:cs="Arial" w:eastAsia="Arial" w:hAnsi="Arial"/>
          <w:sz w:val="18"/>
          <w:szCs w:val="18"/>
          <w:color w:val="auto"/>
        </w:rPr>
        <w:t>On June 1, 2021, we completed our IPO and sold an aggregate of 11,500,000 shares of common stock at a price to the public of $16.00 per share, which included 1,500,000 shares issued upon the full exercise by the underwriters in May 2021 of their option to purchase additional shares of common stock. We received aggregate net proceeds from the IPO of $167.0 million, after deducting underwriting discounts, commissions, and offering costs of $17.0. Prior to our IPO, we had funded our operations through the sale of our redeemable convertible preferred shares and convertible notes. We had previously raised approximately $192.0 million in gross proceeds from the sale and issuance of our Series A and Series B redeemable convertible preferred shares and convertible notes. As of June 30, 2021, we had an accumulated deficit of $86.3 million and $310.0 million in cash and cash equivalents.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86"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firstLine="423"/>
        <w:spacing w:after="0" w:line="259" w:lineRule="auto"/>
        <w:rPr>
          <w:sz w:val="20"/>
          <w:szCs w:val="20"/>
          <w:color w:val="auto"/>
        </w:rPr>
      </w:pPr>
      <w:r>
        <w:rPr>
          <w:rFonts w:ascii="Arial" w:cs="Arial" w:eastAsia="Arial" w:hAnsi="Arial"/>
          <w:sz w:val="18"/>
          <w:szCs w:val="18"/>
          <w:color w:val="auto"/>
        </w:rPr>
        <w:t>Our primary use of cash is to fund operating expenses, which consist primarily of research and development expenditures including our license, clinical trial, and laboratory costs as well as to a lesser extent, general and administrative expenditures including our salary and consulting expenses. Cash used to fund operating expenses is impacted by the timing of when we pay these expenses, as reflected in the change in our outstanding accounts payable and accrued expenses.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sources and uses of cash for the periods presented:</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760" w:type="dxa"/>
            <w:vAlign w:val="bottom"/>
            <w:gridSpan w:val="4"/>
          </w:tcPr>
          <w:p>
            <w:pPr>
              <w:jc w:val="right"/>
              <w:ind w:right="28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3100" w:type="dxa"/>
            <w:vAlign w:val="bottom"/>
            <w:gridSpan w:val="2"/>
          </w:tcPr>
          <w:p>
            <w:pPr>
              <w:jc w:val="right"/>
              <w:ind w:right="119"/>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4"/>
                <w:szCs w:val="14"/>
                <w:color w:val="auto"/>
              </w:rPr>
            </w:pPr>
          </w:p>
        </w:tc>
        <w:tc>
          <w:tcPr>
            <w:tcW w:w="580" w:type="dxa"/>
            <w:vAlign w:val="bottom"/>
          </w:tcPr>
          <w:p>
            <w:pPr>
              <w:jc w:val="right"/>
              <w:ind w:right="5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(23,149)</w:t>
            </w: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(3,973)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3500" w:type="dxa"/>
            <w:vAlign w:val="bottom"/>
            <w:gridSpan w:val="3"/>
          </w:tcPr>
          <w:p>
            <w:pPr>
              <w:jc w:val="right"/>
              <w:ind w:right="340"/>
              <w:spacing w:after="0"/>
              <w:rPr>
                <w:sz w:val="20"/>
                <w:szCs w:val="20"/>
                <w:color w:val="auto"/>
              </w:rPr>
            </w:pPr>
            <w:r>
              <w:rPr>
                <w:rFonts w:ascii="Arial" w:cs="Arial" w:eastAsia="Arial" w:hAnsi="Arial"/>
                <w:sz w:val="18"/>
                <w:szCs w:val="18"/>
                <w:color w:val="auto"/>
              </w:rPr>
              <w:t>(8,000)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35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297,417</w:t>
            </w:r>
          </w:p>
        </w:tc>
        <w:tc>
          <w:tcPr>
            <w:tcW w:w="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00" w:type="dxa"/>
            <w:vAlign w:val="bottom"/>
          </w:tcPr>
          <w:p>
            <w:pPr>
              <w:spacing w:after="0"/>
              <w:rPr>
                <w:sz w:val="20"/>
                <w:szCs w:val="20"/>
                <w:color w:val="auto"/>
              </w:rPr>
            </w:pPr>
            <w:r>
              <w:rPr>
                <w:rFonts w:ascii="Arial" w:cs="Arial" w:eastAsia="Arial" w:hAnsi="Arial"/>
                <w:sz w:val="18"/>
                <w:szCs w:val="18"/>
                <w:color w:val="auto"/>
              </w:rPr>
              <w:t>Net increase in cash</w:t>
            </w:r>
          </w:p>
        </w:tc>
        <w:tc>
          <w:tcPr>
            <w:tcW w:w="24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266,268</w:t>
            </w:r>
          </w:p>
        </w:tc>
        <w:tc>
          <w:tcPr>
            <w:tcW w:w="4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(4,066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420" w:type="dxa"/>
            <w:vAlign w:val="bottom"/>
            <w:vMerge w:val="restart"/>
          </w:tcPr>
          <w:p>
            <w:pPr>
              <w:jc w:val="right"/>
              <w:ind w:right="1795"/>
              <w:spacing w:after="0"/>
              <w:rPr>
                <w:sz w:val="20"/>
                <w:szCs w:val="20"/>
                <w:color w:val="auto"/>
              </w:rPr>
            </w:pPr>
            <w:r>
              <w:rPr>
                <w:rFonts w:ascii="Arial" w:cs="Arial" w:eastAsia="Arial" w:hAnsi="Arial"/>
                <w:sz w:val="18"/>
                <w:szCs w:val="18"/>
                <w:color w:val="auto"/>
              </w:rPr>
              <w:t>36</w:t>
            </w: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0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6" w:right="4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120" w:firstLine="991"/>
        <w:spacing w:after="0" w:line="293" w:lineRule="auto"/>
        <w:rPr>
          <w:sz w:val="20"/>
          <w:szCs w:val="20"/>
          <w:color w:val="auto"/>
        </w:rPr>
      </w:pPr>
      <w:r>
        <w:rPr>
          <w:rFonts w:ascii="Arial" w:cs="Arial" w:eastAsia="Arial" w:hAnsi="Arial"/>
          <w:sz w:val="16"/>
          <w:szCs w:val="16"/>
          <w:color w:val="auto"/>
        </w:rPr>
        <w:t>Net cash used in operating activities for the six months ended June 30, 2021 was $23.1 million, consisting of our net loss of $31.6 million, net decrease of $2.7 million in net operating assets and liabilities, partially offset by non-cash charges of $11.2 million. Changes in operating assets and liabilities were primarily related to an increase in prepaid expenses and other current assets of $4.7 million, which includes $3.0 million prepayment of the Viracta license milestone, partially offset by an increase in accrued expenses and other current liabilities of $2.6 million. Our non-cash charges primarily consisted $3.1 million in share-based compensation expense. We also paid $8.0 million related to the MRKDG License Agreement, which was recognized as research and development expenses and presented in investing activities in our condensed consolidated cash flows.</w:t>
      </w:r>
    </w:p>
    <w:p>
      <w:pPr>
        <w:spacing w:after="0" w:line="164" w:lineRule="exact"/>
        <w:rPr>
          <w:sz w:val="20"/>
          <w:szCs w:val="20"/>
          <w:color w:val="auto"/>
        </w:rPr>
      </w:pPr>
    </w:p>
    <w:p>
      <w:pPr>
        <w:ind w:left="120" w:right="240" w:firstLine="991"/>
        <w:spacing w:after="0" w:line="259" w:lineRule="auto"/>
        <w:rPr>
          <w:sz w:val="20"/>
          <w:szCs w:val="20"/>
          <w:color w:val="auto"/>
        </w:rPr>
      </w:pPr>
      <w:r>
        <w:rPr>
          <w:rFonts w:ascii="Arial" w:cs="Arial" w:eastAsia="Arial" w:hAnsi="Arial"/>
          <w:sz w:val="18"/>
          <w:szCs w:val="18"/>
          <w:color w:val="auto"/>
        </w:rPr>
        <w:t>Net cash used in operating activities for the six months ended June 30, 2020 was $4.0 million, consisting of our net loss of $4.4 million, net decrease of $0.1 in net operating assets and liabilities, partially offset by an increase of $0.5 million in non-cash charges. Our non-cash charges primarily consisted of $0.3 million in expense as it relates to changes in fair value of derivative tranche liability and $0.1 million in share-based compensation expense.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120" w:right="560" w:firstLine="991"/>
        <w:spacing w:after="0" w:line="277" w:lineRule="auto"/>
        <w:rPr>
          <w:sz w:val="20"/>
          <w:szCs w:val="20"/>
          <w:color w:val="auto"/>
        </w:rPr>
      </w:pPr>
      <w:r>
        <w:rPr>
          <w:rFonts w:ascii="Arial" w:cs="Arial" w:eastAsia="Arial" w:hAnsi="Arial"/>
          <w:sz w:val="18"/>
          <w:szCs w:val="18"/>
          <w:color w:val="auto"/>
        </w:rPr>
        <w:t>Net cash used in investing activities for the six months ended June 30, 2021 was $8.0 million, attributable to the payment under the MRKDG License Agreement.</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Net cash used in investing activities for the six months ended June 30, 2020 was $0.1 million, attributable to the purchases of property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equipment.</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120" w:right="20" w:firstLine="991"/>
        <w:spacing w:after="0" w:line="311" w:lineRule="auto"/>
        <w:rPr>
          <w:sz w:val="20"/>
          <w:szCs w:val="20"/>
          <w:color w:val="auto"/>
        </w:rPr>
      </w:pPr>
      <w:r>
        <w:rPr>
          <w:rFonts w:ascii="Arial" w:cs="Arial" w:eastAsia="Arial" w:hAnsi="Arial"/>
          <w:sz w:val="16"/>
          <w:szCs w:val="16"/>
          <w:color w:val="auto"/>
        </w:rPr>
        <w:t>Net cash provided by financing activities for the six months ended June 30, 2021 was $297.4 million, attributable to $167.7 million related to the net proceeds from the issuance of common stock in connection with the IPO, and $129.8 million related to the net proceeds from the sale and issuance of Series B redeemable convertible preferred shares. We had no net cash used in financing activities for the six months ended June 30, 2020.</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86"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Funding requirements</w:t>
      </w:r>
    </w:p>
    <w:p>
      <w:pPr>
        <w:spacing w:after="0" w:line="121" w:lineRule="exact"/>
        <w:rPr>
          <w:sz w:val="20"/>
          <w:szCs w:val="20"/>
          <w:color w:val="auto"/>
        </w:rPr>
      </w:pPr>
    </w:p>
    <w:p>
      <w:pPr>
        <w:ind w:left="120" w:right="380" w:firstLine="991"/>
        <w:spacing w:after="0" w:line="277" w:lineRule="auto"/>
        <w:rPr>
          <w:sz w:val="20"/>
          <w:szCs w:val="20"/>
          <w:color w:val="auto"/>
        </w:rPr>
      </w:pPr>
      <w:r>
        <w:rPr>
          <w:rFonts w:ascii="Arial" w:cs="Arial" w:eastAsia="Arial" w:hAnsi="Arial"/>
          <w:sz w:val="18"/>
          <w:szCs w:val="18"/>
          <w:color w:val="auto"/>
        </w:rPr>
        <w:t>Since our inception, we have incurred significant operating losses. We expect to continue to incur significant expenses and increasing operating losses for the foreseeable future in connection with our ongoing activities.</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Specifically, we anticipate that our expenses will increase substantially if and as we:</w:t>
      </w:r>
    </w:p>
    <w:p>
      <w:pPr>
        <w:spacing w:after="0" w:line="131"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advance the clinical development of DAY101 and pimasertib;</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pursue the clinical development of other potential research programs and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in-license or acquire the rights to other products, product candidates or technologies;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seek regulatory and marketing approval for any product candidates that successfully complete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expand, maintain and protect our intellectual property portfolio;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 our clinical, regulatory and scientific personnel; and</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increase personnel to support our research, business development and future commercialization efforts and support our operations as a public company.</w:t>
      </w:r>
    </w:p>
    <w:p>
      <w:pPr>
        <w:spacing w:after="0" w:line="170" w:lineRule="exact"/>
        <w:rPr>
          <w:sz w:val="20"/>
          <w:szCs w:val="20"/>
          <w:color w:val="auto"/>
        </w:rPr>
      </w:pPr>
    </w:p>
    <w:p>
      <w:pPr>
        <w:ind w:left="120" w:firstLine="991"/>
        <w:spacing w:after="0" w:line="286" w:lineRule="auto"/>
        <w:rPr>
          <w:sz w:val="20"/>
          <w:szCs w:val="20"/>
          <w:color w:val="auto"/>
        </w:rPr>
      </w:pPr>
      <w:r>
        <w:rPr>
          <w:rFonts w:ascii="Arial" w:cs="Arial" w:eastAsia="Arial" w:hAnsi="Arial"/>
          <w:sz w:val="17"/>
          <w:szCs w:val="17"/>
          <w:color w:val="auto"/>
        </w:rPr>
        <w:t>We believe our existing cash and cash equivalents, will enable us to fund our operating expenses and capital expenditure requirements into the second half of 2023. We have based this estimate on assumptions that may prove to be imprecise, and we could use our available capital resources sooner than we currently expect. Our future capital requirements will depend on many factors, including:</w:t>
      </w:r>
    </w:p>
    <w:p>
      <w:pPr>
        <w:spacing w:after="0" w:line="71"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progress, costs and results of our clinical trials for DAY101 and any future clinical development of DAY101;</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progress, costs and results of our clinical trials for product candidates containing and comprising pimasertib;</w:t>
      </w:r>
    </w:p>
    <w:p>
      <w:pPr>
        <w:spacing w:after="0" w:line="130"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progress, costs and results of preclinical and clinical development for our future potential product candidates and development programs;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DAY101, pimasertib and our other potential product candidates;</w:t>
      </w:r>
    </w:p>
    <w:p>
      <w:pPr>
        <w:spacing w:after="0" w:line="130" w:lineRule="exact"/>
        <w:rPr>
          <w:rFonts w:ascii="Arial" w:cs="Arial" w:eastAsia="Arial" w:hAnsi="Arial"/>
          <w:sz w:val="18"/>
          <w:szCs w:val="18"/>
          <w:color w:val="auto"/>
        </w:rPr>
      </w:pPr>
    </w:p>
    <w:p>
      <w:pPr>
        <w:ind w:left="1080" w:right="620" w:hanging="424"/>
        <w:spacing w:after="0" w:line="308" w:lineRule="auto"/>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costs and timing of future commercialization activities, including product manufacturing, marketing, sales and distribution, for DAY101, pimasertib and any of our potential product candidates for which we receive marketing approval;</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extent to which we pursue in-license or acquire rights to other products, product candidates or technologies;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business operations and research and development activities;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protecting our intellectual property rights and defending any intellectual property-related claims;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establish collaboration arrangements to develop or commercialize our product candidates; and</w:t>
      </w:r>
    </w:p>
    <w:p>
      <w:pPr>
        <w:spacing w:after="0" w:line="130"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effects of the recent disruptions to and volatility in the credit and financial markets in the United States and worldwide from the COVID-19 pandemic.</w:t>
      </w:r>
    </w:p>
    <w:p>
      <w:pPr>
        <w:spacing w:after="0" w:line="170" w:lineRule="exact"/>
        <w:rPr>
          <w:sz w:val="20"/>
          <w:szCs w:val="20"/>
          <w:color w:val="auto"/>
        </w:rPr>
      </w:pPr>
    </w:p>
    <w:p>
      <w:pPr>
        <w:ind w:left="120" w:firstLine="991"/>
        <w:spacing w:after="0" w:line="273" w:lineRule="auto"/>
        <w:rPr>
          <w:sz w:val="20"/>
          <w:szCs w:val="20"/>
          <w:color w:val="auto"/>
        </w:rPr>
      </w:pPr>
      <w:r>
        <w:rPr>
          <w:rFonts w:ascii="Arial" w:cs="Arial" w:eastAsia="Arial" w:hAnsi="Arial"/>
          <w:sz w:val="17"/>
          <w:szCs w:val="17"/>
          <w:color w:val="auto"/>
        </w:rPr>
        <w:t>As a result of these anticipated expenditures, we will need to obtain substantial additional financing in connection with our continuing operations. Until such time, if ever, as we can generate substantial revenue from product sales, we expect to finance our cash needs through a combination of equity offerings, debt financings, collaborations, strategic alliances and marketing, distribution or licensing arrangements. Adequate additional funds may not be available to us on acceptable terms, or at all. If we are unable to raise capital when needed or on attractive terms, we may be required to delay, limit, reduce or terminate our research, product development programs or any future commercialization efforts or grant rights to develop and market product candidates that we would otherwise prefer to develop and market ourselves.</w:t>
      </w:r>
    </w:p>
    <w:p>
      <w:pPr>
        <w:spacing w:after="0" w:line="178" w:lineRule="exact"/>
        <w:rPr>
          <w:sz w:val="20"/>
          <w:szCs w:val="20"/>
          <w:color w:val="auto"/>
        </w:rPr>
      </w:pPr>
    </w:p>
    <w:p>
      <w:pPr>
        <w:ind w:left="120" w:right="180" w:firstLine="991"/>
        <w:spacing w:after="0" w:line="279" w:lineRule="auto"/>
        <w:rPr>
          <w:sz w:val="20"/>
          <w:szCs w:val="20"/>
          <w:color w:val="auto"/>
        </w:rPr>
      </w:pPr>
      <w:r>
        <w:rPr>
          <w:rFonts w:ascii="Arial" w:cs="Arial" w:eastAsia="Arial" w:hAnsi="Arial"/>
          <w:sz w:val="17"/>
          <w:szCs w:val="17"/>
          <w:color w:val="auto"/>
        </w:rPr>
        <w:t>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spacing w:after="0" w:line="171" w:lineRule="exact"/>
        <w:rPr>
          <w:sz w:val="20"/>
          <w:szCs w:val="20"/>
          <w:color w:val="auto"/>
        </w:rPr>
      </w:pPr>
    </w:p>
    <w:p>
      <w:pPr>
        <w:ind w:left="120" w:right="20" w:firstLine="991"/>
        <w:spacing w:after="0" w:line="263"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w:t>
      </w:r>
    </w:p>
    <w:p>
      <w:pPr>
        <w:sectPr>
          <w:pgSz w:w="11900" w:h="16838" w:orient="portrait"/>
          <w:cols w:equalWidth="0" w:num="1">
            <w:col w:w="11100"/>
          </w:cols>
          <w:pgMar w:left="320" w:top="486" w:right="479" w:bottom="1440" w:gutter="0" w:footer="0" w:header="0"/>
        </w:sectPr>
      </w:pP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100"/>
          </w:cols>
          <w:pgMar w:left="320" w:top="486" w:right="47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firstLine="991"/>
        <w:spacing w:after="0" w:line="279" w:lineRule="auto"/>
        <w:rPr>
          <w:sz w:val="20"/>
          <w:szCs w:val="20"/>
          <w:color w:val="auto"/>
        </w:rPr>
      </w:pPr>
      <w:r>
        <w:rPr>
          <w:rFonts w:ascii="Arial" w:cs="Arial" w:eastAsia="Arial" w:hAnsi="Arial"/>
          <w:sz w:val="17"/>
          <w:szCs w:val="17"/>
          <w:color w:val="auto"/>
        </w:rPr>
        <w:t>Our ability to raise additional funds may be adversely impacted by potential worsening global economic conditions and disruptions to and volatility in the credit and financial markets in the United States and worldwide resulting from the ongoing COVID-19 pandemic or otherwise. Because of the numerous risks and uncertainties associated with product development, we cannot predict the timing or amount of increased expenses and cannot assure you that we will ever be profitable or generate positive cash flow from operating activities.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120" w:right="160" w:firstLine="991"/>
        <w:spacing w:after="0" w:line="259" w:lineRule="auto"/>
        <w:rPr>
          <w:sz w:val="20"/>
          <w:szCs w:val="20"/>
          <w:color w:val="auto"/>
        </w:rPr>
      </w:pPr>
      <w:r>
        <w:rPr>
          <w:rFonts w:ascii="Arial" w:cs="Arial" w:eastAsia="Arial" w:hAnsi="Arial"/>
          <w:sz w:val="18"/>
          <w:szCs w:val="18"/>
          <w:color w:val="auto"/>
        </w:rPr>
        <w:t>There have been no other material changes in our contractual obligations and commitments during the three months ended June 30, 2021 from those described under the heading “Management’s Discussion and Analysis of Financial Condition and Results of Operations—Contractual Obligations and Commitments” in our final prospectus for our IPO filed pursuant to Rule 424(b)(4) under the Securities Act with the SEC on May 27, 2021.</w:t>
      </w:r>
    </w:p>
    <w:p>
      <w:pPr>
        <w:spacing w:after="0" w:line="187" w:lineRule="exact"/>
        <w:rPr>
          <w:sz w:val="20"/>
          <w:szCs w:val="20"/>
          <w:color w:val="auto"/>
        </w:rPr>
      </w:pPr>
    </w:p>
    <w:p>
      <w:pPr>
        <w:ind w:left="120" w:firstLine="991"/>
        <w:spacing w:after="0" w:line="301" w:lineRule="auto"/>
        <w:rPr>
          <w:sz w:val="20"/>
          <w:szCs w:val="20"/>
          <w:color w:val="auto"/>
        </w:rPr>
      </w:pPr>
      <w:r>
        <w:rPr>
          <w:rFonts w:ascii="Arial" w:cs="Arial" w:eastAsia="Arial" w:hAnsi="Arial"/>
          <w:sz w:val="16"/>
          <w:szCs w:val="16"/>
          <w:color w:val="auto"/>
        </w:rPr>
        <w:t>We enter into contracts in the normal course of business with CROs for clinical trials, with CMOs for clinical supplies manufacturing and with other vendors for preclinical studies, supplies and other services and products for operating purposes. These contracts generally provide for termination on notice and may have a termination fees and non-cancellable commitments. As of June 30, 2021, there were no amounts accrued related to termination and cancellation charges as these are not probable and our non-cancelable obligations under these agreements were not material.</w:t>
      </w:r>
    </w:p>
    <w:p>
      <w:pPr>
        <w:spacing w:after="0" w:line="157" w:lineRule="exact"/>
        <w:rPr>
          <w:sz w:val="20"/>
          <w:szCs w:val="20"/>
          <w:color w:val="auto"/>
        </w:rPr>
      </w:pPr>
    </w:p>
    <w:p>
      <w:pPr>
        <w:ind w:left="120" w:right="120" w:firstLine="991"/>
        <w:spacing w:after="0" w:line="259" w:lineRule="auto"/>
        <w:rPr>
          <w:sz w:val="20"/>
          <w:szCs w:val="20"/>
          <w:color w:val="auto"/>
        </w:rPr>
      </w:pPr>
      <w:r>
        <w:rPr>
          <w:rFonts w:ascii="Arial" w:cs="Arial" w:eastAsia="Arial" w:hAnsi="Arial"/>
          <w:sz w:val="18"/>
          <w:szCs w:val="18"/>
          <w:color w:val="auto"/>
        </w:rPr>
        <w:t>We entered into licensing agreements, which require us to pay milestones contingent upon meeting of specific events. In April 2021, we achieved a milestone related to Viracta License Agreement of $3.0 million. No other milestones were achieved, due or payable as of June 30, 2021. We are required to pay royalties on sales of products developed under these agreements. All our products are in development as of June 30, 2021 and no such royalties are due.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left="120" w:right="140" w:firstLine="991"/>
        <w:spacing w:after="0" w:line="291" w:lineRule="auto"/>
        <w:rPr>
          <w:sz w:val="20"/>
          <w:szCs w:val="20"/>
          <w:color w:val="auto"/>
        </w:rPr>
      </w:pPr>
      <w:r>
        <w:rPr>
          <w:rFonts w:ascii="Arial" w:cs="Arial" w:eastAsia="Arial" w:hAnsi="Arial"/>
          <w:sz w:val="16"/>
          <w:szCs w:val="16"/>
          <w:color w:val="auto"/>
        </w:rPr>
        <w:t>Our critical accounting policies are disclosed in our audited consolidated financial statements for the year ended December 31, 2020, and the related notes included in our final prospectus for our IPO filed pursuant to Rule 424(b)(4) under the Securities Act with the SEC on May 27,</w:t>
      </w:r>
    </w:p>
    <w:p>
      <w:pPr>
        <w:ind w:left="120" w:right="160"/>
        <w:spacing w:after="0" w:line="323" w:lineRule="auto"/>
        <w:rPr>
          <w:sz w:val="20"/>
          <w:szCs w:val="20"/>
          <w:color w:val="auto"/>
        </w:rPr>
      </w:pPr>
      <w:r>
        <w:rPr>
          <w:rFonts w:ascii="Arial" w:cs="Arial" w:eastAsia="Arial" w:hAnsi="Arial"/>
          <w:sz w:val="16"/>
          <w:szCs w:val="16"/>
          <w:color w:val="auto"/>
        </w:rPr>
        <w:t>2021. Since the date of such financial statements, there have been no material changes to our significant accounting policies other than those described in Note 2 of the notes to our unaudited consolidated and condensed financial statements included elsewhere in this Quarterly Report on Form 10-Q.</w:t>
      </w:r>
    </w:p>
    <w:p>
      <w:pPr>
        <w:spacing w:after="0" w:line="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86"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left="120" w:right="140" w:firstLine="991"/>
        <w:spacing w:after="0" w:line="277" w:lineRule="auto"/>
        <w:rPr>
          <w:sz w:val="20"/>
          <w:szCs w:val="20"/>
          <w:color w:val="auto"/>
        </w:rPr>
      </w:pPr>
      <w:r>
        <w:rPr>
          <w:rFonts w:ascii="Arial" w:cs="Arial" w:eastAsia="Arial" w:hAnsi="Arial"/>
          <w:sz w:val="18"/>
          <w:szCs w:val="18"/>
          <w:color w:val="auto"/>
        </w:rPr>
        <w:t>Refer to Note 2 of the notes to our unaudited condensed consolidated financial statements included elsewhere in this Quarterly Report on Form 10-Q for a summary of recently issued and adopted accounting pronouncements.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right="340" w:firstLine="991"/>
        <w:spacing w:after="0" w:line="277" w:lineRule="auto"/>
        <w:rPr>
          <w:sz w:val="20"/>
          <w:szCs w:val="20"/>
          <w:color w:val="auto"/>
        </w:rPr>
      </w:pPr>
      <w:r>
        <w:rPr>
          <w:rFonts w:ascii="Arial" w:cs="Arial" w:eastAsia="Arial" w:hAnsi="Arial"/>
          <w:sz w:val="18"/>
          <w:szCs w:val="18"/>
          <w:color w:val="auto"/>
        </w:rPr>
        <w:t>We did not during the periods presented, and we do not currently have, any off-balance sheet arrangements, as defined in the rules and regulations of the SEC.</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left="120" w:firstLine="991"/>
        <w:spacing w:after="0" w:line="296" w:lineRule="auto"/>
        <w:rPr>
          <w:sz w:val="20"/>
          <w:szCs w:val="20"/>
          <w:color w:val="auto"/>
        </w:rPr>
      </w:pPr>
      <w:r>
        <w:rPr>
          <w:rFonts w:ascii="Arial" w:cs="Arial" w:eastAsia="Arial" w:hAnsi="Arial"/>
          <w:sz w:val="16"/>
          <w:szCs w:val="16"/>
          <w:color w:val="auto"/>
        </w:rPr>
        <w:t>As an emerging growth company, or EGC, under the Jumpstart Our Business Startups Act of 2012, or JOBS Act, we can take advantage of an extended transition period for complying with new or revised accounting standards. This provision allows an EGC to delay the adoption of some accounting standards until those standards would otherwise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As of June 30, 2021, management, with the participation of our Principal Executive Officer and Principal Financial and Accounting Officer, performed an evaluation of the effectiveness of our disclosure controls and procedures as defined in Rules 13a-15(e) and 15d-15(e) of the Securities Exchange Act of 1934, as amended, or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Principal Executive Officer and the Principal Financial and Accounting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Principal Executive Officer and Principal Financial and Accounting Officer concluded that, as of June 30, 2021, our disclosure controls and procedures were effective at a reasonable assurance level.</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June 30, 2021 that have materially affected, or are reasonably likely to materially affect, our internal control over financial reporting.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86"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reputational harm, and other factors.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i w:val="1"/>
          <w:iCs w:val="1"/>
          <w:color w:val="auto"/>
        </w:rPr>
        <w:t>Investing in our common stock involves a high degree of risk. Before making your decision to invest in shares of our common stock, you should carefully consider the risks and uncertainties described below, together with the other information contained in this quarterly report, including our financial statements and the related notes and “Management’s Discussion and Analysis of Financial Condition and Results of Operations”. The risks and uncertainties described below are not the only ones we face. Additional risks and uncertainties that we are unaware of, or that we currently believe are not material, may also become important factors that affect us. We cannot assure you that any of the events discussed below will not occur. These events could have a material and adverse impact on our business, financial condition, results of operations and prospects. If that were to happen, the trading price of our common stock could decline, and you could lose all or part of your investment.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business is subject to a number of risks and uncertainties, including those immediately following this summary. Some of these risks are:</w:t>
      </w:r>
    </w:p>
    <w:p>
      <w:pPr>
        <w:spacing w:after="0" w:line="142" w:lineRule="exact"/>
        <w:rPr>
          <w:sz w:val="20"/>
          <w:szCs w:val="20"/>
          <w:color w:val="auto"/>
        </w:rPr>
      </w:pPr>
    </w:p>
    <w:p>
      <w:pPr>
        <w:ind w:left="540" w:right="60" w:hanging="424"/>
        <w:spacing w:after="0" w:line="342" w:lineRule="auto"/>
        <w:tabs>
          <w:tab w:leader="none" w:pos="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have a limited operating history, have not completed any clinical trials beyond Phase 1, have no products approved for commercial sale and have not generated any revenue, which may make it difficult for investors to evaluate our current business and likelihood of success and viability.</w:t>
      </w:r>
    </w:p>
    <w:p>
      <w:pPr>
        <w:spacing w:after="0" w:line="29" w:lineRule="exact"/>
        <w:rPr>
          <w:rFonts w:ascii="Arial" w:cs="Arial" w:eastAsia="Arial" w:hAnsi="Arial"/>
          <w:sz w:val="16"/>
          <w:szCs w:val="16"/>
          <w:color w:val="auto"/>
        </w:rPr>
      </w:pPr>
    </w:p>
    <w:p>
      <w:pPr>
        <w:ind w:left="540" w:right="500" w:hanging="424"/>
        <w:spacing w:after="0" w:line="277"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have incurred significant net losses since our inception and have not generated any revenue. We expect to incur continued losses for the foreseeable future and may never achieve or maintain profitability.</w:t>
      </w:r>
    </w:p>
    <w:p>
      <w:pPr>
        <w:spacing w:after="0" w:line="75" w:lineRule="exact"/>
        <w:rPr>
          <w:rFonts w:ascii="Arial" w:cs="Arial" w:eastAsia="Arial" w:hAnsi="Arial"/>
          <w:sz w:val="18"/>
          <w:szCs w:val="18"/>
          <w:color w:val="auto"/>
        </w:rPr>
      </w:pPr>
    </w:p>
    <w:p>
      <w:pPr>
        <w:ind w:left="540" w:hanging="424"/>
        <w:spacing w:after="0" w:line="277"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generate revenue and achieve profitability depends significantly on our ability to achieve several objectives relating to the discovery or identification, development and commercialization of our product candidates.</w:t>
      </w:r>
    </w:p>
    <w:p>
      <w:pPr>
        <w:spacing w:after="0" w:line="75" w:lineRule="exact"/>
        <w:rPr>
          <w:rFonts w:ascii="Arial" w:cs="Arial" w:eastAsia="Arial" w:hAnsi="Arial"/>
          <w:sz w:val="18"/>
          <w:szCs w:val="18"/>
          <w:color w:val="auto"/>
        </w:rPr>
      </w:pPr>
    </w:p>
    <w:p>
      <w:pPr>
        <w:ind w:left="540" w:right="100" w:hanging="424"/>
        <w:spacing w:after="0" w:line="263"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will require substantial additional capital to finance our operations and achieve our goals. If we are unable to raise capital when needed or on terms acceptable to us, we may be forced to delay, reduce or eliminate our research or product development programs, any future commercialization efforts or other operations.</w:t>
      </w:r>
    </w:p>
    <w:p>
      <w:pPr>
        <w:spacing w:after="0" w:line="89" w:lineRule="exact"/>
        <w:rPr>
          <w:rFonts w:ascii="Arial" w:cs="Arial" w:eastAsia="Arial" w:hAnsi="Arial"/>
          <w:sz w:val="18"/>
          <w:szCs w:val="18"/>
          <w:color w:val="auto"/>
        </w:rPr>
      </w:pPr>
    </w:p>
    <w:p>
      <w:pPr>
        <w:ind w:left="540" w:right="140" w:hanging="424"/>
        <w:spacing w:after="0" w:line="277"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are substantially dependent on the success of our lead product candidate, DAY101, which is currently in clinical development and which has not completed a pivotal trial.</w:t>
      </w:r>
    </w:p>
    <w:p>
      <w:pPr>
        <w:spacing w:after="0" w:line="75" w:lineRule="exact"/>
        <w:rPr>
          <w:rFonts w:ascii="Arial" w:cs="Arial" w:eastAsia="Arial" w:hAnsi="Arial"/>
          <w:sz w:val="18"/>
          <w:szCs w:val="18"/>
          <w:color w:val="auto"/>
        </w:rPr>
      </w:pPr>
    </w:p>
    <w:p>
      <w:pPr>
        <w:ind w:left="540" w:right="40" w:hanging="424"/>
        <w:spacing w:after="0" w:line="263"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Clinical trials are very expensive, time-consuming and difficult to design and implement, and involve uncertain outcomes. Furthermore, results of earlier preclinical studies and clinical trials may not be predictive of results of future preclinical studies or clinical trials. Our product candidates may not have favorable results in later clinical trials, if any, or receive regulatory approval.</w:t>
      </w:r>
    </w:p>
    <w:p>
      <w:pPr>
        <w:spacing w:after="0" w:line="89" w:lineRule="exact"/>
        <w:rPr>
          <w:rFonts w:ascii="Arial" w:cs="Arial" w:eastAsia="Arial" w:hAnsi="Arial"/>
          <w:sz w:val="18"/>
          <w:szCs w:val="18"/>
          <w:color w:val="auto"/>
        </w:rPr>
      </w:pPr>
    </w:p>
    <w:p>
      <w:pPr>
        <w:ind w:left="540" w:right="740" w:hanging="424"/>
        <w:spacing w:after="0" w:line="277"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expect to rely on data from an investigator-initiated trial Phase 1 clinical trial in our regulatory filings and we do not control the trial operations or reporting of the results.</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we fail to demonstrate safety and efficacy to our stakeholders, our reputation may be harmed and our business will suffer.</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80"/>
          </w:cols>
          <w:pgMar w:left="320" w:top="486" w:right="4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COVID-19 pandemic could adversely impact our business, including our clinical trials and clinical trial operations.</w:t>
      </w:r>
    </w:p>
    <w:p>
      <w:pPr>
        <w:spacing w:after="0" w:line="130" w:lineRule="exact"/>
        <w:rPr>
          <w:rFonts w:ascii="Arial" w:cs="Arial" w:eastAsia="Arial" w:hAnsi="Arial"/>
          <w:sz w:val="18"/>
          <w:szCs w:val="18"/>
          <w:color w:val="auto"/>
        </w:rPr>
      </w:pPr>
    </w:p>
    <w:p>
      <w:pPr>
        <w:ind w:left="540" w:right="600" w:hanging="424"/>
        <w:spacing w:after="0" w:line="277"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development and commercialization of pharmaceutical products are subject to extensive regulation, and we may not obtain regulatory approvals for DAY101, pimasertib or any future product candidates, on a timely basis or at all.</w:t>
      </w:r>
    </w:p>
    <w:p>
      <w:pPr>
        <w:spacing w:after="0" w:line="75" w:lineRule="exact"/>
        <w:rPr>
          <w:rFonts w:ascii="Arial" w:cs="Arial" w:eastAsia="Arial" w:hAnsi="Arial"/>
          <w:sz w:val="18"/>
          <w:szCs w:val="18"/>
          <w:color w:val="auto"/>
        </w:rPr>
      </w:pPr>
    </w:p>
    <w:p>
      <w:pPr>
        <w:ind w:left="540" w:right="40" w:hanging="424"/>
        <w:spacing w:after="0" w:line="277"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manufacture of our product candidates is complex. Our third-party manufacturers may encounter difficulties in production, which could delay or entirely halt their ability to supply our product candidates for clinical trials or, if approved, for commercial sale.</w:t>
      </w:r>
    </w:p>
    <w:p>
      <w:pPr>
        <w:spacing w:after="0" w:line="75" w:lineRule="exact"/>
        <w:rPr>
          <w:rFonts w:ascii="Arial" w:cs="Arial" w:eastAsia="Arial" w:hAnsi="Arial"/>
          <w:sz w:val="18"/>
          <w:szCs w:val="18"/>
          <w:color w:val="auto"/>
        </w:rPr>
      </w:pPr>
    </w:p>
    <w:p>
      <w:pPr>
        <w:ind w:left="540" w:right="20" w:hanging="424"/>
        <w:spacing w:after="0" w:line="277"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future success depends on our ability to retain our executive officers and key employees and to attract, retain and motivate qualified personnel and manage our human capital.</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will need to grow the size and capabilities of our organization, and we may experience difficulties in managing this growth.</w:t>
      </w:r>
    </w:p>
    <w:p>
      <w:pPr>
        <w:spacing w:after="0" w:line="130" w:lineRule="exact"/>
        <w:rPr>
          <w:rFonts w:ascii="Arial" w:cs="Arial" w:eastAsia="Arial" w:hAnsi="Arial"/>
          <w:sz w:val="18"/>
          <w:szCs w:val="18"/>
          <w:color w:val="auto"/>
        </w:rPr>
      </w:pPr>
    </w:p>
    <w:p>
      <w:pPr>
        <w:ind w:left="540" w:right="280" w:hanging="424"/>
        <w:spacing w:after="0" w:line="259"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we are unable to obtain and maintain patent protection or other necessary rights for our products and technology, or if the scope of the patent protection obtained is not sufficiently broad or our rights under licensed patents is not sufficiently broad, our competitors could develop and commercialize products and technology similar or identical to ours, and our ability to successfully commercialize our products and technology may be adversely affected.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left="120" w:right="20"/>
        <w:spacing w:after="0" w:line="375" w:lineRule="auto"/>
        <w:rPr>
          <w:sz w:val="20"/>
          <w:szCs w:val="20"/>
          <w:color w:val="auto"/>
        </w:rPr>
      </w:pPr>
      <w:r>
        <w:rPr>
          <w:rFonts w:ascii="Arial" w:cs="Arial" w:eastAsia="Arial" w:hAnsi="Arial"/>
          <w:sz w:val="15"/>
          <w:szCs w:val="15"/>
          <w:b w:val="1"/>
          <w:bCs w:val="1"/>
          <w:i w:val="1"/>
          <w:iCs w:val="1"/>
          <w:color w:val="auto"/>
        </w:rPr>
        <w:t>We have a limited operating history, have not completed any clinical trials beyond Phase 1, have no products approved for commercial sale and have not generated any revenue, which may make it difficult for investors to evaluate our current business and likelihood of success and viability.</w:t>
      </w:r>
    </w:p>
    <w:p>
      <w:pPr>
        <w:spacing w:after="0" w:line="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We are a clinical-stage biopharmaceutical company with a limited operating history upon which you can evaluate our business and prospects. We commenced operations in 2018, have no products approved for commercial sale and have never generated any revenue. Investment in drug development is a highly speculative undertaking and involves a substantial degree of risk. To date, we have devoted substantially all of our resources to identifying, acquiring and developing our product candidates and building our pipeline, organizing and staffing our company, business planning, establishing and maintaining our intellectual property portfolio, establishing arrangements with third parties for the manufacture of our product candidates, raising capital and providing general and administrative support for these operations.</w:t>
      </w:r>
    </w:p>
    <w:p>
      <w:pPr>
        <w:spacing w:after="0" w:line="178"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Since our inception, we have focused substantially all of our efforts and financial resources on the clinical development of our lead product candidate, DAY101, initially for relapsed or progressive low-grade gliomas, or pLGGs, and our other current product candidate, pimasertib, an orally available small molecule inhibitor of MEK kinase, which we intend to use in combination with DAY101 for the treatment of RAS and RAF- dependent tumors. To date, we have funded our operations with proceeds from sale of our convertible preferred stock and convertible notes. To date, we have financed our operations primarily through the sale and issuance of redeemable convertible preferred stock, convertible notes, and the completion of our initial public offering, or IPO.</w:t>
      </w:r>
    </w:p>
    <w:p>
      <w:pPr>
        <w:spacing w:after="0" w:line="192"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We have not yet demonstrated an ability to successfully complete any clinical trials beyond Phase 1, obtain marketing approvals, manufacture a commercial-scale product or arrange for a third-party to do so on our behalf, or conduct sales and marketing activities necessary for successful product commercialization. As a result, it may be more difficult for you to accurately predict our likelihood of success and viability than it could be if we had a longer operating history.</w:t>
      </w:r>
    </w:p>
    <w:p>
      <w:pPr>
        <w:spacing w:after="0" w:line="187"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In addition, we may encounter unforeseen expenses, difficulties, complications, delays and other known and unknown factors and risks frequently experienced by clinical-stage biopharmaceutical companies in rapidly evolving fields. We also may need to transition from a company with a research and development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86"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b w:val="1"/>
          <w:bCs w:val="1"/>
          <w:i w:val="1"/>
          <w:iCs w:val="1"/>
          <w:color w:val="auto"/>
        </w:rPr>
        <w:t>We have incurred significant net losses since our inception and have not generated any revenue. We expect to incur continued losses for the foreseeable future and may never achieve or maintain profitability.</w:t>
      </w:r>
    </w:p>
    <w:p>
      <w:pPr>
        <w:spacing w:after="0" w:line="62"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We have incurred significant net losses in each reporting period since our inception, have not generated any revenue to date and have financed our operations principally through private placements of our redeemable convertible preferred shares and our convertible notes. For the six months ended June 30, 2021 and the year ended December 31, 2020, we reported a net loss and comprehensive loss of $31.6 million and $43.8 million, respectively. We had an accumulated deficit of $86.3 million as of June 30, 2021. We expect to incur increasing levels of operating losses for the foreseeable future, particularly as we advance DAY101 and pimasertib through clinical development. Our prior losses, combined with expected future losses, have had, and will continue to have, an adverse effect on our stockholders’ equity and working capital. We expect our research and development expenses to significantly increase in connection with our additional planned clinical trials for our lead product candidate and other product candidates, including our ongoing pivotal Phase 2 clinical trial for DAY101 (FIREFLY-1), our planned Phase 3 clinical trial of DAY101 as a potential frontline therapy in pLGG, our planned Phase 2 clinical trial of DAY101 in adult RAS/RAF-altered solid tumors and our planned Phase 1b/2 trial for DAY101 and pimasertib, and development of and subsequent Investigational New Drug Applications, or INDs, for any future product candidates we may choose to pursue. In addition, if we obtain marketing approval for DAY101, pimasertib, or another product candidate, we will incur significant sales, marketing and outsourced manufacturing expenses in connection with the commercialization of DAY101, pimasertib, or such other product candidate, respectively. Once we are a public company, we will incur additional costs associated with operating as a public company.</w:t>
      </w:r>
    </w:p>
    <w:p>
      <w:pPr>
        <w:spacing w:after="0" w:line="174" w:lineRule="exact"/>
        <w:rPr>
          <w:sz w:val="20"/>
          <w:szCs w:val="20"/>
          <w:color w:val="auto"/>
        </w:rPr>
      </w:pPr>
    </w:p>
    <w:p>
      <w:pPr>
        <w:ind w:left="120" w:right="260"/>
        <w:spacing w:after="0" w:line="255" w:lineRule="auto"/>
        <w:rPr>
          <w:sz w:val="20"/>
          <w:szCs w:val="20"/>
          <w:color w:val="auto"/>
        </w:rPr>
      </w:pPr>
      <w:r>
        <w:rPr>
          <w:rFonts w:ascii="Arial" w:cs="Arial" w:eastAsia="Arial" w:hAnsi="Arial"/>
          <w:sz w:val="18"/>
          <w:szCs w:val="18"/>
          <w:color w:val="auto"/>
        </w:rPr>
        <w:t>As a result, we expect to continue to incur significant and increasing net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 In addition, we expect our financial condition and operating results to fluctuate significantly from quarter-to-quarter and year-to-year due to a variety of factors, many of which are beyond our control. Accordingly, you should not rely upon the results of any quarterly or annual periods as indications of future operating performance.</w:t>
      </w:r>
    </w:p>
    <w:p>
      <w:pPr>
        <w:spacing w:after="0" w:line="300"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several objectives relating to the discovery or identification, development and commercialization of our product candidates.</w:t>
      </w:r>
    </w:p>
    <w:p>
      <w:pPr>
        <w:spacing w:after="0" w:line="62" w:lineRule="exact"/>
        <w:rPr>
          <w:sz w:val="20"/>
          <w:szCs w:val="20"/>
          <w:color w:val="auto"/>
        </w:rPr>
      </w:pPr>
    </w:p>
    <w:p>
      <w:pPr>
        <w:jc w:val="both"/>
        <w:ind w:left="120" w:right="300"/>
        <w:spacing w:after="0" w:line="301" w:lineRule="auto"/>
        <w:rPr>
          <w:sz w:val="20"/>
          <w:szCs w:val="20"/>
          <w:color w:val="auto"/>
        </w:rPr>
      </w:pPr>
      <w:r>
        <w:rPr>
          <w:rFonts w:ascii="Arial" w:cs="Arial" w:eastAsia="Arial" w:hAnsi="Arial"/>
          <w:sz w:val="16"/>
          <w:szCs w:val="16"/>
          <w:color w:val="auto"/>
        </w:rPr>
        <w:t>Our business depends entirely on the successful discovery or identification, development and commercialization of product candidates. We have no products approved for commercial sale and do not anticipate generating any revenue from product sales for the next several years, if ever. We do not expect to generate significant revenue unless and until we obtain marketing approval for, and begin to sell, DAY101, pimasertib, or another product candidate. Our ability to generate revenue and achieve profitability depends on a number of factors, including, but not limited to, our ability to:</w:t>
      </w:r>
    </w:p>
    <w:p>
      <w:pPr>
        <w:spacing w:after="0" w:line="63" w:lineRule="exact"/>
        <w:rPr>
          <w:sz w:val="20"/>
          <w:szCs w:val="20"/>
          <w:color w:val="auto"/>
        </w:rPr>
      </w:pPr>
    </w:p>
    <w:p>
      <w:pPr>
        <w:ind w:left="540" w:hanging="424"/>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complete a successful pivotal Phase 2 trial with DAY101 that achieves a competitive, clinically meaningful target product profile;</w:t>
      </w:r>
    </w:p>
    <w:p>
      <w:pPr>
        <w:spacing w:after="0" w:line="130" w:lineRule="exact"/>
        <w:rPr>
          <w:rFonts w:ascii="Arial" w:cs="Arial" w:eastAsia="Arial" w:hAnsi="Arial"/>
          <w:sz w:val="18"/>
          <w:szCs w:val="18"/>
          <w:color w:val="auto"/>
        </w:rPr>
      </w:pPr>
    </w:p>
    <w:p>
      <w:pPr>
        <w:ind w:left="540" w:right="140" w:hanging="424"/>
        <w:spacing w:after="0" w:line="277"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initiate and complete a successful Phase 1b/2 trial of DAY101 as monotherapy and in combination with pimasertib in patients 12 years and older with tumors having activated RAF signaling;</w:t>
      </w:r>
    </w:p>
    <w:p>
      <w:pPr>
        <w:spacing w:after="0" w:line="75" w:lineRule="exact"/>
        <w:rPr>
          <w:rFonts w:ascii="Arial" w:cs="Arial" w:eastAsia="Arial" w:hAnsi="Arial"/>
          <w:sz w:val="18"/>
          <w:szCs w:val="18"/>
          <w:color w:val="auto"/>
        </w:rPr>
      </w:pPr>
    </w:p>
    <w:p>
      <w:pPr>
        <w:ind w:left="540" w:right="620" w:hanging="424"/>
        <w:spacing w:after="0" w:line="277"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initiate and successfully complete all safety, pharmacokinetic and other studies required to obtain U.S. and foreign marketing approval for DAY101 as a treatment for patients with pLGGs;</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initiate and complete successful later-stage clinical trials that meet their clinical endpoints;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320" w:top="486"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40" w:hanging="424"/>
        <w:spacing w:after="0" w:line="263"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 favorable results from our clinical trials and apply for and obtain marketing approval for DAY101 and pimasertib from applicable regulatory authorities, including New Drug Applications, or NDAs, from the U.S. Food and Drug Administration, or the FDA, and maintaining such approvals;</w:t>
      </w:r>
    </w:p>
    <w:p>
      <w:pPr>
        <w:spacing w:after="0" w:line="89" w:lineRule="exact"/>
        <w:rPr>
          <w:rFonts w:ascii="Arial" w:cs="Arial" w:eastAsia="Arial" w:hAnsi="Arial"/>
          <w:sz w:val="18"/>
          <w:szCs w:val="18"/>
          <w:color w:val="auto"/>
        </w:rPr>
      </w:pPr>
    </w:p>
    <w:p>
      <w:pPr>
        <w:ind w:left="540" w:hanging="424"/>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 licenses, collaborations or strategic partnerships that may increase the value of our programs;</w:t>
      </w:r>
    </w:p>
    <w:p>
      <w:pPr>
        <w:spacing w:after="0" w:line="130" w:lineRule="exact"/>
        <w:rPr>
          <w:rFonts w:ascii="Arial" w:cs="Arial" w:eastAsia="Arial" w:hAnsi="Arial"/>
          <w:sz w:val="18"/>
          <w:szCs w:val="18"/>
          <w:color w:val="auto"/>
        </w:rPr>
      </w:pPr>
    </w:p>
    <w:p>
      <w:pPr>
        <w:ind w:left="540" w:right="360" w:hanging="424"/>
        <w:spacing w:after="0" w:line="308" w:lineRule="auto"/>
        <w:tabs>
          <w:tab w:leader="none" w:pos="5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establish and maintain viable supply and manufacturing relationships with third parties that can provide adequate, in both amount and quality, products and services to support clinical development and meet the market demand for our product candidates, if approved;</w:t>
      </w:r>
    </w:p>
    <w:p>
      <w:pPr>
        <w:spacing w:after="0" w:line="51" w:lineRule="exact"/>
        <w:rPr>
          <w:rFonts w:ascii="Arial" w:cs="Arial" w:eastAsia="Arial" w:hAnsi="Arial"/>
          <w:sz w:val="17"/>
          <w:szCs w:val="17"/>
          <w:color w:val="auto"/>
        </w:rPr>
      </w:pPr>
    </w:p>
    <w:p>
      <w:pPr>
        <w:ind w:left="540" w:hanging="424"/>
        <w:spacing w:after="0" w:line="277"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successfully commercialize DAY101, pimasertib, and any future product candidates we may develop, if approved, respectively, by building a sales force or entering into collaborations with third parties;</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satisfy any required post-marketing approval commitments to applicable regulatory authorities;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maintain a continued acceptable safety profile following any marketing approval of our product candidates;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identify, assess and develop new product candidates;</w:t>
      </w:r>
    </w:p>
    <w:p>
      <w:pPr>
        <w:spacing w:after="0" w:line="130" w:lineRule="exact"/>
        <w:rPr>
          <w:rFonts w:ascii="Arial" w:cs="Arial" w:eastAsia="Arial" w:hAnsi="Arial"/>
          <w:sz w:val="18"/>
          <w:szCs w:val="18"/>
          <w:color w:val="auto"/>
        </w:rPr>
      </w:pPr>
    </w:p>
    <w:p>
      <w:pPr>
        <w:ind w:left="540" w:right="40" w:hanging="424"/>
        <w:spacing w:after="0" w:line="277"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 and maintain patent and trade secret protection or regulatory exclusivity for our product candidates; maintain an acceptable safety profile of our products, including pimasertib;</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 maintain, protect and defend our intellectual property portfolio;</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address any competing therapies and technological and market developments;</w:t>
      </w:r>
    </w:p>
    <w:p>
      <w:pPr>
        <w:spacing w:after="0" w:line="130" w:lineRule="exact"/>
        <w:rPr>
          <w:rFonts w:ascii="Arial" w:cs="Arial" w:eastAsia="Arial" w:hAnsi="Arial"/>
          <w:sz w:val="18"/>
          <w:szCs w:val="18"/>
          <w:color w:val="auto"/>
        </w:rPr>
      </w:pPr>
    </w:p>
    <w:p>
      <w:pPr>
        <w:ind w:left="540" w:right="60" w:hanging="424"/>
        <w:spacing w:after="0" w:line="277"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achieve market acceptance of DAY101 or pimasertib and our other successful product candidates with patients, the medical community and third-party payors; and</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225"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To become and remain profitable, we must succeed in designing, developing and eventually commercializing products that generate significant revenue. This will require us to be successful in a range of challenging activities, including completing clinical trials for our product candidates, designing and/or acquiring additional product candidates, establishing arrangements with third parties for the manufacture of clinical supplies of our product candidates, obtaining marketing approval for our product candidates and manufacturing, or marketing and selling any products for which we may obtain marketing approval. We are in the earlier stages of most of these activities. We may never succeed in these activities and, even if we do, may never generate revenues that are significant enough to achieve profitability.</w:t>
      </w:r>
    </w:p>
    <w:p>
      <w:pPr>
        <w:spacing w:after="0" w:line="178"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In cases where we are successful in obtaining regulatory approval to market one or more of our product candidates, our revenue will be dependent, in part, upon the size of the markets in the territories for which we gain regulatory approval, the accepted price for the product, the duration of treatment that physicians believe is appropriate for our product, the speed of physician adoption,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payer decisions or treatment guidelines, we may not generate significant revenue from sales of such products, even if approved.</w:t>
      </w:r>
    </w:p>
    <w:p>
      <w:pPr>
        <w:spacing w:after="0" w:line="178" w:lineRule="exact"/>
        <w:rPr>
          <w:sz w:val="20"/>
          <w:szCs w:val="20"/>
          <w:color w:val="auto"/>
        </w:rPr>
      </w:pPr>
    </w:p>
    <w:p>
      <w:pPr>
        <w:ind w:left="120" w:right="360"/>
        <w:spacing w:after="0" w:line="259" w:lineRule="auto"/>
        <w:rPr>
          <w:sz w:val="20"/>
          <w:szCs w:val="20"/>
          <w:color w:val="auto"/>
        </w:rPr>
      </w:pPr>
      <w:r>
        <w:rPr>
          <w:rFonts w:ascii="Arial" w:cs="Arial" w:eastAsia="Arial" w:hAnsi="Arial"/>
          <w:sz w:val="18"/>
          <w:szCs w:val="18"/>
          <w:color w:val="auto"/>
        </w:rPr>
        <w:t>If we decide to or are required by the FDA or regulatory authorities in other jurisdictions to perform studies or clinical trials in addition to those currently expected, or if there are any delays in establishing appropriate manufacturing arrangements for, in initiating or completing our current and planned clinical trials for, or in the development of, any of our product candidates, our expenses could increase materially and profitability could be further delayed.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86"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292"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We will require substantial additional capital to finance our operations and achieve our goals. If we are unable to raise capital when needed or on terms acceptable to us, we may be forced to delay, reduce or eliminate our research or product development programs, any future commercialization efforts or other operations.</w:t>
      </w:r>
    </w:p>
    <w:p>
      <w:pPr>
        <w:spacing w:after="0" w:line="76"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substantially in connection with our ongoing activities, particularly as we advance our lead product candidate, DAY101, pimasertib, and any future product candidates through clinical development. We expect increased expenses as we continue our research and development, initiate additional clinical trials seek to expand our product pipeline, and seek marketing approval for our lead programs and future product candidates and invest in our organization. In addition, if we obtain marketing approval for any of our product candidates, we expect to incur significant commercialization expenses related to product manufacturing, marketing, sales and distribution. Furthermore, we expect to incur additional costs associated with operating as a public company, such as acquiring and retaining experienced personnel, developing new information technology systems, costs associated with being a public company, cost of preparing and filing patent applications, maintaining our intellectual property and potentially expanding our office facilities. Accordingly, we will need to obtain substantial additional funding in connection with our continuing operations.</w:t>
      </w:r>
    </w:p>
    <w:p>
      <w:pPr>
        <w:spacing w:after="0" w:line="168"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Adequate additional financing may not be available to us on favorable terms, or at all. In addition, we may seek additional capital due to favorable market conditions or strategic considerations even if we believe we have sufficient funds for our current or future operating plans. If we are unable to raise capital when needed or on favorable terms, we could be forced to delay, reduce or eliminate our research and development programs, our commercialization plans or other operations.</w:t>
      </w:r>
    </w:p>
    <w:p>
      <w:pPr>
        <w:spacing w:after="0" w:line="18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We had $310.0 million in cash and cash equivalents as of June 30, 2021. We believe that our existing cash, and cash equivalents, will enable us to fund our operating expenses, and capital expenditure requirements into 2023. We have based this estimate on assumptions that may prove to be wrong, and we could use our capital resources sooner than we currently expect. Changes beyond our control may occur that would cause us to use our available capital before that time, including changes in and progress of our drug development activities and changes in regulation. Our future capital requirements will depend on many factors, including:</w:t>
      </w:r>
    </w:p>
    <w:p>
      <w:pPr>
        <w:spacing w:after="0" w:line="93" w:lineRule="exact"/>
        <w:rPr>
          <w:sz w:val="20"/>
          <w:szCs w:val="20"/>
          <w:color w:val="auto"/>
        </w:rPr>
      </w:pPr>
    </w:p>
    <w:p>
      <w:pPr>
        <w:ind w:left="540" w:hanging="424"/>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progress, timing and results of preclinical studies and clinical trials for our current or any future product candidates;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extent to which we develop, in-license or acquire other pipeline product candidates or technologies;</w:t>
      </w:r>
    </w:p>
    <w:p>
      <w:pPr>
        <w:spacing w:after="0" w:line="130" w:lineRule="exact"/>
        <w:rPr>
          <w:rFonts w:ascii="Arial" w:cs="Arial" w:eastAsia="Arial" w:hAnsi="Arial"/>
          <w:sz w:val="18"/>
          <w:szCs w:val="18"/>
          <w:color w:val="auto"/>
        </w:rPr>
      </w:pPr>
    </w:p>
    <w:p>
      <w:pPr>
        <w:ind w:left="540" w:right="660" w:hanging="424"/>
        <w:spacing w:after="0" w:line="277"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number and development requirements of future product candidates that we may pursue, and other indications for our current product candidates that we may pursue;</w:t>
      </w:r>
    </w:p>
    <w:p>
      <w:pPr>
        <w:spacing w:after="0" w:line="75" w:lineRule="exact"/>
        <w:rPr>
          <w:rFonts w:ascii="Arial" w:cs="Arial" w:eastAsia="Arial" w:hAnsi="Arial"/>
          <w:sz w:val="18"/>
          <w:szCs w:val="18"/>
          <w:color w:val="auto"/>
        </w:rPr>
      </w:pPr>
    </w:p>
    <w:p>
      <w:pPr>
        <w:ind w:left="540" w:right="280" w:hanging="424"/>
        <w:spacing w:after="0" w:line="277"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costs, timing and outcome of obtaining regulatory approvals of our current or future product candidates and any companion diagnostics we may pursue;</w:t>
      </w:r>
    </w:p>
    <w:p>
      <w:pPr>
        <w:spacing w:after="0" w:line="75" w:lineRule="exact"/>
        <w:rPr>
          <w:rFonts w:ascii="Arial" w:cs="Arial" w:eastAsia="Arial" w:hAnsi="Arial"/>
          <w:sz w:val="18"/>
          <w:szCs w:val="18"/>
          <w:color w:val="auto"/>
        </w:rPr>
      </w:pPr>
    </w:p>
    <w:p>
      <w:pPr>
        <w:ind w:left="540" w:right="480" w:hanging="424"/>
        <w:spacing w:after="0" w:line="277"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scope and costs of making arrangements with third-party manufacturers, or establishing manufacturing capabilities, for both clinical and commercial supplies of our current or future product candidates;</w:t>
      </w:r>
    </w:p>
    <w:p>
      <w:pPr>
        <w:spacing w:after="0" w:line="75" w:lineRule="exact"/>
        <w:rPr>
          <w:rFonts w:ascii="Arial" w:cs="Arial" w:eastAsia="Arial" w:hAnsi="Arial"/>
          <w:sz w:val="18"/>
          <w:szCs w:val="18"/>
          <w:color w:val="auto"/>
        </w:rPr>
      </w:pPr>
    </w:p>
    <w:p>
      <w:pPr>
        <w:ind w:left="540" w:right="220" w:hanging="424"/>
        <w:spacing w:after="0" w:line="277"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costs involved in growing our organization to the size needed to allow for the research, development and potential commercialization of our current or future product candidates;</w:t>
      </w:r>
    </w:p>
    <w:p>
      <w:pPr>
        <w:spacing w:after="0" w:line="75" w:lineRule="exact"/>
        <w:rPr>
          <w:rFonts w:ascii="Arial" w:cs="Arial" w:eastAsia="Arial" w:hAnsi="Arial"/>
          <w:sz w:val="18"/>
          <w:szCs w:val="18"/>
          <w:color w:val="auto"/>
        </w:rPr>
      </w:pPr>
    </w:p>
    <w:p>
      <w:pPr>
        <w:ind w:left="540" w:right="380" w:hanging="424"/>
        <w:spacing w:after="0" w:line="311" w:lineRule="auto"/>
        <w:tabs>
          <w:tab w:leader="none" w:pos="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to the extent we pursue strategic collaborations, including collaborations to commercialize DAY101, pimasertib, or any of our future pipeline product candidates, our ability to establish and maintain collaborations on favorable terms, if at all, as well as the timing and amount of any milestone or royalty payments we are required to make or are eligible to receive under such collaborations or our current licenses;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00"/>
          </w:cols>
          <w:pgMar w:left="320" w:top="486"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40" w:hanging="424"/>
        <w:spacing w:after="0" w:line="277"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 associated with commercializing any approved product candidates, including establishing sales, marketing, market access and distribution capabilities;</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 associated with completing any post-marketing studies or trials required by the FDA or other regulatory authorities;</w:t>
      </w:r>
    </w:p>
    <w:p>
      <w:pPr>
        <w:spacing w:after="0" w:line="130" w:lineRule="exact"/>
        <w:rPr>
          <w:rFonts w:ascii="Arial" w:cs="Arial" w:eastAsia="Arial" w:hAnsi="Arial"/>
          <w:sz w:val="18"/>
          <w:szCs w:val="18"/>
          <w:color w:val="auto"/>
        </w:rPr>
      </w:pPr>
    </w:p>
    <w:p>
      <w:pPr>
        <w:ind w:left="540" w:right="300" w:hanging="424"/>
        <w:spacing w:after="0" w:line="277"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DAY101, pimasertib or any of our future product candidates if any are approved, or any future pipeline product candidates that receive marketing approval;</w:t>
      </w:r>
    </w:p>
    <w:p>
      <w:pPr>
        <w:spacing w:after="0" w:line="75" w:lineRule="exact"/>
        <w:rPr>
          <w:rFonts w:ascii="Arial" w:cs="Arial" w:eastAsia="Arial" w:hAnsi="Arial"/>
          <w:sz w:val="18"/>
          <w:szCs w:val="18"/>
          <w:color w:val="auto"/>
        </w:rPr>
      </w:pPr>
    </w:p>
    <w:p>
      <w:pPr>
        <w:ind w:left="540" w:right="660" w:hanging="424"/>
        <w:spacing w:after="0" w:line="342" w:lineRule="auto"/>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costs of preparing, filing and prosecuting patent applications, maintaining and enforcing our intellectual property rights and defending intellectual property-related claims that we may become subject to, including any litigation costs and the outcome of such litigation; and</w:t>
      </w:r>
    </w:p>
    <w:p>
      <w:pPr>
        <w:spacing w:after="0" w:line="29" w:lineRule="exact"/>
        <w:rPr>
          <w:rFonts w:ascii="Arial" w:cs="Arial" w:eastAsia="Arial" w:hAnsi="Arial"/>
          <w:sz w:val="16"/>
          <w:szCs w:val="16"/>
          <w:color w:val="auto"/>
        </w:rPr>
      </w:pPr>
    </w:p>
    <w:p>
      <w:pPr>
        <w:ind w:left="540" w:right="240" w:hanging="424"/>
        <w:spacing w:after="0" w:line="277"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costs associated with potential product liability claims, including the costs associated with obtaining insurance against such claims and with defending against such claims.</w:t>
      </w:r>
    </w:p>
    <w:p>
      <w:pPr>
        <w:spacing w:after="0" w:line="170"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We will require additional capital to complete our planned clinical development programs for our current product candidates to obtain regulatory approval, and we anticipate needing to raise additional capital to complete the development of and commercialize our product candidates. Our ability to raise additional funds will depend on financial, economic and market conditions and other factors, over which we may have no or limited control. If adequate funds are not available on commercially acceptable terms when needed, we may be forced to delay, reduce or terminate the development or commercialization of all or part of our research programs or product candidates or we may be unable to take advantage of future business opportunities. Furthermore, any additional capital-raising efforts may divert our management from their day-to-day activities, which may adversely affect our ability to develop and commercialize our current and future product candidates, if approved. Changing circumstances, some of which may be beyond our control, could cause us to consume capital significantly faster than we currently anticipate, and we may need to seek additional funds sooner than planned.</w:t>
      </w:r>
    </w:p>
    <w:p>
      <w:pPr>
        <w:spacing w:after="0" w:line="165"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We will be required to obtain further funding through public or private equity financings, debt financings, collaborative agreements, licensing arrangements or other sources of financing, which may dilute our stockholders or restrict our operating activities. We do not have any committed external source of funds. To the extent that we raise additional capital through the sale of equity or convertible debt securities, each investor’s ownership interests will be diluted, and the terms may include liquidation or other preferences that adversely affect each investor’s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Our ability to raise additional funds may be adversely impacted by potential worsening global economic conditions and disruptions to and volatility in the credit and financial markets in the United States and worldwide resulting from the ongoing COVID-19 pandemic or otherwise.</w:t>
      </w:r>
    </w:p>
    <w:p>
      <w:pPr>
        <w:spacing w:after="0" w:line="181"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Our failure to raise capital as and when needed or on acceptable terms would have a negative impact on our financial condition and our ability to pursue our business strategy, and we may have to delay, reduce the scope of, suspend or eliminate one or more of our research or drug development programs, clinical trials or future commercialization efforts.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86"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development and commercialization of our product candidates</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We are substantially dependent on the success of our lead product candidate, DAY101, which is currently in clinical development and which has not completed a pivotal trial.</w:t>
      </w:r>
    </w:p>
    <w:p>
      <w:pPr>
        <w:spacing w:after="0" w:line="62"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Our future success is highly dependent on our ability to timely complete successful clinical trials, obtain regulatory approval for, and then successfully commercialize, our product candidates. We are early in our development efforts and our lead product candidate, DAY101, is currently in a pivotal Phase 2 clinical trial. Our other current product candidate, pimasertib, is in an earlier stage of development. We currently have no products that are approved for sale in any jurisdiction. There can be no assurance that DAY101, pimasertib or any future product candidates we develop will achieve success in their clinical trials or obtain regulatory approval.</w:t>
      </w:r>
    </w:p>
    <w:p>
      <w:pPr>
        <w:spacing w:after="0" w:line="188"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Our ability to generate product revenue, which we do not expect will occur for many years, if ever, will depend heavily on the successful development and eventual commercialization of our lead product candidate, DAY101. The success of DAY101, will depend on several factors, including the following:</w:t>
      </w:r>
    </w:p>
    <w:p>
      <w:pPr>
        <w:spacing w:after="0" w:line="89" w:lineRule="exact"/>
        <w:rPr>
          <w:sz w:val="20"/>
          <w:szCs w:val="20"/>
          <w:color w:val="auto"/>
        </w:rPr>
      </w:pPr>
    </w:p>
    <w:p>
      <w:pPr>
        <w:ind w:left="540" w:hanging="424"/>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successful and timely completion of current and future clinical trials resulting in attractive, competitive target product profiles;</w:t>
      </w:r>
    </w:p>
    <w:p>
      <w:pPr>
        <w:spacing w:after="0" w:line="130" w:lineRule="exact"/>
        <w:rPr>
          <w:rFonts w:ascii="Arial" w:cs="Arial" w:eastAsia="Arial" w:hAnsi="Arial"/>
          <w:sz w:val="18"/>
          <w:szCs w:val="18"/>
          <w:color w:val="auto"/>
        </w:rPr>
      </w:pPr>
    </w:p>
    <w:p>
      <w:pPr>
        <w:ind w:left="540" w:right="120" w:hanging="424"/>
        <w:spacing w:after="0" w:line="277"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acceptance of NDAs by the FDA or other similar clinical trial applications from foreign regulatory authorities for our future clinical trials for our pipeline product candidates;</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timely and successful enrollment of patients in, and completion of, clinical trials with favorable results;</w:t>
      </w:r>
    </w:p>
    <w:p>
      <w:pPr>
        <w:spacing w:after="0" w:line="130" w:lineRule="exact"/>
        <w:rPr>
          <w:rFonts w:ascii="Arial" w:cs="Arial" w:eastAsia="Arial" w:hAnsi="Arial"/>
          <w:sz w:val="18"/>
          <w:szCs w:val="18"/>
          <w:color w:val="auto"/>
        </w:rPr>
      </w:pPr>
    </w:p>
    <w:p>
      <w:pPr>
        <w:ind w:left="540" w:right="720" w:hanging="424"/>
        <w:spacing w:after="0" w:line="277"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demonstration of safety, efficacy and acceptable risk-benefit profiles of our product candidates to the satisfaction of the FDA and foreign regulatory agencies and attractive to physicians, patients, advocates, payers and caregivers;</w:t>
      </w:r>
    </w:p>
    <w:p>
      <w:pPr>
        <w:spacing w:after="0" w:line="75" w:lineRule="exact"/>
        <w:rPr>
          <w:rFonts w:ascii="Arial" w:cs="Arial" w:eastAsia="Arial" w:hAnsi="Arial"/>
          <w:sz w:val="18"/>
          <w:szCs w:val="18"/>
          <w:color w:val="auto"/>
        </w:rPr>
      </w:pPr>
    </w:p>
    <w:p>
      <w:pPr>
        <w:ind w:left="540" w:right="180" w:hanging="424"/>
        <w:spacing w:after="0" w:line="277"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or that of our collaborators, to develop and obtain clearance or approval of companion diagnostics, on a timely basis, or at all, and an adequate supply of these companion diagnostics and access to these companion diagnostics that outpaces demand;</w:t>
      </w:r>
    </w:p>
    <w:p>
      <w:pPr>
        <w:spacing w:after="0" w:line="75" w:lineRule="exact"/>
        <w:rPr>
          <w:rFonts w:ascii="Arial" w:cs="Arial" w:eastAsia="Arial" w:hAnsi="Arial"/>
          <w:sz w:val="18"/>
          <w:szCs w:val="18"/>
          <w:color w:val="auto"/>
        </w:rPr>
      </w:pPr>
    </w:p>
    <w:p>
      <w:pPr>
        <w:ind w:left="540" w:right="140" w:hanging="424"/>
        <w:spacing w:after="0" w:line="277"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receipt and related terms of marketing approvals from applicable regulatory authorities, including the completion of any required post-marketing studies or trials and available funding to perform any post-marketing commitments;</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raising additional funds necessary to complete clinical development of and commercialize our product candidates;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obtaining and maintaining patent, trade secret and other intellectual property protection and regulatory exclusivity for our product candidates;</w:t>
      </w:r>
    </w:p>
    <w:p>
      <w:pPr>
        <w:spacing w:after="0" w:line="142" w:lineRule="exact"/>
        <w:rPr>
          <w:rFonts w:ascii="Arial" w:cs="Arial" w:eastAsia="Arial" w:hAnsi="Arial"/>
          <w:sz w:val="17"/>
          <w:szCs w:val="17"/>
          <w:color w:val="auto"/>
        </w:rPr>
      </w:pPr>
    </w:p>
    <w:p>
      <w:pPr>
        <w:ind w:left="540" w:right="100" w:hanging="424"/>
        <w:spacing w:after="0" w:line="277"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or establishing manufacturing capabilities, for both clinical and commercial supplies of our product candidates and ensuring a resilient, effective supply chain that produces supply that outpaces demand;</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developing and implementing marketing and reimbursement strategies, as well as adequate demand forecasts for supply and sales planning;</w:t>
      </w:r>
    </w:p>
    <w:p>
      <w:pPr>
        <w:spacing w:after="0" w:line="153" w:lineRule="exact"/>
        <w:rPr>
          <w:rFonts w:ascii="Arial" w:cs="Arial" w:eastAsia="Arial" w:hAnsi="Arial"/>
          <w:sz w:val="16"/>
          <w:szCs w:val="16"/>
          <w:color w:val="auto"/>
        </w:rPr>
      </w:pPr>
    </w:p>
    <w:p>
      <w:pPr>
        <w:ind w:left="540" w:hanging="424"/>
        <w:spacing w:after="0" w:line="263"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collaboration with others in a market where promotional sales approaches are rapidly moving to digital platforms and rep access to major institutions remains uncertain;</w:t>
      </w:r>
    </w:p>
    <w:p>
      <w:pPr>
        <w:spacing w:after="0" w:line="89" w:lineRule="exact"/>
        <w:rPr>
          <w:rFonts w:ascii="Arial" w:cs="Arial" w:eastAsia="Arial" w:hAnsi="Arial"/>
          <w:sz w:val="18"/>
          <w:szCs w:val="18"/>
          <w:color w:val="auto"/>
        </w:rPr>
      </w:pPr>
    </w:p>
    <w:p>
      <w:pPr>
        <w:ind w:left="540" w:right="340" w:hanging="424"/>
        <w:spacing w:after="0" w:line="277"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the medical community and third-party payors underpinned by adequate health economic data and a meaningful value proposition;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86"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effectively competing with other therapies, including those that have not yet entered the market;</w:t>
      </w:r>
    </w:p>
    <w:p>
      <w:pPr>
        <w:spacing w:after="0" w:line="130" w:lineRule="exact"/>
        <w:rPr>
          <w:rFonts w:ascii="Arial" w:cs="Arial" w:eastAsia="Arial" w:hAnsi="Arial"/>
          <w:sz w:val="18"/>
          <w:szCs w:val="18"/>
          <w:color w:val="auto"/>
        </w:rPr>
      </w:pPr>
    </w:p>
    <w:p>
      <w:pPr>
        <w:ind w:left="540" w:right="600" w:hanging="424"/>
        <w:spacing w:after="0" w:line="277"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obtaining and maintaining third-party payor coverage and adequate reimbursement in both public and private payor spaces across multiple countries;</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obtaining appropriate support from patient advocacy organizations;</w:t>
      </w:r>
    </w:p>
    <w:p>
      <w:pPr>
        <w:spacing w:after="0" w:line="130" w:lineRule="exact"/>
        <w:rPr>
          <w:rFonts w:ascii="Arial" w:cs="Arial" w:eastAsia="Arial" w:hAnsi="Arial"/>
          <w:sz w:val="18"/>
          <w:szCs w:val="18"/>
          <w:color w:val="auto"/>
        </w:rPr>
      </w:pPr>
    </w:p>
    <w:p>
      <w:pPr>
        <w:ind w:left="540" w:right="640" w:hanging="424"/>
        <w:spacing w:after="0" w:line="277"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effectively shaping the market in the early years following launch to help providers understand a new way of thinking about treating these patients;</w:t>
      </w:r>
    </w:p>
    <w:p>
      <w:pPr>
        <w:spacing w:after="0" w:line="75" w:lineRule="exact"/>
        <w:rPr>
          <w:rFonts w:ascii="Arial" w:cs="Arial" w:eastAsia="Arial" w:hAnsi="Arial"/>
          <w:sz w:val="18"/>
          <w:szCs w:val="18"/>
          <w:color w:val="auto"/>
        </w:rPr>
      </w:pPr>
    </w:p>
    <w:p>
      <w:pPr>
        <w:ind w:left="540" w:right="140" w:hanging="424"/>
        <w:spacing w:after="0" w:line="277"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addressing any delays in our clinical trials resulting from factors related to the COVID-19 pandemic or other major natural disaster or significant political event;</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protecting and enforcing our rights in our intellectual property portfolio; and</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products following approval.</w:t>
      </w:r>
    </w:p>
    <w:p>
      <w:pPr>
        <w:spacing w:after="0" w:line="225" w:lineRule="exact"/>
        <w:rPr>
          <w:sz w:val="20"/>
          <w:szCs w:val="20"/>
          <w:color w:val="auto"/>
        </w:rPr>
      </w:pPr>
    </w:p>
    <w:p>
      <w:pPr>
        <w:ind w:left="120" w:right="280"/>
        <w:spacing w:after="0" w:line="275" w:lineRule="auto"/>
        <w:rPr>
          <w:sz w:val="20"/>
          <w:szCs w:val="20"/>
          <w:color w:val="auto"/>
        </w:rPr>
      </w:pPr>
      <w:r>
        <w:rPr>
          <w:rFonts w:ascii="Arial" w:cs="Arial" w:eastAsia="Arial" w:hAnsi="Arial"/>
          <w:sz w:val="17"/>
          <w:szCs w:val="17"/>
          <w:color w:val="auto"/>
        </w:rPr>
        <w:t>Many of these factors are beyond our control, and it is possible that none of our product candidates will ever obtain regulatory approval even if we expend substantial time and resources seeking such approval. If we do not achieve one or more of these factors in a timely manner or at all, we could experience significant delays or an inability to successfully commercialize our product candidates, which would materially harm our business. For example, our business could be harmed if results of our ongoing clinical trial of DAY101 do not meet the clinical endpoints, or if we are unable to initiate a Phase 1b/2 trial of DAY101 as monotherapy or in combination with pimasertib.</w:t>
      </w:r>
    </w:p>
    <w:p>
      <w:pPr>
        <w:spacing w:after="0" w:line="284" w:lineRule="exact"/>
        <w:rPr>
          <w:sz w:val="20"/>
          <w:szCs w:val="20"/>
          <w:color w:val="auto"/>
        </w:rPr>
      </w:pPr>
    </w:p>
    <w:p>
      <w:pPr>
        <w:jc w:val="both"/>
        <w:ind w:left="120" w:right="200"/>
        <w:spacing w:after="0" w:line="286" w:lineRule="auto"/>
        <w:rPr>
          <w:sz w:val="20"/>
          <w:szCs w:val="20"/>
          <w:color w:val="auto"/>
        </w:rPr>
      </w:pPr>
      <w:r>
        <w:rPr>
          <w:rFonts w:ascii="Arial" w:cs="Arial" w:eastAsia="Arial" w:hAnsi="Arial"/>
          <w:sz w:val="17"/>
          <w:szCs w:val="17"/>
          <w:b w:val="1"/>
          <w:bCs w:val="1"/>
          <w:i w:val="1"/>
          <w:iCs w:val="1"/>
          <w:color w:val="auto"/>
        </w:rPr>
        <w:t>Clinical trials are very expensive, time-consuming and difficult to design and implement, and involve uncertain outcomes. Furthermore, results of earlier preclinical studies and clinical trials may not be predictive of results of future preclinical studies or clinical trials. Our product candidates may not have favorable results in later clinical trials, if any, or receive regulatory approval.</w:t>
      </w:r>
    </w:p>
    <w:p>
      <w:pPr>
        <w:spacing w:after="0" w:line="57"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The risk of failure for our product candidates is high. It is impossible to predict when or if any of our product candidates will prove effective or safe in humans or will receive regulatory approval. To obtain the requisite regulatory approvals to market and sell any of our product candidates, we must demonstrate through extensive preclinical studies and clinical trials that our product candidates are safe and effective in humans for use in each target indication. Clinical testing is expensive and can take many years to complete, and the outcome is inherently uncertain. Failure can occur at any time during the clinical trial process.</w:t>
      </w:r>
    </w:p>
    <w:p>
      <w:pPr>
        <w:spacing w:after="0" w:line="18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addition, the results of preclinical studies and earlier clinical trials may not be predictive of the results of later-stage preclinical studies or clinical trials. We have limited clinical data for our product candidates. Product candidates in later stages of clinical trials may fail to show the desired safety and efficacy traits despite having progressed through preclinical and earlier stage clinical trials.</w:t>
      </w:r>
    </w:p>
    <w:p>
      <w:pPr>
        <w:spacing w:after="0" w:line="184"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In some instances, there can be significant variability in safety or efficacy results between different clinical trials of the same product candidate due to numerous factors, including changes in clinical trial procedures set forth in protocols, differences in the size and type of the patient populations, adherence to the dosing regimen and other clinical trial protocols, and the rate of discontinuation among clinical trial participants. If we fail to produce positive results in our planned clinical trials of any of our product candidates, the development timeline and regulatory approval and commercialization prospects for our product candidates, and, correspondingly, our business and financial prospects, would be materially and adversely affected.</w:t>
      </w:r>
    </w:p>
    <w:p>
      <w:pPr>
        <w:spacing w:after="0" w:line="26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We expect to rely on data from an investigator-initiated trial Phase 1 clinical trial in our regulatory filings and we do not control the trial operations or reporting of the results.</w:t>
      </w:r>
    </w:p>
    <w:p>
      <w:pPr>
        <w:spacing w:after="0" w:line="62"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DAY101’s Phase 1 trial is run as investigator-initiated, multi-center trial in patients with relapsed/refractory pLGG that is being conducted by the Dana Farber Cancer Institute in collaboration with the Pacific Pediatric Neuro-Oncology Consortium, or PNOC. The last data reported from this trial was in January 2020. It is possible that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86"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additional data, when reported, will not demonstrate similar results. We have no control over the timing of such clinical data announcements. In addition, although we expect that our pivotal Phase 2 trial in pLGG will provide a sufficient dataset to support approval with only 60 patients based on preliminary discussions with regulatory agencies, we cannot assure you that the FDA will not require data from additional patients to support approval. In later-stage clinical trials, we will likely be subject to more rigorous statistical analyses than in completed earlier stage clinical trials. A number of companies in the pharmaceutical industry have suffered significant setbacks in later-stage clinical trials due to lack of efficacy or adverse safety profiles, notwithstanding promising results in earlier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65"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Furthermore, we do not control the design or administration of investigator-sponsored trials, nor the submission or approval of any IND or foreign equivalent required to conduct these trials, and the investigator-sponsored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this or other investigator-sponsored trials are inconsistent with, or different from, the results of our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investigator-sponsored initiated trials could be useful to inform our own clinical development efforts, there is no guarantee that we will be able to use the data from these trials to form the basis for regulatory approval of our product candidates.</w:t>
      </w:r>
    </w:p>
    <w:p>
      <w:pPr>
        <w:spacing w:after="0" w:line="293"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b w:val="1"/>
          <w:bCs w:val="1"/>
          <w:i w:val="1"/>
          <w:iCs w:val="1"/>
          <w:color w:val="auto"/>
        </w:rPr>
        <w:t>Our clinical trials may fail to adequately demonstrate the safety and efficacy of any of our product candidates, which would prevent or delay development, regulatory approval and commercialization.</w:t>
      </w:r>
    </w:p>
    <w:p>
      <w:pPr>
        <w:spacing w:after="0" w:line="62"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Before obtaining marketing approval from the FDA or comparable foreign regulatory authorities for the sale of our current product candidates, we must demonstrate through lengthy, complex and expensive clinical trials that our product candidates are both safe and effective for use in each target indication. Clinical testing is expensive, difficult to design and implement, can take many years to complete and its ultimate outcome is uncertain. Failure can occur at any time during the clinical trial processes, and, because our product candidates are in earlier stages of development, there is a high risk of failure and we may never succeed in developing marketable products.</w:t>
      </w:r>
    </w:p>
    <w:p>
      <w:pPr>
        <w:spacing w:after="0" w:line="176"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receipt of marketing approval or our ability to commercialize our product candidates, including:</w:t>
      </w:r>
    </w:p>
    <w:p>
      <w:pPr>
        <w:spacing w:after="0" w:line="76" w:lineRule="exact"/>
        <w:rPr>
          <w:sz w:val="20"/>
          <w:szCs w:val="20"/>
          <w:color w:val="auto"/>
        </w:rPr>
      </w:pPr>
    </w:p>
    <w:p>
      <w:pPr>
        <w:ind w:left="540" w:hanging="424"/>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of our product candidates in clinical trials to demonstrate safety and efficacy;</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of our product candidates in clinical trials to demonstrate important functional, quality, or patient-reported outcomes;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receipt of feedback from regulatory authorities that requires us to modify the design of our clinical trials;</w:t>
      </w:r>
    </w:p>
    <w:p>
      <w:pPr>
        <w:spacing w:after="0" w:line="130" w:lineRule="exact"/>
        <w:rPr>
          <w:rFonts w:ascii="Arial" w:cs="Arial" w:eastAsia="Arial" w:hAnsi="Arial"/>
          <w:sz w:val="18"/>
          <w:szCs w:val="18"/>
          <w:color w:val="auto"/>
        </w:rPr>
      </w:pPr>
    </w:p>
    <w:p>
      <w:pPr>
        <w:ind w:left="540" w:right="500" w:hanging="424"/>
        <w:spacing w:after="0" w:line="277"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negative or inconclusive clinical trial results that may require us to conduct additional clinical trials or abandon certain research and/or drug development programs;</w:t>
      </w:r>
    </w:p>
    <w:p>
      <w:pPr>
        <w:spacing w:after="0" w:line="75" w:lineRule="exact"/>
        <w:rPr>
          <w:rFonts w:ascii="Arial" w:cs="Arial" w:eastAsia="Arial" w:hAnsi="Arial"/>
          <w:sz w:val="18"/>
          <w:szCs w:val="18"/>
          <w:color w:val="auto"/>
        </w:rPr>
      </w:pPr>
    </w:p>
    <w:p>
      <w:pPr>
        <w:ind w:left="540" w:right="180" w:hanging="424"/>
        <w:spacing w:after="0" w:line="277"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being larger than anticipated, enrollment in these clinical trials being slower than anticipated or participants dropping out of these clinical trials at a higher rate than anticipated;</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third-party contractors failing to comply with regulatory requirements or meet their contractual obligations to us in a timely manner, or at all;</w:t>
      </w:r>
    </w:p>
    <w:p>
      <w:pPr>
        <w:spacing w:after="0" w:line="169"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49</w:t>
      </w:r>
    </w:p>
    <w:p>
      <w:pPr>
        <w:sectPr>
          <w:pgSz w:w="11900" w:h="16838" w:orient="portrait"/>
          <w:cols w:equalWidth="0" w:num="1">
            <w:col w:w="11120"/>
          </w:cols>
          <w:pgMar w:left="320" w:top="486"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60" w:hanging="424"/>
        <w:spacing w:after="0" w:line="277"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suspension or termination of our clinical trials for various reasons, including non-compliance with regulatory requirements or a finding that our product candidates have undesirable side effects or other unexpected characteristics or risks;</w:t>
      </w:r>
    </w:p>
    <w:p>
      <w:pPr>
        <w:spacing w:after="0" w:line="197" w:lineRule="exact"/>
        <w:rPr>
          <w:rFonts w:ascii="Arial" w:cs="Arial" w:eastAsia="Arial" w:hAnsi="Arial"/>
          <w:sz w:val="18"/>
          <w:szCs w:val="18"/>
          <w:color w:val="auto"/>
        </w:rPr>
      </w:pPr>
    </w:p>
    <w:p>
      <w:pPr>
        <w:ind w:left="540" w:hanging="424"/>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being greater than anticipated;</w:t>
      </w:r>
    </w:p>
    <w:p>
      <w:pPr>
        <w:spacing w:after="0" w:line="252" w:lineRule="exact"/>
        <w:rPr>
          <w:rFonts w:ascii="Arial" w:cs="Arial" w:eastAsia="Arial" w:hAnsi="Arial"/>
          <w:sz w:val="18"/>
          <w:szCs w:val="18"/>
          <w:color w:val="auto"/>
        </w:rPr>
      </w:pPr>
    </w:p>
    <w:p>
      <w:pPr>
        <w:ind w:left="540" w:hanging="424"/>
        <w:spacing w:after="0" w:line="277"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being insufficient or inadequate; and</w:t>
      </w:r>
    </w:p>
    <w:p>
      <w:pPr>
        <w:spacing w:after="0" w:line="197" w:lineRule="exact"/>
        <w:rPr>
          <w:rFonts w:ascii="Arial" w:cs="Arial" w:eastAsia="Arial" w:hAnsi="Arial"/>
          <w:sz w:val="18"/>
          <w:szCs w:val="18"/>
          <w:color w:val="auto"/>
        </w:rPr>
      </w:pPr>
    </w:p>
    <w:p>
      <w:pPr>
        <w:ind w:left="540" w:hanging="424"/>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regulators revising the requirements for approving our product candidates.</w:t>
      </w:r>
    </w:p>
    <w:p>
      <w:pPr>
        <w:spacing w:after="0" w:line="225" w:lineRule="exact"/>
        <w:rPr>
          <w:sz w:val="20"/>
          <w:szCs w:val="20"/>
          <w:color w:val="auto"/>
        </w:rPr>
      </w:pPr>
    </w:p>
    <w:p>
      <w:pPr>
        <w:ind w:left="120" w:right="240"/>
        <w:spacing w:after="0" w:line="275" w:lineRule="auto"/>
        <w:rPr>
          <w:sz w:val="20"/>
          <w:szCs w:val="20"/>
          <w:color w:val="auto"/>
        </w:rPr>
      </w:pPr>
      <w:r>
        <w:rPr>
          <w:rFonts w:ascii="Arial" w:cs="Arial" w:eastAsia="Arial" w:hAnsi="Arial"/>
          <w:sz w:val="17"/>
          <w:szCs w:val="17"/>
          <w:color w:val="auto"/>
        </w:rPr>
        <w:t>If we are required to conduct additional clinical trials or other testing of our product candidates beyond those that we currently contemplate, if we are unable to successfully complete clinical trials of our product candidates or other testing in a timely manner, if the results of these trials or tests are not positive or are only modestly positive or if there are safety concerns, we may incur unplanned costs, be delayed in seeking and obtaining marketing approval, if we receive such approval at all, receive more limited or restrictive marketing approval, be subject to additional post-marketing testing requirements or have the drug removed from the market after obtaining marketing approval.</w:t>
      </w:r>
    </w:p>
    <w:p>
      <w:pPr>
        <w:spacing w:after="0" w:line="176"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Our product candidates are initially targeted towards the pediatric population, for which safety concerns may be particularly scrutinized by regulatory agencies. Trials involving pediatric populations can be difficult to conduct, can be quite costly and, like other clinical trials, may not yield the anticipated results. In addition, pediatric studies are more dependent on a smaller number of specialized clinical trial sites, which in turn can limit site availability and make the trials more expensive to conduct. In addition, as interest in pediatric indications grows as a result of the RACE Act and other market forces, trial recruitment may become even more difficult due to competition for eligible patients. Moreover, it may be challenging to ensure that pediatric or adolescent patients adhere to clinical trial protocols. Our inability to enroll a sufficient number of pediatric patients for our clinical trial could result in significant delays, could require us to abandon one or more clinical trials altogether, could impact our ability to raise additional capital and could delay or prevent our ability to obtain necessary regulatory approvals for any drug product candidate.</w:t>
      </w:r>
    </w:p>
    <w:p>
      <w:pPr>
        <w:spacing w:after="0" w:line="178"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Additionally, if the results of our clinical trials are inconclusive or if there are safety concerns or serious adverse events associated with our product candidates, we may:</w:t>
      </w:r>
    </w:p>
    <w:p>
      <w:pPr>
        <w:spacing w:after="0" w:line="76" w:lineRule="exact"/>
        <w:rPr>
          <w:sz w:val="20"/>
          <w:szCs w:val="20"/>
          <w:color w:val="auto"/>
        </w:rPr>
      </w:pPr>
    </w:p>
    <w:p>
      <w:pPr>
        <w:ind w:left="540" w:hanging="424"/>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be delayed in obtaining marketing approval, if at all;</w:t>
      </w:r>
    </w:p>
    <w:p>
      <w:pPr>
        <w:spacing w:after="0" w:line="130" w:lineRule="exact"/>
        <w:rPr>
          <w:rFonts w:ascii="Arial" w:cs="Arial" w:eastAsia="Arial" w:hAnsi="Arial"/>
          <w:sz w:val="18"/>
          <w:szCs w:val="18"/>
          <w:color w:val="auto"/>
        </w:rPr>
      </w:pPr>
    </w:p>
    <w:p>
      <w:pPr>
        <w:ind w:left="540" w:right="180" w:hanging="424"/>
        <w:spacing w:after="0" w:line="277"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 or may have restricted duration expectations or guidance;</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be required to perform additional clinical trials to support approval or be subject to additional post-marketing testing requirements;</w:t>
      </w:r>
    </w:p>
    <w:p>
      <w:pPr>
        <w:spacing w:after="0" w:line="130" w:lineRule="exact"/>
        <w:rPr>
          <w:rFonts w:ascii="Arial" w:cs="Arial" w:eastAsia="Arial" w:hAnsi="Arial"/>
          <w:sz w:val="18"/>
          <w:szCs w:val="18"/>
          <w:color w:val="auto"/>
        </w:rPr>
      </w:pPr>
    </w:p>
    <w:p>
      <w:pPr>
        <w:ind w:left="540" w:right="40" w:hanging="424"/>
        <w:spacing w:after="0" w:line="277"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have regulatory authorities withdraw, or suspend, their approval of the drug or impose restrictions on its distribution in the form of a modified risk evaluation and mitigation strategy, or REMS;</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86"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Our drug development costs will also increase if we experience delays in testing or obtaining marketing approvals. Also, delays in obtaining marketing approval may increase commercialization costs if the competitive environment becomes more intense prior to market entry. We do not know whether any of our preclinical studies or clinical trials will begin as planned, need to be restructured or be completed on schedule, if at all.</w:t>
      </w:r>
    </w:p>
    <w:p>
      <w:pPr>
        <w:spacing w:after="0" w:line="165" w:lineRule="exact"/>
        <w:rPr>
          <w:sz w:val="20"/>
          <w:szCs w:val="20"/>
          <w:color w:val="auto"/>
        </w:rPr>
      </w:pPr>
    </w:p>
    <w:p>
      <w:pPr>
        <w:jc w:val="both"/>
        <w:ind w:left="120" w:right="200"/>
        <w:spacing w:after="0" w:line="287" w:lineRule="auto"/>
        <w:rPr>
          <w:sz w:val="20"/>
          <w:szCs w:val="20"/>
          <w:color w:val="auto"/>
        </w:rPr>
      </w:pPr>
      <w:r>
        <w:rPr>
          <w:rFonts w:ascii="Arial" w:cs="Arial" w:eastAsia="Arial" w:hAnsi="Arial"/>
          <w:sz w:val="16"/>
          <w:szCs w:val="16"/>
          <w:color w:val="auto"/>
        </w:rPr>
        <w:t>Further, we, the FDA or an institutional review board, or IRB, may suspend our clinical trials at any time if it appears that we or our collaborators are failing to conduct a trial in accordance with regulatory requirements, including the FDA’s current Good Clinical Practice, or GCP, regulations, that we are exposing participants to unacceptable health risks, or if the FDA finds deficiencies in our investigational NDAs or the conduct of these trials.</w:t>
      </w:r>
    </w:p>
    <w:p>
      <w:pPr>
        <w:spacing w:after="0" w:line="2"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Therefore, we cannot predict with any certainty the schedule for commencement and completion of future clinical trials. Further, conducting clinical trials in foreign countries, as we may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91" w:lineRule="exact"/>
        <w:rPr>
          <w:sz w:val="20"/>
          <w:szCs w:val="20"/>
          <w:color w:val="auto"/>
        </w:rPr>
      </w:pPr>
    </w:p>
    <w:p>
      <w:pPr>
        <w:ind w:left="120" w:right="80"/>
        <w:spacing w:after="0" w:line="284" w:lineRule="auto"/>
        <w:rPr>
          <w:sz w:val="20"/>
          <w:szCs w:val="20"/>
          <w:color w:val="auto"/>
        </w:rPr>
      </w:pPr>
      <w:r>
        <w:rPr>
          <w:rFonts w:ascii="Arial" w:cs="Arial" w:eastAsia="Arial" w:hAnsi="Arial"/>
          <w:sz w:val="16"/>
          <w:szCs w:val="16"/>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2"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In addition, many of the factors that cause, or lead to, termination or suspension of, or a delay in the commencement or completion of, clinical trials may also ultimately lead to the denial of regulatory approval of a product candidate. We may make formulation or manufacturing changes to our product candidates, in which case we may need to conduct additional preclinical studies to bridge our modified product candidates to earlier versions. If we experience delays in the commencement or completion of our clinical trials, or if we terminate a clinical trial prior to completion, the commercial prospects of our product candidates could be negatively impacted, and our ability to generate revenues from our product candidates may be delayed or eliminated entirely.</w:t>
      </w:r>
    </w:p>
    <w:p>
      <w:pPr>
        <w:spacing w:after="0" w:line="302"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enrolling patients in our ongoing or planned clinical trials, our receipt of necessary regulatory approvals could be delayed or prevented.</w:t>
      </w:r>
    </w:p>
    <w:p>
      <w:pPr>
        <w:spacing w:after="0" w:line="62" w:lineRule="exact"/>
        <w:rPr>
          <w:sz w:val="20"/>
          <w:szCs w:val="20"/>
          <w:color w:val="auto"/>
        </w:rPr>
      </w:pPr>
    </w:p>
    <w:p>
      <w:pPr>
        <w:ind w:left="120" w:right="180"/>
        <w:spacing w:after="0" w:line="287" w:lineRule="auto"/>
        <w:rPr>
          <w:sz w:val="20"/>
          <w:szCs w:val="20"/>
          <w:color w:val="auto"/>
        </w:rPr>
      </w:pPr>
      <w:r>
        <w:rPr>
          <w:rFonts w:ascii="Arial" w:cs="Arial" w:eastAsia="Arial" w:hAnsi="Arial"/>
          <w:sz w:val="16"/>
          <w:szCs w:val="16"/>
          <w:color w:val="auto"/>
        </w:rPr>
        <w:t>We may not be able to initiate or continue our ongoing or planned clinical trials for our product candidates if we are unable to identify and enroll a sufficient number of eligible patients to participate in these trials as required by the FDA or comparable foreign regulatory authorities. In our DAY101 program, we utilize genomic profiling of patients’ tumors to identify suitable patients for recruitment into our clinical trials. We cannot be certain</w:t>
      </w:r>
    </w:p>
    <w:p>
      <w:pPr>
        <w:spacing w:after="0" w:line="2" w:lineRule="exact"/>
        <w:rPr>
          <w:sz w:val="20"/>
          <w:szCs w:val="20"/>
          <w:color w:val="auto"/>
        </w:rPr>
      </w:pPr>
    </w:p>
    <w:p>
      <w:pPr>
        <w:ind w:left="120" w:right="20" w:hanging="4"/>
        <w:spacing w:after="0" w:line="268" w:lineRule="auto"/>
        <w:tabs>
          <w:tab w:leader="none" w:pos="335" w:val="left"/>
        </w:tabs>
        <w:numPr>
          <w:ilvl w:val="0"/>
          <w:numId w:val="42"/>
        </w:numPr>
        <w:rPr>
          <w:rFonts w:ascii="Arial" w:cs="Arial" w:eastAsia="Arial" w:hAnsi="Arial"/>
          <w:sz w:val="17"/>
          <w:szCs w:val="17"/>
          <w:color w:val="auto"/>
        </w:rPr>
      </w:pPr>
      <w:r>
        <w:rPr>
          <w:rFonts w:ascii="Arial" w:cs="Arial" w:eastAsia="Arial" w:hAnsi="Arial"/>
          <w:sz w:val="17"/>
          <w:szCs w:val="17"/>
          <w:color w:val="auto"/>
        </w:rPr>
        <w:t>how many patients will have the requisite alterations for inclusion in our clinical trials, (ii) that the number of patients enrolled in each program will suffice for regulatory approval or (iii) whether each specific BRAF mutation targeted will be included in the approved drug labeling. If our strategies for patient identification and enrollment prove unsuccessful, we may have difficulty enrolling or maintaining patients appropriate for our product candidates. The conditions for which we currently plan to evaluate our product candidates are orphan or rare diseases with limited patient pools from which to draw for clinical trials. The eligibility criteria of our clinical trials, once established, will further limit the pool of available trial participants. In addition, some of our competitors currently have ongoing clinical trials for product candidates that would treat the same patients as our clinical product candidates, and patients who would otherwise be eligible for our clinical trials may instead enroll in clinical trials of our competitors’ product candidates. Patient enrollment is also affected by other factors, including:</w:t>
      </w:r>
    </w:p>
    <w:p>
      <w:pPr>
        <w:spacing w:after="0" w:line="89" w:lineRule="exact"/>
        <w:rPr>
          <w:sz w:val="20"/>
          <w:szCs w:val="20"/>
          <w:color w:val="auto"/>
        </w:rPr>
      </w:pPr>
    </w:p>
    <w:p>
      <w:pPr>
        <w:ind w:left="540" w:hanging="424"/>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30" w:lineRule="exact"/>
        <w:rPr>
          <w:rFonts w:ascii="Arial" w:cs="Arial" w:eastAsia="Arial" w:hAnsi="Arial"/>
          <w:sz w:val="18"/>
          <w:szCs w:val="18"/>
          <w:color w:val="auto"/>
        </w:rPr>
      </w:pPr>
    </w:p>
    <w:p>
      <w:pPr>
        <w:ind w:left="5540" w:right="4000" w:hanging="5424"/>
        <w:spacing w:after="0" w:line="449" w:lineRule="auto"/>
        <w:tabs>
          <w:tab w:leader="none" w:pos="554"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of appropriate competencies and experience; 51</w:t>
      </w:r>
    </w:p>
    <w:p>
      <w:pPr>
        <w:sectPr>
          <w:pgSz w:w="11900" w:h="16838" w:orient="portrait"/>
          <w:cols w:equalWidth="0" w:num="1">
            <w:col w:w="11120"/>
          </w:cols>
          <w:pgMar w:left="320" w:top="486"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incidence and prevalence of our target indications;</w:t>
      </w:r>
    </w:p>
    <w:p>
      <w:pPr>
        <w:spacing w:after="0" w:line="130" w:lineRule="exact"/>
        <w:rPr>
          <w:rFonts w:ascii="Arial" w:cs="Arial" w:eastAsia="Arial" w:hAnsi="Arial"/>
          <w:sz w:val="18"/>
          <w:szCs w:val="18"/>
          <w:color w:val="auto"/>
        </w:rPr>
      </w:pPr>
    </w:p>
    <w:p>
      <w:pPr>
        <w:ind w:left="540" w:right="480" w:hanging="424"/>
        <w:spacing w:after="0" w:line="277"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clinicians’ and patients’ awareness of, and perceptions as to the potential advantages and risks of our product candidates in relation to other available therapies, including any new drugs that may be approved for the indications we are investigating;</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competing studies or trials with similar eligibility criteria;</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invasive procedures required to enroll patients and to obtain evidence of the product candidate’s performance during the clinical trial;</w:t>
      </w:r>
    </w:p>
    <w:p>
      <w:pPr>
        <w:spacing w:after="0" w:line="142" w:lineRule="exact"/>
        <w:rPr>
          <w:rFonts w:ascii="Arial" w:cs="Arial" w:eastAsia="Arial" w:hAnsi="Arial"/>
          <w:sz w:val="17"/>
          <w:szCs w:val="17"/>
          <w:color w:val="auto"/>
        </w:rPr>
      </w:pPr>
    </w:p>
    <w:p>
      <w:pPr>
        <w:ind w:left="540" w:hanging="424"/>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availability and efficacy of approved medications for the disease under investigation;</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eligibility criteria defined in the protocol for the trial in question;</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size and nature of the patient population required for analysis of the trial’s primary endpoints;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whether we are subject to a partial or full clinical hold on any of our clinical trials;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reluctance of physicians or patient advocacy organizations to encourage patient participation in clinical trials;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225"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Our inability to enroll and maintain a sufficient number of patients for our clinical trials would result in significant delays or may require us to abandon one or more clinical trials altogether. There may be competing trials, as well as the limited bandwidth of pediatric oncology institutions for running trials, which can lead to the prioritization of certain trials, leading to delays in our clinical trials. In addition, parents may be reluctant to enroll their children in our clinical trials, or may decide to withdraw their children from our clinical trials to pursue other therapies. The American Cancer Society has reported that the COVID-19 pandemic has led to declines in screening, diagnosis and treatment for patients, which will adversely impact the enrollment of patients in clinical trials targeting early stage cancers and retention of patients overall. Enrollment delays in our clinical trials, including due to the COVID-19 pandemic, may result in increased development costs, which would cause the value of our company to decline and limit our ability to obtain additional financing.</w:t>
      </w:r>
    </w:p>
    <w:p>
      <w:pPr>
        <w:spacing w:after="0" w:line="300"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The pharmaceutical and biotechnology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 candidates are currently under development, and may become commercially available in the future, for the treatment of conditions for which we may attempt to develop product candidates. In addition, our product candidates may need to compete with drugs physicians use off-label to treat the indications for which we seek approval. This may make it difficult for us to replace existing therapies with our product candidates.</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60"/>
          </w:cols>
          <w:pgMar w:left="320" w:top="486" w:right="5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In particular, there is intense competition in the field of oncology. We have competitors both in the United States and internationally, including major multinational pharmaceutical companies, established biotechnology companies, specialty pharmaceutical companies, emerging and start-up companies, universities and other research institutions.</w:t>
      </w:r>
    </w:p>
    <w:p>
      <w:pPr>
        <w:spacing w:after="0" w:line="184"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We also compete with these organizations to recruit and retain qualified scientific and management and sales and marketing personnel, which could negatively affect our level of expertise and our ability to execute our business plan. We will also face competition in establishing clinical trial sites and patient registration for clinical trials, as well as in acquiring technologies complementary to, or necessary for, our programs.</w:t>
      </w:r>
    </w:p>
    <w:p>
      <w:pPr>
        <w:spacing w:after="0" w:line="165" w:lineRule="exact"/>
        <w:rPr>
          <w:sz w:val="20"/>
          <w:szCs w:val="20"/>
          <w:color w:val="auto"/>
        </w:rPr>
      </w:pPr>
    </w:p>
    <w:p>
      <w:pPr>
        <w:ind w:left="120" w:right="160"/>
        <w:spacing w:after="0" w:line="224" w:lineRule="auto"/>
        <w:rPr>
          <w:sz w:val="20"/>
          <w:szCs w:val="20"/>
          <w:color w:val="auto"/>
        </w:rPr>
      </w:pPr>
      <w:r>
        <w:rPr>
          <w:rFonts w:ascii="Arial" w:cs="Arial" w:eastAsia="Arial" w:hAnsi="Arial"/>
          <w:sz w:val="18"/>
          <w:szCs w:val="18"/>
          <w:color w:val="auto"/>
        </w:rPr>
        <w:t>We expect to face competition from existing products and products in development for each of our programs. Drug discovery efforts focused on V600 mutations have led to clinical success in some cancers. Three BRAF inhibitors have been approved by the FDA for the treatment of tumors containing V600E or V600K mutations. These first-generation BRAF inhibitors, known more generally as Type I RAF inhibitors, are vemurafenib, marketed as Zelboraf</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by Genentech; dabrafenib, marketed as Tafinlar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by Novartis; and encorafenib, marketed as Braftovi</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by Pfizer. Dabrafinib, in combination with trametinib, is being evaluated in a Novartis-sponsored randomized Phase 2 clinical trial in newly-diagnosed patients with BRAF V600 mutant pLGG.</w:t>
      </w:r>
    </w:p>
    <w:p>
      <w:pPr>
        <w:spacing w:after="0" w:line="203" w:lineRule="exact"/>
        <w:rPr>
          <w:sz w:val="20"/>
          <w:szCs w:val="20"/>
          <w:color w:val="auto"/>
        </w:rPr>
      </w:pPr>
    </w:p>
    <w:p>
      <w:pPr>
        <w:ind w:left="120" w:right="260"/>
        <w:spacing w:after="0" w:line="241" w:lineRule="auto"/>
        <w:rPr>
          <w:sz w:val="20"/>
          <w:szCs w:val="20"/>
          <w:color w:val="auto"/>
        </w:rPr>
      </w:pPr>
      <w:r>
        <w:rPr>
          <w:rFonts w:ascii="Arial" w:cs="Arial" w:eastAsia="Arial" w:hAnsi="Arial"/>
          <w:sz w:val="16"/>
          <w:szCs w:val="16"/>
          <w:color w:val="auto"/>
        </w:rPr>
        <w:t>Four MEK inhibitors have been approved by the FDA. Three have been approved for the treatment of tumors containing BRAF V600E or V600K mutations, including cobimetinib, marketed as Cotellic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by Genentech; trametinib, marketed as Tafinlar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by Novartis; and binimetinib, marketed as Mektovi</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by Pfizer. A fourth MEK inhibitor—selumetinib, marketed as Koselugo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by AstraZeneca, has been approved for the treatment of pediatric patients, 2 years of age and older, with neurofibromatosis type 1, or NF1, who have symptomatic, inoperable plexiform neurofibromas.</w:t>
      </w:r>
    </w:p>
    <w:p>
      <w:pPr>
        <w:spacing w:after="0" w:line="202"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Novartis is developing the next-generation BRAF inhibitor LXH254 in combination with various agents, in Phase 1/2 clinical trials. BeiGene has two next-generation BRAF programs: Lifirafenib (BGB-283), which is currently in a Phase 1/2 trial in combination with mirdametinib, and BGB-3245 which is currently in a single agent in Phase 1 dose escalation study. Hanmi / Genentech are developing belvarafenib in combination with cobimetinib in a Phase 1b clinical trial. Fore Therapeutics (formerly NovellusDx) is developing the RAF dimer breaker PLX8394 in a Phase 1/2 trial in combination with cobicistat. Kinnate and Black Diamond Therapeutics have next-generation BRAF inhibitors in various stages of preclinical development.</w:t>
      </w:r>
    </w:p>
    <w:p>
      <w:pPr>
        <w:spacing w:after="0" w:line="161" w:lineRule="exact"/>
        <w:rPr>
          <w:sz w:val="20"/>
          <w:szCs w:val="20"/>
          <w:color w:val="auto"/>
        </w:rPr>
      </w:pPr>
    </w:p>
    <w:p>
      <w:pPr>
        <w:jc w:val="both"/>
        <w:ind w:left="120" w:right="400"/>
        <w:spacing w:after="0" w:line="263" w:lineRule="auto"/>
        <w:rPr>
          <w:sz w:val="20"/>
          <w:szCs w:val="20"/>
          <w:color w:val="auto"/>
        </w:rPr>
      </w:pPr>
      <w:r>
        <w:rPr>
          <w:rFonts w:ascii="Arial" w:cs="Arial" w:eastAsia="Arial" w:hAnsi="Arial"/>
          <w:sz w:val="18"/>
          <w:szCs w:val="18"/>
          <w:color w:val="auto"/>
        </w:rPr>
        <w:t>With regard to the treatment of pLGG, some MEK inhibitors and some type I RAF inhibitors other targeted therapies are being studied in academic investigator-initiated clinical trials, and in some regions may be being used in an off-label manner. The off-label use of these agents may represent competition for DAY101 when it enters the market.</w:t>
      </w:r>
    </w:p>
    <w:p>
      <w:pPr>
        <w:spacing w:after="0" w:line="184"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Many of our competitors, either alone or with their collaborators, have significantly greater financial resources, established presence in the market, and expertise in research and development, manufacturing, preclinical and clinical testing, obtaining regulatory approvals and reimbursement and marketing approved products than we do.</w:t>
      </w:r>
    </w:p>
    <w:p>
      <w:pPr>
        <w:spacing w:after="0" w:line="184"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Large pharmaceutical and biotechnology companies, in particular, have extensive experience in clinical testing, obtaining regulatory approvals, recruiting patients and manufacturing biotechnology product candidates. These companies also have significantly greater research, marketing and sales capabilities than we do and may also have product candidates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w:t>
      </w:r>
    </w:p>
    <w:p>
      <w:pPr>
        <w:spacing w:after="0" w:line="166"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As a result of all of these factors, our competitors may succeed in obtaining approval from the FDA or comparable foreign regulatory authorities or in discovering, developing and commercializing product candidates in our field before we do, which could result in our competitors establishing a strong market position before we are able to enter the market or make our development more complicated.</w:t>
      </w:r>
    </w:p>
    <w:p>
      <w:pPr>
        <w:spacing w:after="0" w:line="18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Our potential commercial opportunity could be reduced or eliminated if our competitors develop and commercialize products that are safer, more effective, have fewer or less severe side effects, are more convenient, have a broader label, are marketed more effectively, are more widely reimbursed or are less expensive than any products that we may develop. Even if the product candidates we develop achieve marketing approval, they may be priced at a</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86"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fail to demonstrate safety and efficacy to our stakeholders, our reputation may be harmed and our business will suffer.</w:t>
      </w:r>
    </w:p>
    <w:p>
      <w:pPr>
        <w:spacing w:after="0" w:line="117"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In addition to the regulatory approvals required for product candidates developed for adults, parents, physicians, caregivers, advocates, and patients may not want to participate in our trials, prescribe or take our products, or want to be affiliated with our company if we do not maintain trust and a reputation for integrity and high quality interactions and products. Pediatric drug development is typically deferred to protect children from exposure to investigational agents, which have historically been cytotoxic chemotherapies that are often associated with severe side effects and poor tolerability. If one of our products or product candidates was found to have a safety impact on pediatric patients our reputation would be harmed and our business would suffer.</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COVID-19 pandemic could adversely impact our business, including our clinical trials and clinical trial operations.</w:t>
      </w:r>
    </w:p>
    <w:p>
      <w:pPr>
        <w:spacing w:after="0" w:line="117" w:lineRule="exact"/>
        <w:rPr>
          <w:sz w:val="20"/>
          <w:szCs w:val="20"/>
          <w:color w:val="auto"/>
        </w:rPr>
      </w:pPr>
    </w:p>
    <w:p>
      <w:pPr>
        <w:ind w:left="120" w:right="280"/>
        <w:spacing w:after="0" w:line="308" w:lineRule="auto"/>
        <w:rPr>
          <w:sz w:val="20"/>
          <w:szCs w:val="20"/>
          <w:color w:val="auto"/>
        </w:rPr>
      </w:pPr>
      <w:r>
        <w:rPr>
          <w:rFonts w:ascii="Arial" w:cs="Arial" w:eastAsia="Arial" w:hAnsi="Arial"/>
          <w:sz w:val="17"/>
          <w:szCs w:val="17"/>
          <w:color w:val="auto"/>
        </w:rPr>
        <w:t>The COVID-19 pandemic in the United States and in other countries in which we have planned or have active clinical trial sites and where our third-party manufacturers operate, could cause significant disruptions that could severely impact our business and clinical trials, including:</w:t>
      </w:r>
    </w:p>
    <w:p>
      <w:pPr>
        <w:spacing w:after="0" w:line="52" w:lineRule="exact"/>
        <w:rPr>
          <w:sz w:val="20"/>
          <w:szCs w:val="20"/>
          <w:color w:val="auto"/>
        </w:rPr>
      </w:pPr>
    </w:p>
    <w:p>
      <w:pPr>
        <w:ind w:left="540" w:hanging="424"/>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delays or difficulties in screening, enrolling and maintaining patients in our clinical trials;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30" w:lineRule="exact"/>
        <w:rPr>
          <w:rFonts w:ascii="Arial" w:cs="Arial" w:eastAsia="Arial" w:hAnsi="Arial"/>
          <w:sz w:val="18"/>
          <w:szCs w:val="18"/>
          <w:color w:val="auto"/>
        </w:rPr>
      </w:pPr>
    </w:p>
    <w:p>
      <w:pPr>
        <w:ind w:left="540" w:right="60" w:hanging="424"/>
        <w:spacing w:after="0" w:line="308" w:lineRule="auto"/>
        <w:tabs>
          <w:tab w:leader="none" w:pos="5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diversion of healthcare resources away from the conduct of clinical trials, including the diversion of hospitals serving as our clinical trial sites and hospital staff supporting the conduct of our clinical trials as they prioritize resources towards addressing the COVID-19 pandemic;</w:t>
      </w:r>
    </w:p>
    <w:p>
      <w:pPr>
        <w:spacing w:after="0" w:line="51" w:lineRule="exact"/>
        <w:rPr>
          <w:rFonts w:ascii="Arial" w:cs="Arial" w:eastAsia="Arial" w:hAnsi="Arial"/>
          <w:sz w:val="17"/>
          <w:szCs w:val="17"/>
          <w:color w:val="auto"/>
        </w:rPr>
      </w:pPr>
    </w:p>
    <w:p>
      <w:pPr>
        <w:ind w:left="540" w:hanging="424"/>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inability or unwillingness of subjects to travel to the clinical trial sites;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delays, difficulties, or incompleteness in data collection and analysis and other related activities;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decreased implementation of protocol required clinical trial activities and quality of source data verification at clinical trial sites;</w:t>
      </w:r>
    </w:p>
    <w:p>
      <w:pPr>
        <w:spacing w:after="0" w:line="130" w:lineRule="exact"/>
        <w:rPr>
          <w:rFonts w:ascii="Arial" w:cs="Arial" w:eastAsia="Arial" w:hAnsi="Arial"/>
          <w:sz w:val="18"/>
          <w:szCs w:val="18"/>
          <w:color w:val="auto"/>
        </w:rPr>
      </w:pPr>
    </w:p>
    <w:p>
      <w:pPr>
        <w:ind w:left="540" w:right="40" w:hanging="424"/>
        <w:spacing w:after="0" w:line="277"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w:t>
      </w:r>
    </w:p>
    <w:p>
      <w:pPr>
        <w:spacing w:after="0" w:line="75" w:lineRule="exact"/>
        <w:rPr>
          <w:rFonts w:ascii="Arial" w:cs="Arial" w:eastAsia="Arial" w:hAnsi="Arial"/>
          <w:sz w:val="18"/>
          <w:szCs w:val="18"/>
          <w:color w:val="auto"/>
        </w:rPr>
      </w:pPr>
    </w:p>
    <w:p>
      <w:pPr>
        <w:ind w:left="540" w:right="280" w:hanging="424"/>
        <w:spacing w:after="0" w:line="342" w:lineRule="auto"/>
        <w:tabs>
          <w:tab w:leader="none" w:pos="5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limitations in employee resources that would otherwise be focused on the conduct of our clinical trials and our other research and development activities, including because of sickness of employees or their families or mitigation measures such as lock-downs and social distancing;</w:t>
      </w:r>
    </w:p>
    <w:p>
      <w:pPr>
        <w:spacing w:after="0" w:line="29" w:lineRule="exact"/>
        <w:rPr>
          <w:rFonts w:ascii="Arial" w:cs="Arial" w:eastAsia="Arial" w:hAnsi="Arial"/>
          <w:sz w:val="16"/>
          <w:szCs w:val="16"/>
          <w:color w:val="auto"/>
        </w:rPr>
      </w:pPr>
    </w:p>
    <w:p>
      <w:pPr>
        <w:ind w:left="540" w:right="280" w:hanging="424"/>
        <w:spacing w:after="0" w:line="277"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interruptions, difficulties or delays arising in our existing operations and company culture as a result of all of our employees working remotely, including those hired during the COVID-19 pandemic;</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delays due to production shortages resulting from any events affecting supply or manufacturing capabilities domestically and abroad;</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86"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w:t>
      </w:r>
    </w:p>
    <w:p>
      <w:pPr>
        <w:spacing w:after="0" w:line="130" w:lineRule="exact"/>
        <w:rPr>
          <w:rFonts w:ascii="Arial" w:cs="Arial" w:eastAsia="Arial" w:hAnsi="Arial"/>
          <w:sz w:val="18"/>
          <w:szCs w:val="18"/>
          <w:color w:val="auto"/>
        </w:rPr>
      </w:pPr>
    </w:p>
    <w:p>
      <w:pPr>
        <w:ind w:left="540" w:right="180" w:hanging="424"/>
        <w:spacing w:after="0" w:line="277"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interruption in global and domestic shipping that may affect the transport of clinical trial materials, such as investigational drug products used in our clinical trials;</w:t>
      </w:r>
    </w:p>
    <w:p>
      <w:pPr>
        <w:spacing w:after="0" w:line="75" w:lineRule="exact"/>
        <w:rPr>
          <w:rFonts w:ascii="Arial" w:cs="Arial" w:eastAsia="Arial" w:hAnsi="Arial"/>
          <w:sz w:val="18"/>
          <w:szCs w:val="18"/>
          <w:color w:val="auto"/>
        </w:rPr>
      </w:pPr>
    </w:p>
    <w:p>
      <w:pPr>
        <w:ind w:left="540" w:right="100" w:hanging="424"/>
        <w:spacing w:after="0" w:line="263"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pandemic, including as a result of the emergence and spread of variants of the COVID-19 virus, which may require us to change the ways in which our clinical trials are conducted, which may result in unexpected costs, delays, or to discontinue the clinical trials altogether;</w:t>
      </w:r>
    </w:p>
    <w:p>
      <w:pPr>
        <w:spacing w:after="0" w:line="89" w:lineRule="exact"/>
        <w:rPr>
          <w:rFonts w:ascii="Arial" w:cs="Arial" w:eastAsia="Arial" w:hAnsi="Arial"/>
          <w:sz w:val="18"/>
          <w:szCs w:val="18"/>
          <w:color w:val="auto"/>
        </w:rPr>
      </w:pPr>
    </w:p>
    <w:p>
      <w:pPr>
        <w:ind w:left="540" w:right="620" w:hanging="424"/>
        <w:spacing w:after="0" w:line="277"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refusal of regulatory authorities such as FDA to accept data from clinical trials in affected geographies; and</w:t>
      </w:r>
    </w:p>
    <w:p>
      <w:pPr>
        <w:spacing w:after="0" w:line="130" w:lineRule="exact"/>
        <w:rPr>
          <w:rFonts w:ascii="Arial" w:cs="Arial" w:eastAsia="Arial" w:hAnsi="Arial"/>
          <w:sz w:val="18"/>
          <w:szCs w:val="18"/>
          <w:color w:val="auto"/>
        </w:rPr>
      </w:pPr>
    </w:p>
    <w:p>
      <w:pPr>
        <w:ind w:left="540" w:right="200" w:hanging="424"/>
        <w:spacing w:after="0" w:line="277"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adverse impacts on global economic conditions which could have an adverse effect on our business and financial condition, including impairing our ability to raise capital when needed.</w:t>
      </w:r>
    </w:p>
    <w:p>
      <w:pPr>
        <w:spacing w:after="0" w:line="170"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Such disruptions could impede, delay, limit or prevent completion of our ongoing clinical trials and future preclinical studies or commencement of new clinical trials and ultimately lead to the delay or denial of regulatory approval of our product candidates, which would seriously harm our operations and financial condition and increase our costs and expenses. We are in close contact with our contract research organizations, or CROs, contract manufacturing organizations, or CMOs, and clinical sites as we seek to mitigate the impact of the COVID-19 pandemic on our studies and current timelines. Measures we have taken in response to the COVID-19 pandemic include, where feasible, conducting remote clinical trial site activations and data monitoring, and limiting on-site patient visits by adjusting patient assessments and protocol. However, despite these efforts, we have experienced limited delays in trial site initiations, patient participation and patient enrollment in some of our clinical trials and we may continue to experience some delays in our clinical trials and preclinical studies and delays in data collection and analysis. These delays so far have had a limited impact, but this may change as the COVID-19 pandemic and the response to such COVID-19 pandemic continues to evolve, and could have an adverse impact on our timelines and our business. The COVID-19 pandemic could also affect the business of the FDA or other health authorities, which could result in delays in meetings related to planned or completed clinical trials and ultimately of reviews and approvals of our product candidates.</w:t>
      </w:r>
    </w:p>
    <w:p>
      <w:pPr>
        <w:spacing w:after="0" w:line="172" w:lineRule="exact"/>
        <w:rPr>
          <w:sz w:val="20"/>
          <w:szCs w:val="20"/>
          <w:color w:val="auto"/>
        </w:rPr>
      </w:pPr>
    </w:p>
    <w:p>
      <w:pPr>
        <w:ind w:left="120" w:right="160"/>
        <w:spacing w:after="0" w:line="287" w:lineRule="auto"/>
        <w:rPr>
          <w:sz w:val="20"/>
          <w:szCs w:val="20"/>
          <w:color w:val="auto"/>
        </w:rPr>
      </w:pPr>
      <w:r>
        <w:rPr>
          <w:rFonts w:ascii="Arial" w:cs="Arial" w:eastAsia="Arial" w:hAnsi="Arial"/>
          <w:sz w:val="16"/>
          <w:szCs w:val="16"/>
          <w:color w:val="auto"/>
        </w:rPr>
        <w:t>The global COVID-19 pandemic continues to evolve. Certain jurisdictions have begun re-opening only to return to restrictions due to increases in new COVID-19 cases and the emergence of new variant strains of COVID-19. Even in areas where “stay-at-home” restrictions have been lifted and the number of cases of COVID-19 has declined, many individuals remain cautious about resuming activities such as preventive-care medical</w:t>
      </w:r>
    </w:p>
    <w:p>
      <w:pPr>
        <w:spacing w:after="0" w:line="2"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visits. Additionally, the emergence of new variant strains of COVID-19 in regions that have reopened has necessitated, and may in the future necessitate, renewed government restrictions. The extent to which the COVID-19 pandemic may impact our business and clinical trials will depend on future developments, which are highly uncertain and cannot be predicted with confidence, such as the ultimate geographic spread of the disease, the duration of the pandemic, the emergence and spread of variants of the COVID-19 virus, travel restrictions and social distancing in the United States and other countries, business closures or business disruptions and the effectiveness of actions taken in the United States and other countries to contain and treat the disease.</w:t>
      </w:r>
    </w:p>
    <w:p>
      <w:pPr>
        <w:spacing w:after="0" w:line="194" w:lineRule="exact"/>
        <w:rPr>
          <w:sz w:val="20"/>
          <w:szCs w:val="20"/>
          <w:color w:val="auto"/>
        </w:rPr>
      </w:pPr>
    </w:p>
    <w:p>
      <w:pPr>
        <w:ind w:left="120" w:right="840"/>
        <w:spacing w:after="0" w:line="277" w:lineRule="auto"/>
        <w:rPr>
          <w:sz w:val="20"/>
          <w:szCs w:val="20"/>
          <w:color w:val="auto"/>
        </w:rPr>
      </w:pPr>
      <w:r>
        <w:rPr>
          <w:rFonts w:ascii="Arial" w:cs="Arial" w:eastAsia="Arial" w:hAnsi="Arial"/>
          <w:sz w:val="18"/>
          <w:szCs w:val="18"/>
          <w:color w:val="auto"/>
        </w:rPr>
        <w:t>To the extent the COVID-19 pandemic adversely affects our business, financial condition and operating results, it may also have the effect of heightening many of the risks described in this “Risk Factors” section.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86"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86" w:lineRule="auto"/>
        <w:rPr>
          <w:sz w:val="20"/>
          <w:szCs w:val="20"/>
          <w:color w:val="auto"/>
        </w:rPr>
      </w:pPr>
      <w:r>
        <w:rPr>
          <w:rFonts w:ascii="Arial" w:cs="Arial" w:eastAsia="Arial" w:hAnsi="Arial"/>
          <w:sz w:val="17"/>
          <w:szCs w:val="17"/>
          <w:b w:val="1"/>
          <w:bCs w:val="1"/>
          <w:i w:val="1"/>
          <w:iCs w:val="1"/>
          <w:color w:val="auto"/>
        </w:rPr>
        <w:t>Adverse side effects or other safety risks associated with DAY101, pimasertib or any future product candidates we may develop could delay or preclude approval, cause us to suspend or discontinue clinical trials or abandon further development, limit the commercial profile of an approved product, or result in significant negative consequences following marketing approval, if any.</w:t>
      </w:r>
    </w:p>
    <w:p>
      <w:pPr>
        <w:spacing w:after="0" w:line="5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is the case with pharmaceuticals generally, we have observed side effects and adverse events associated with our lead product candidate, DAY101.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These side effects included acneiform rash, anemia, headache, nausea and fatigue.</w:t>
      </w:r>
    </w:p>
    <w:p>
      <w:pPr>
        <w:spacing w:after="0" w:line="211"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Results of our ongoing and planned clinical trials could reveal a high and unacceptable severity and prevalence of side effects or unexpected characteristics. Undesirable side effects caused by our product candidates could result in the delay, suspension or termination of clinical trials by us or regulatory authorities for a number of reasons. Furthermore, clinical trials by their nature utilize a sample of the potential patient population. With a limited number of subjects and limited duration of exposure, rare and severe side effects of our product candidates or those of our competitors may only be uncovered with a significantly larger number of patients exposed to the drug.</w:t>
      </w:r>
    </w:p>
    <w:p>
      <w:pPr>
        <w:spacing w:after="0" w:line="176"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Additionally, patients treated with our product candidates may also be undergoing surgical, radiation and chemotherapy treatments, which can cause side effects or adverse events that are unrelated to our product candidates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to be enrolled in our future clinical trials will die or experience major clinical events either during the course of our clinical trials or after participating in such trials for non-treatment related reasons, which could impact development of DAY101 or pimasertib. If we elect or are required to delay, suspend or terminate any clinical trial, the commercial prospects of our product candidates will be harmed and our ability to generate product revenues from this product candidate will be delayed or eliminated. Serious adverse events, or SAEs, observed in clinical trials could hinder or prevent market acceptance of our product candidates or reduce the duration of time that physicians expect to use our product in particular patients. Any of these occurrences may harm our business, prospects, financial condition and results of operations significantly.</w:t>
      </w:r>
    </w:p>
    <w:p>
      <w:pPr>
        <w:spacing w:after="0" w:line="185"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Moreover, if our product candidates are associated with undesirable side effects in clinical trials or have characteristics that are unexpected, we may elect to abandon or limit their development to more narrow uses or subpopulations in which the undesirable side effects or other characteristics are less prevalent, less severe or more acceptable from a risk-benefit perspective, which may limit the commercial expectations for our product candidates, if approved. We may also be required to modify our study plans based on findings in our clinical trials. Such side effects could also affect patient recruitment or the ability of enrolled patients to complete the trial. Many drugs that initially showed promise in early stage testing have later been found to cause side effects that prevented further development. In addition, regulatory authorities may draw different conclusions, require additional testing to confirm these determinations, require more restrictive labeling, or deny regulatory approval of the product candidate.</w:t>
      </w:r>
    </w:p>
    <w:p>
      <w:pPr>
        <w:spacing w:after="0" w:line="166"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It is possible that, as we test our product candidates in larger, longer and more extensive clinical trials, including with different dosing regimens, or as the use of our product candidates becomes more widespread following any regulatory approval, illnesses, injuries, discomforts and other adverse events that were observed in earlier trials, as well as conditions that did not occur or went undetected in previous trials, will be reported by patients. If such side effects become known later in development or upon approval, if any, such findings may harm our business, financial condition, results of operations and prospects significantly.</w:t>
      </w:r>
    </w:p>
    <w:p>
      <w:pPr>
        <w:spacing w:after="0" w:line="18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In addition, if any of our product candidates receive marketing approval, and we or others later identify undesirable side effects caused by treatment with such drug, a number of potentially significant negative consequences could result, including:</w:t>
      </w:r>
    </w:p>
    <w:p>
      <w:pPr>
        <w:spacing w:after="0" w:line="76" w:lineRule="exact"/>
        <w:rPr>
          <w:sz w:val="20"/>
          <w:szCs w:val="20"/>
          <w:color w:val="auto"/>
        </w:rPr>
      </w:pPr>
    </w:p>
    <w:p>
      <w:pPr>
        <w:ind w:left="540" w:hanging="424"/>
        <w:spacing w:after="0"/>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regulatory authorities may withdraw approval of the drug;</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the drug is administered to patients;</w:t>
      </w:r>
    </w:p>
    <w:p>
      <w:pPr>
        <w:spacing w:after="0" w:line="130" w:lineRule="exact"/>
        <w:rPr>
          <w:rFonts w:ascii="Arial" w:cs="Arial" w:eastAsia="Arial" w:hAnsi="Arial"/>
          <w:sz w:val="18"/>
          <w:szCs w:val="18"/>
          <w:color w:val="auto"/>
        </w:rPr>
      </w:pPr>
    </w:p>
    <w:p>
      <w:pPr>
        <w:ind w:left="540" w:right="180" w:hanging="424"/>
        <w:spacing w:after="0" w:line="342" w:lineRule="auto"/>
        <w:tabs>
          <w:tab w:leader="none" w:pos="5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regulatory authorities may require additional warnings in the labeling, such as a contraindication or a boxed warning, or issue safety alerts, Dear Healthcare Provider letters, press releases or other communications containing warnings or other safety information about the product</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86"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we may be required to implement a REMS or create a medication guide outlining the risks of such side effects for distribution to patients;</w:t>
      </w:r>
    </w:p>
    <w:p>
      <w:pPr>
        <w:spacing w:after="0" w:line="142" w:lineRule="exact"/>
        <w:rPr>
          <w:rFonts w:ascii="Arial" w:cs="Arial" w:eastAsia="Arial" w:hAnsi="Arial"/>
          <w:sz w:val="17"/>
          <w:szCs w:val="17"/>
          <w:color w:val="auto"/>
        </w:rPr>
      </w:pPr>
    </w:p>
    <w:p>
      <w:pPr>
        <w:ind w:left="540" w:right="120" w:hanging="424"/>
        <w:spacing w:after="0" w:line="277"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or promotion of the particular product or the manufacturing processes for the product or any component thereof;</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drug could become less competitive; and</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if approved, and could significantly harm our business, financial condition, results of operations and prospects.</w:t>
      </w:r>
    </w:p>
    <w:p>
      <w:pPr>
        <w:spacing w:after="0" w:line="278" w:lineRule="exact"/>
        <w:rPr>
          <w:sz w:val="20"/>
          <w:szCs w:val="20"/>
          <w:color w:val="auto"/>
        </w:rPr>
      </w:pPr>
    </w:p>
    <w:p>
      <w:pPr>
        <w:ind w:left="120" w:right="520"/>
        <w:spacing w:after="0" w:line="342" w:lineRule="auto"/>
        <w:rPr>
          <w:sz w:val="20"/>
          <w:szCs w:val="20"/>
          <w:color w:val="auto"/>
        </w:rPr>
      </w:pPr>
      <w:r>
        <w:rPr>
          <w:rFonts w:ascii="Arial" w:cs="Arial" w:eastAsia="Arial" w:hAnsi="Arial"/>
          <w:sz w:val="16"/>
          <w:szCs w:val="16"/>
          <w:b w:val="1"/>
          <w:bCs w:val="1"/>
          <w:i w:val="1"/>
          <w:iCs w:val="1"/>
          <w:color w:val="auto"/>
        </w:rPr>
        <w:t>Preliminary, interim and topline data from our clinical trials that we announce or publish from time to time may change as more patient data become available and are subject to audit and verification procedures that could result in material changes in the final data.</w:t>
      </w:r>
    </w:p>
    <w:p>
      <w:pPr>
        <w:spacing w:after="0" w:line="16"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From time to time, we may publicly disclose preliminary, interim or topline data from our clinical trials, such as the preliminary data analysis for the pivotal Phase 2 of our DAY101 trial. These updates are based on a preliminary analysis of then-available data, and the results and related findings and conclusions are subject to change following a more comprehensive review of the data related to the particular study or trial. Additionally, interim data from clinical trials that we may complete are subject to the risk that one or more of the clinical outcomes may materially change as patient enrollment continues and more patient data become available. Therefore, positive interim results in any ongoing clinical trial may not be predictive of such results in the completed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w:t>
      </w:r>
    </w:p>
    <w:p>
      <w:pPr>
        <w:spacing w:after="0" w:line="185"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89"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sz w:val="20"/>
          <w:szCs w:val="20"/>
          <w:color w:val="auto"/>
        </w:rPr>
      </w:pPr>
    </w:p>
    <w:p>
      <w:pPr>
        <w:ind w:left="120" w:right="220"/>
        <w:spacing w:after="0" w:line="311" w:lineRule="auto"/>
        <w:rPr>
          <w:sz w:val="20"/>
          <w:szCs w:val="20"/>
          <w:color w:val="auto"/>
        </w:rPr>
      </w:pPr>
      <w:r>
        <w:rPr>
          <w:rFonts w:ascii="Arial" w:cs="Arial" w:eastAsia="Arial" w:hAnsi="Arial"/>
          <w:sz w:val="16"/>
          <w:szCs w:val="16"/>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00"/>
          </w:cols>
          <w:pgMar w:left="320" w:top="486"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7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The market opportunities for any product candidates we develop, if approved, may be limited to certain smaller patient subsets and may be smaller than we estimate them to be.</w:t>
      </w:r>
    </w:p>
    <w:p>
      <w:pPr>
        <w:spacing w:after="0" w:line="62"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We plan to seek approval of DAY101 as first-line treatment in pLGG. There is no guarantee that our product candidates would be approved for first-line treatment, and prior to any such approvals we may have to conduct additional clinical trials that may be costly, time-consuming and subject to risk.</w:t>
      </w:r>
    </w:p>
    <w:p>
      <w:pPr>
        <w:spacing w:after="0" w:line="124"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Our projections of both the number of people who have the cancers we are targeting, as well as the subset of people with these cancers in a position to receive a particular line of therapy and who have the potential to benefit from treatment with our product candidates, are based on our beliefs and estimates. For example, pLGG is a rare disease, and as such, our projections of both the number of people who have this disease, as well as the subset of people with pLGG who have the potential to benefit from treatment with our product candidates, are based on estimates. These estimates have been derived from a variety of sources, including scientific literature, surveys of clinics, patient foundations or market research, and may prove to be incorrect. Further, new studies may change the estimated incidence or prevalence of the cancers that we are targeting. The potentially addressable patient population for our product candidates may be limited or may not be amenable to treatment with our product candidates. Consequently, even if our product candidates are approved, the number of patients that may be eligible for treatment with our product candidates may turn out to be much lower than expected. In addition, we have not yet conducted market research to determine how treating physicians would expect to prescribe a product that is approved for multiple tumor types if there are different lines of approved therapies for each such tumor type. Even if we obtain significant market share for our products, if approved, if the potential target populations are small, we may never achieve profitability without obtaining regulatory approval for additional indications.</w:t>
      </w:r>
    </w:p>
    <w:p>
      <w:pPr>
        <w:spacing w:after="0" w:line="28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Our clinical development activities are focused on the development of targeted therapeutics for patients with genomically defined cancers, which is a rapidly evolving area of science, and the approach we are taking to discover and develop drugs is novel and may never lead to approved or marketable products.</w:t>
      </w:r>
    </w:p>
    <w:p>
      <w:pPr>
        <w:spacing w:after="0" w:line="76"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The discovery and development of targeted therapeutics for patients with genomically defined cancers is an emerging field, and the scientific discoveries that form the basis for our efforts to discover, identify and develop product candidates are relatively new. The scientific evidence to support the feasibility of developing product candidates based on these discoveries is both preliminary and limited. Although we believe, based on our product candidates’ preclinical trial results and our clinical work, that the genomic alterations targeted by our programs are oncogenic drivers, clinical results may not confirm this hypothesis or may only confirm it for certain alterations or certain tumor types. The patient populations for our product candidates are limited to those with specific target alterations and may not be completely defined but are substantially smaller than the general treated cancer population, and we will need to screen and identify these patients with targeted alterations. Successful identification of patients is dependent on several factors, including achieving certainty as to how specific alterations respond to our product candidates and the ability to identify such alterations. Furthermore, even if we are successful in identifying patients, we cannot be certain that the resulting patient populations for each mutation will be large enough to allow us to successfully obtain approval for each mutation type and commercialize our product candidates and achieve profitability. In addition, even if our approach is successful in showing clinical benefit for RAF-driven cancers for our DAY101 program, we may never successfully identify additional oncogenic alterations sensitive to DAY101 in other MAPK-driven tumors. Therefore, we do not know if our approach of treating patients with genomically defined cancers will be successful, and if our approach is unsuccessful, our business will suffer.</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86"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or their families, healthcare payors and others in the medical community necessary for commercial success.</w:t>
      </w:r>
    </w:p>
    <w:p>
      <w:pPr>
        <w:spacing w:after="0" w:line="62"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or their families, third-party payors and others in the medical community. The degree of market acceptance of any of our approved product candidates will depend on a number of factors, including:</w:t>
      </w:r>
    </w:p>
    <w:p>
      <w:pPr>
        <w:spacing w:after="0" w:line="89" w:lineRule="exact"/>
        <w:rPr>
          <w:sz w:val="20"/>
          <w:szCs w:val="20"/>
          <w:color w:val="auto"/>
        </w:rPr>
      </w:pPr>
    </w:p>
    <w:p>
      <w:pPr>
        <w:ind w:left="540" w:right="120" w:hanging="424"/>
        <w:spacing w:after="0" w:line="277"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efficacy, durability and safety profile as demonstrated in clinical trials compared to alternative treatments, in addition to functional, quality, or patient-reported outcomes;</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clinical indications for which a product candidate is approved;</w:t>
      </w:r>
    </w:p>
    <w:p>
      <w:pPr>
        <w:spacing w:after="0" w:line="130" w:lineRule="exact"/>
        <w:rPr>
          <w:rFonts w:ascii="Arial" w:cs="Arial" w:eastAsia="Arial" w:hAnsi="Arial"/>
          <w:sz w:val="18"/>
          <w:szCs w:val="18"/>
          <w:color w:val="auto"/>
        </w:rPr>
      </w:pPr>
    </w:p>
    <w:p>
      <w:pPr>
        <w:ind w:left="540" w:right="360" w:hanging="424"/>
        <w:spacing w:after="0" w:line="277"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restrictions on the use of product candidates in the labeling approved by regulatory authorities, such as boxed warnings or contraindications in labeling, or a REMS, if any, which may not be required of alternative treatments and competitor products;</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and the cost/benefit ratios of each;</w:t>
      </w:r>
    </w:p>
    <w:p>
      <w:pPr>
        <w:spacing w:after="0" w:line="130" w:lineRule="exact"/>
        <w:rPr>
          <w:rFonts w:ascii="Arial" w:cs="Arial" w:eastAsia="Arial" w:hAnsi="Arial"/>
          <w:sz w:val="18"/>
          <w:szCs w:val="18"/>
          <w:color w:val="auto"/>
        </w:rPr>
      </w:pPr>
    </w:p>
    <w:p>
      <w:pPr>
        <w:ind w:left="540" w:right="20" w:hanging="424"/>
        <w:spacing w:after="0" w:line="277"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by third-party payors, including government authorities, and timing of relevant formulary decision-making resulting in this coverage and reimbursement;</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availability of an approved product candidate for use as a combination therapy;</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relative convenience and ease of administration in relation to competition;</w:t>
      </w:r>
    </w:p>
    <w:p>
      <w:pPr>
        <w:spacing w:after="0" w:line="130" w:lineRule="exact"/>
        <w:rPr>
          <w:rFonts w:ascii="Arial" w:cs="Arial" w:eastAsia="Arial" w:hAnsi="Arial"/>
          <w:sz w:val="18"/>
          <w:szCs w:val="18"/>
          <w:color w:val="auto"/>
        </w:rPr>
      </w:pPr>
    </w:p>
    <w:p>
      <w:pPr>
        <w:ind w:left="540" w:right="60" w:hanging="424"/>
        <w:spacing w:after="0" w:line="308" w:lineRule="auto"/>
        <w:tabs>
          <w:tab w:leader="none" w:pos="5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willingness of the target patient population (which may include willingness of our pediatric patients’ parents) to try new therapies and undergo required diagnostic screening to determine treatment eligibility and of physicians to prescribe these therapies and diagnostic tests;</w:t>
      </w:r>
    </w:p>
    <w:p>
      <w:pPr>
        <w:spacing w:after="0" w:line="51" w:lineRule="exact"/>
        <w:rPr>
          <w:rFonts w:ascii="Arial" w:cs="Arial" w:eastAsia="Arial" w:hAnsi="Arial"/>
          <w:sz w:val="17"/>
          <w:szCs w:val="17"/>
          <w:color w:val="auto"/>
        </w:rPr>
      </w:pPr>
    </w:p>
    <w:p>
      <w:pPr>
        <w:ind w:left="540" w:hanging="424"/>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effectiveness of sales, marketing efforts and market access;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unfavorable publicity relating to our product candidates; and</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approval of other new therapies for the same indications.</w:t>
      </w:r>
    </w:p>
    <w:p>
      <w:pPr>
        <w:spacing w:after="0" w:line="225" w:lineRule="exact"/>
        <w:rPr>
          <w:sz w:val="20"/>
          <w:szCs w:val="20"/>
          <w:color w:val="auto"/>
        </w:rPr>
      </w:pPr>
    </w:p>
    <w:p>
      <w:pPr>
        <w:ind w:left="120" w:right="640"/>
        <w:spacing w:after="0" w:line="342" w:lineRule="auto"/>
        <w:rPr>
          <w:sz w:val="20"/>
          <w:szCs w:val="20"/>
          <w:color w:val="auto"/>
        </w:rPr>
      </w:pPr>
      <w:r>
        <w:rPr>
          <w:rFonts w:ascii="Arial" w:cs="Arial" w:eastAsia="Arial" w:hAnsi="Arial"/>
          <w:sz w:val="16"/>
          <w:szCs w:val="16"/>
          <w:color w:val="auto"/>
        </w:rPr>
        <w:t>If any of our product candidates are approved but do not achieve an adequate level of acceptance by physicians, hospitals, healthcare payors and patients, we may not generate or derive sufficient revenue from that product candidate and our financial results could be negatively impacted.</w:t>
      </w:r>
    </w:p>
    <w:p>
      <w:pPr>
        <w:spacing w:after="0" w:line="232"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b w:val="1"/>
          <w:bCs w:val="1"/>
          <w:i w:val="1"/>
          <w:iCs w:val="1"/>
          <w:color w:val="auto"/>
        </w:rPr>
        <w:t>Any product candidates we develop may become subject to unfavorable third-party coverage and reimbursement practices, as well as pricing regulations.</w:t>
      </w:r>
    </w:p>
    <w:p>
      <w:pPr>
        <w:spacing w:after="0" w:line="62"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 candidates that receive marketing approval will depend substantially, both in the United States and internationally, on the extent to which the costs of such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40"/>
          </w:cols>
          <w:pgMar w:left="320" w:top="486"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There is significant uncertainty related to third-party payor coverage and reimbursement of newly approved products. The payer mix for pediatric products in the United States is a fragmented combination of state-specific Medicaid policies and a broad universe of private insurance companies. There is no consistent policy or leading payer to inform other price setting entities. National payer policies are expected to be critical to our ability to achieve broad payment coverage.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17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As federal and state governments implement additional health care cost containment measures, including measures to lower prescription drug pricing, we cannot be sure that our products, if approved, will be covered by private or public payors, and if covered, whether the reimbursement will be adequate or competitive with other marketed products. For example, the former president of the United States signed executive orders aimed at lowering prescription drug prices and the current president of the United States has expressed an intention to address prescription drug costs. These and other actions by federal and state governments and health plans may put additional downward pressure on pharmaceutical pricing and health care costs, which could negatively impact coverage and reimbursement for our products if approved, our revenue, and our ability to compete with other marketed products and to recoup the costs of our research and development.</w:t>
      </w:r>
    </w:p>
    <w:p>
      <w:pPr>
        <w:spacing w:after="0" w:line="177"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plan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192" w:lineRule="exact"/>
        <w:rPr>
          <w:sz w:val="20"/>
          <w:szCs w:val="20"/>
          <w:color w:val="auto"/>
        </w:rPr>
      </w:pPr>
    </w:p>
    <w:p>
      <w:pPr>
        <w:ind w:left="120" w:right="300"/>
        <w:spacing w:after="0" w:line="257" w:lineRule="auto"/>
        <w:rPr>
          <w:sz w:val="20"/>
          <w:szCs w:val="20"/>
          <w:color w:val="auto"/>
        </w:rPr>
      </w:pPr>
      <w:r>
        <w:rPr>
          <w:rFonts w:ascii="Arial" w:cs="Arial" w:eastAsia="Arial" w:hAnsi="Arial"/>
          <w:sz w:val="18"/>
          <w:szCs w:val="18"/>
          <w:color w:val="auto"/>
        </w:rPr>
        <w:t>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Additionally, if any companion diagnostic provider is unable to obtain reimbursement or is inadequately reimbursed, that may limit the availability of such companion diagnostic, which would negatively impact prescriptions for our product candidates, if approved.</w:t>
      </w:r>
    </w:p>
    <w:p>
      <w:pPr>
        <w:spacing w:after="0" w:line="188" w:lineRule="exact"/>
        <w:rPr>
          <w:sz w:val="20"/>
          <w:szCs w:val="20"/>
          <w:color w:val="auto"/>
        </w:rPr>
      </w:pPr>
    </w:p>
    <w:p>
      <w:pPr>
        <w:ind w:left="120" w:right="40"/>
        <w:spacing w:after="0" w:line="288" w:lineRule="auto"/>
        <w:rPr>
          <w:sz w:val="20"/>
          <w:szCs w:val="20"/>
          <w:color w:val="auto"/>
        </w:rPr>
      </w:pPr>
      <w:r>
        <w:rPr>
          <w:rFonts w:ascii="Arial" w:cs="Arial" w:eastAsia="Arial" w:hAnsi="Arial"/>
          <w:sz w:val="16"/>
          <w:szCs w:val="16"/>
          <w:color w:val="auto"/>
        </w:rPr>
        <w:t>Outside the United States,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or EU,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86"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96"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if we are unable to obtain sufficient insurance coverage such inability could have an adverse effect on our business and financial condition.</w:t>
      </w:r>
    </w:p>
    <w:p>
      <w:pPr>
        <w:spacing w:after="0" w:line="6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or other regulatory authority investigation of the safety and effectiveness of our products, our manufacturing processes and facilities or our marketing programs. FDA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advancing our product candidates into clinical trials or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The development and commercialization of pharmaceutical products are subject to extensive regulation, and we may not obtain regulatory approvals for DAY101, pimasertib or any future product candidates, on a timely basis or at all.</w:t>
      </w:r>
    </w:p>
    <w:p>
      <w:pPr>
        <w:spacing w:after="0" w:line="62"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The clinical development, manufacturing, labeling, packaging, storage, recordkeeping, advertising, promotion, export, import, marketing, distribution, adverse event reporting, including the submission of safety and other post-marketing information and reports, and other possible activities relating to DAY101 and pimasertib, currently our only product candidates in planned or ongoing clinical trials, as well as any other product candidate that we may develop in the future, are subject to extensive regulation. Marketing approval of drugs in the United States requires the submission of an NDA to the FDA, and we are not permitted to market any product candidate in the United States until we obtain approval from the FDA of the NDA for that product. An NDA must be supported by extensive clinical and preclinical data, as well as extensive information regarding pharmacology, chemistry, manufacturing and controls. Our product candidates must be approved by comparable regulatory authorities in other jurisdictions prior to commercialization.</w:t>
      </w:r>
    </w:p>
    <w:p>
      <w:pPr>
        <w:spacing w:after="0" w:line="192"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FDA approval of an NDA is not guaranteed, and the review and approval process is an expensive and uncertain process that may take several years. Of the large number of drugs in development in the United States, only a small percentage will successfully complete the FDA regulatory approval process and will be commercialized. Accordingly, there can be no assurance that any of our product candidates will receive regulatory approval in the United States, or other jurisdictions.</w:t>
      </w:r>
    </w:p>
    <w:p>
      <w:pPr>
        <w:spacing w:after="0" w:line="187"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The FDA also has substantial discretion in the approval process. The number and types of preclinical studies and clinical trials that will be required for NDA approval varies depending on the product candidate, the disease or the condition that the product candidate is designed to treat and the regulations applicable to any particular product candidate. For example, if successful, we believe that the expansion portions of the pivotal Phase 2 clinical trial of DAY101 may be sufficient to support FDA approval of an NDA for DAY101, but the FDA may disagree with the sufficiency of our data and require additional clinical trials. Additionally, depending upon the results of the expansion portions of the Phase 2 clinical trial of DAY101, we may choose to seek Subpart H accelerated approval</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86"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for DAY101, which would require completion of a confirmatory trial to validate the clinical benefit of the drug. Despite the time and expense associated with preclinical studies and clinical trials, failure can occur at any stage. The results of preclinical and early clinical trials of DAY101 or pimasertib or any other product candidate may not be predictive of the results of our later-stage clinical trials. For example, while we may believe certain results in patients, such as stable disease, suggest encouraging clinical activity, stable disease is not considered a response for regulatory purposes in an endpoint assessing objective response rate, or ORR.</w:t>
      </w:r>
    </w:p>
    <w:p>
      <w:pPr>
        <w:spacing w:after="0" w:line="188"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Clinical trial failure may result from a multitude of factors including flaws in trial design, dose selection, placebo effect, patient enrollment criteria and failure to demonstrate favorable safety or efficacy traits, and failure in clinical trials can occur at any stage. Companies in the pharmaceutical industry frequently suffer setbacks in the advancement of clinical trials due to lack of efficacy or adverse safety profiles, notwithstanding promising results in earlier trials. Based upon negative or inconclusive results, we may decide, or regulators may require us, to conduct additional clinical trials or preclinical studies. In addition, data obtained from clinical trials are susceptible to varying interpretations, and regulators may not interpret our data as favorably as we do, which may further delay, limit or prevent marketing approval. The FDA could delay, limit or deny approval of a product candidate for many reasons, including because the FDA:</w:t>
      </w:r>
    </w:p>
    <w:p>
      <w:pPr>
        <w:spacing w:after="0" w:line="100" w:lineRule="exact"/>
        <w:rPr>
          <w:sz w:val="20"/>
          <w:szCs w:val="20"/>
          <w:color w:val="auto"/>
        </w:rPr>
      </w:pPr>
    </w:p>
    <w:p>
      <w:pPr>
        <w:ind w:left="540" w:hanging="424"/>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may not deem our product candidate to be safe and effective;</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determines that the product candidate does not have an acceptable benefit-risk profile;</w:t>
      </w:r>
    </w:p>
    <w:p>
      <w:pPr>
        <w:spacing w:after="0" w:line="130" w:lineRule="exact"/>
        <w:rPr>
          <w:rFonts w:ascii="Arial" w:cs="Arial" w:eastAsia="Arial" w:hAnsi="Arial"/>
          <w:sz w:val="18"/>
          <w:szCs w:val="18"/>
          <w:color w:val="auto"/>
        </w:rPr>
      </w:pPr>
    </w:p>
    <w:p>
      <w:pPr>
        <w:ind w:left="540" w:right="260" w:hanging="424"/>
        <w:spacing w:after="0" w:line="277"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determines in the case of an NDA seeking accelerated approval that the NDA does not provide evidence that the product candidate represents a meaningful advantage over available therapies;</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determines that the ORR and duration of response are not clinically meaningful;</w:t>
      </w:r>
    </w:p>
    <w:p>
      <w:pPr>
        <w:spacing w:after="0" w:line="130" w:lineRule="exact"/>
        <w:rPr>
          <w:rFonts w:ascii="Arial" w:cs="Arial" w:eastAsia="Arial" w:hAnsi="Arial"/>
          <w:sz w:val="18"/>
          <w:szCs w:val="18"/>
          <w:color w:val="auto"/>
        </w:rPr>
      </w:pPr>
    </w:p>
    <w:p>
      <w:pPr>
        <w:ind w:left="540" w:hanging="424"/>
        <w:spacing w:after="0" w:line="308" w:lineRule="auto"/>
        <w:tabs>
          <w:tab w:leader="none" w:pos="5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may not agree that the data collected from preclinical studies and clinical trials are acceptable or sufficient to support the submission of an NDA or other submission or to obtain regulatory approval, and may impose requirements for additional preclinical studies or clinical trials;</w:t>
      </w:r>
    </w:p>
    <w:p>
      <w:pPr>
        <w:spacing w:after="0" w:line="51" w:lineRule="exact"/>
        <w:rPr>
          <w:rFonts w:ascii="Arial" w:cs="Arial" w:eastAsia="Arial" w:hAnsi="Arial"/>
          <w:sz w:val="17"/>
          <w:szCs w:val="17"/>
          <w:color w:val="auto"/>
        </w:rPr>
      </w:pPr>
    </w:p>
    <w:p>
      <w:pPr>
        <w:ind w:left="540" w:hanging="424"/>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may determine that adverse events experienced by participants in our clinical trials represent an unacceptable level of risk;</w:t>
      </w:r>
    </w:p>
    <w:p>
      <w:pPr>
        <w:spacing w:after="0" w:line="130" w:lineRule="exact"/>
        <w:rPr>
          <w:rFonts w:ascii="Arial" w:cs="Arial" w:eastAsia="Arial" w:hAnsi="Arial"/>
          <w:sz w:val="18"/>
          <w:szCs w:val="18"/>
          <w:color w:val="auto"/>
        </w:rPr>
      </w:pPr>
    </w:p>
    <w:p>
      <w:pPr>
        <w:ind w:left="540" w:right="60" w:hanging="424"/>
        <w:spacing w:after="0" w:line="277"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may determine that the population studied in the clinical trial may not be sufficiently broad or representative to assure safety in the full population for which we seek approval;</w:t>
      </w:r>
    </w:p>
    <w:p>
      <w:pPr>
        <w:spacing w:after="0" w:line="75" w:lineRule="exact"/>
        <w:rPr>
          <w:rFonts w:ascii="Arial" w:cs="Arial" w:eastAsia="Arial" w:hAnsi="Arial"/>
          <w:sz w:val="18"/>
          <w:szCs w:val="18"/>
          <w:color w:val="auto"/>
        </w:rPr>
      </w:pPr>
    </w:p>
    <w:p>
      <w:pPr>
        <w:ind w:left="540" w:right="100" w:hanging="424"/>
        <w:spacing w:after="0" w:line="277"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may not accept clinical data from trials, which are conducted at clinical facilities or in countries where the standard of care is potentially different from that of the United States;</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may disagree regarding the formulation, labeling and/or the specifications;</w:t>
      </w:r>
    </w:p>
    <w:p>
      <w:pPr>
        <w:spacing w:after="0" w:line="130" w:lineRule="exact"/>
        <w:rPr>
          <w:rFonts w:ascii="Arial" w:cs="Arial" w:eastAsia="Arial" w:hAnsi="Arial"/>
          <w:sz w:val="18"/>
          <w:szCs w:val="18"/>
          <w:color w:val="auto"/>
        </w:rPr>
      </w:pPr>
    </w:p>
    <w:p>
      <w:pPr>
        <w:ind w:left="540" w:right="60" w:hanging="424"/>
        <w:spacing w:after="0" w:line="277"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may not approve the manufacturing processes associated with our product candidate or may determine that a manufacturing facility does not have an acceptable compliance status;</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may change approval policies or adopt new regulations; or</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may not file a submission due to, among other reasons, the content or formatting of the submission.</w:t>
      </w:r>
    </w:p>
    <w:p>
      <w:pPr>
        <w:spacing w:after="0" w:line="225"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We have not obtained FDA approval for any product. This lack of experience may impede our ability to obtain FDA approval in a timely manner, if at all, for our clinical product candidates.</w:t>
      </w:r>
    </w:p>
    <w:p>
      <w:pPr>
        <w:spacing w:after="0" w:line="170"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If we experience delays in obtaining approval or if we fail to obtain approval of DAY101 or pimasertib, our commercial prospects will be harmed and our ability to generate revenues will be materially impaired which would adversely affect our business, prospects, financial condition and results of operations.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86"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The accelerated approval pathway for our product candidates may not lead to a faster development or regulatory review or approval process and does not increase the likelihood that our product candidates will receive marketing approval.</w:t>
      </w:r>
    </w:p>
    <w:p>
      <w:pPr>
        <w:spacing w:after="0" w:line="62" w:lineRule="exact"/>
        <w:rPr>
          <w:sz w:val="20"/>
          <w:szCs w:val="20"/>
          <w:color w:val="auto"/>
        </w:rPr>
      </w:pPr>
    </w:p>
    <w:p>
      <w:pPr>
        <w:ind w:left="120" w:right="200"/>
        <w:spacing w:after="0" w:line="255" w:lineRule="auto"/>
        <w:rPr>
          <w:sz w:val="20"/>
          <w:szCs w:val="20"/>
          <w:color w:val="auto"/>
        </w:rPr>
      </w:pPr>
      <w:r>
        <w:rPr>
          <w:rFonts w:ascii="Arial" w:cs="Arial" w:eastAsia="Arial" w:hAnsi="Arial"/>
          <w:sz w:val="18"/>
          <w:szCs w:val="18"/>
          <w:color w:val="auto"/>
        </w:rPr>
        <w:t>Under the FDA’s accelerated approval program, the FDA may approve a drug for a serious or life-threatening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We may seek accelerated approval for one or more of our product candidates on the basis of ORR, a surrogate endpoint that we believe is reasonably likely to predict clinical benefit.</w:t>
      </w:r>
    </w:p>
    <w:p>
      <w:pPr>
        <w:spacing w:after="0" w:line="192"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For drugs granted accelerated approval, post-marketing confirmatory trials are required to describe the anticipated effect on irreversible morbidity or mortality or other clinical benefit. These confirmatory trials must be completed with due diligence and, in most cases, the FDA may require that the trial be designed, initiated, and/or fully enrolled prior to approval. If any of our competitors were to receive full approval for an indication for which we are seeking accelerated approval before we receive accelerated approval, the indication we are seeking may no longer qualify as a condition for which there is an unmet medical need and accelerated approval of our product candidate would be more difficult or may not occur. Moreover, the FDA may withdraw approval of our product candidate approved under the accelerated approval pathway if, for example:</w:t>
      </w:r>
    </w:p>
    <w:p>
      <w:pPr>
        <w:spacing w:after="0" w:line="83" w:lineRule="exact"/>
        <w:rPr>
          <w:sz w:val="20"/>
          <w:szCs w:val="20"/>
          <w:color w:val="auto"/>
        </w:rPr>
      </w:pPr>
    </w:p>
    <w:p>
      <w:pPr>
        <w:ind w:left="540" w:hanging="424"/>
        <w:spacing w:after="0" w:line="277"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trial or trials required to verify the predicted clinical benefit of our product candidate fail to verify such benefit or do not demonstrate sufficient clinical benefit to justify the risks associated with the drug;</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 evidence demonstrates that our product candidate is not shown to be safe or effective under the conditions of use;</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fail to conduct any required post-approval trial of our product candidate with due diligence; or</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disseminate false or misleading promotional materials relating to the relevant product candidate.</w:t>
      </w:r>
    </w:p>
    <w:p>
      <w:pPr>
        <w:spacing w:after="0" w:line="333" w:lineRule="exact"/>
        <w:rPr>
          <w:sz w:val="20"/>
          <w:szCs w:val="20"/>
          <w:color w:val="auto"/>
        </w:rPr>
      </w:pPr>
    </w:p>
    <w:p>
      <w:pPr>
        <w:jc w:val="both"/>
        <w:ind w:left="120" w:right="240"/>
        <w:spacing w:after="0" w:line="375" w:lineRule="auto"/>
        <w:rPr>
          <w:sz w:val="20"/>
          <w:szCs w:val="20"/>
          <w:color w:val="auto"/>
        </w:rPr>
      </w:pPr>
      <w:r>
        <w:rPr>
          <w:rFonts w:ascii="Arial" w:cs="Arial" w:eastAsia="Arial" w:hAnsi="Arial"/>
          <w:sz w:val="15"/>
          <w:szCs w:val="15"/>
          <w:b w:val="1"/>
          <w:bCs w:val="1"/>
          <w:i w:val="1"/>
          <w:iCs w:val="1"/>
          <w:color w:val="auto"/>
        </w:rPr>
        <w:t>Even though we have received Breakthrough Therapy designation by the FDA for DAY101 in treating pLGG, such designation may not lead to a faster development or regulatory review or approval process, and it does not increase the likelihood that DAY101 will receive marketing approval.</w:t>
      </w:r>
    </w:p>
    <w:p>
      <w:pPr>
        <w:spacing w:after="0" w:line="1"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We have received Breakthrough Therapy designation by the FDA for DAY101 in patients with advanced pLGG.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priority review if supported by clinical data at the time of the submission of the NDA.</w:t>
      </w:r>
    </w:p>
    <w:p>
      <w:pPr>
        <w:spacing w:after="0" w:line="177"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Although Breakthrough Designation or access to any other expedited program may expedite the development or approval process, it does not change the standards for approval. Although we obtained breakthrough device designation for DAY101 in advanced pLGG, we may not experience faster development timelines or achieve faster review or approval compared to conventional FDA procedures. For example, the time required to identify and resolve issues relating to manufacturing and controls, the acquisition of a sufficient supply of our product for clinical trial purposes or the need to conduct additional nonclinical or clinical studies may delay approval by the FDA, even if the product qualifies for breakthrough designation or access to any other expedited program. Access to an expedited program may also be withdrawn by the FDA if it believes that the designation is no longer supported by data from our clinical development program. Additionally, qualification for any expedited review procedure does not ensure that we will ultimately obtain regulatory approval for such product.</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86"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b w:val="1"/>
          <w:bCs w:val="1"/>
          <w:i w:val="1"/>
          <w:iCs w:val="1"/>
          <w:color w:val="auto"/>
        </w:rPr>
        <w:t>Our failure to obtain marketing approval in foreign jurisdictions would prevent our product candidates from being marketed in those jurisdictions, and any approval we are granted for our product candidates in the United States would not assure approval of product candidates in foreign jurisdictions.</w:t>
      </w:r>
    </w:p>
    <w:p>
      <w:pPr>
        <w:spacing w:after="0" w:line="76"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In order to market and sell our products in any jurisdiction outside the United States,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submit for marketing approvals and may not receive necessary approvals to commercialize our products in any market.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obtain or maintain orphan drug designation or exclusivity for our product candidates.</w:t>
      </w:r>
    </w:p>
    <w:p>
      <w:pPr>
        <w:spacing w:after="0" w:line="117"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We have obtained orphan drug designation in the United States for use of DAY101 in treating malignant glioma. We may seek orphan drug designation for DAY101 in additional indications or for pimasertib or any product candidates we develop in the future. Regulatory authorities in some jurisdictions, including the United States, may designate drugs for relatively small patient populations as “orphan drugs.” Under the Orphan Drug Act, the FDA may designate a drug as an orphan drug if it is intended to treat a rare disease or condition, which is generally defined as a patient population of fewer than 200,000 individuals in the United States, or if the disease or condition affects more than 200,000 individuals in the United States and there is no reasonable expectation that the cost of developing the drug for the type of disease or condition will be recovered from sales of the product in the United States.</w:t>
      </w:r>
    </w:p>
    <w:p>
      <w:pPr>
        <w:spacing w:after="0" w:line="195"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Generally, if a product with an orphan drug designation subsequently receives the first marketing approval for the indication for which it has such designation, the product is entitled to a period of marketing exclusivity, which precludes the FDA from approving another marketing application for the same drug for the same indication during that time period. The applicable period is seven years in the United States and ten years in the European Union. The European exclusivity period can be reduced to six years if a drug no longer meets the criteria for orphan drug designation or if the drug is sufficiently profitable so that market exclusivity is no longer justified. Orphan drug exclusivity may be lost if the FDA determines that the request for designation was materially defective or if the manufacturer is unable to assure sufficient quantity of the drug to meet the needs of patients with the rare disease or condition.</w:t>
      </w:r>
    </w:p>
    <w:p>
      <w:pPr>
        <w:spacing w:after="0" w:line="195"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In the United States, the FDA may approve a subsequent application to market the same drug for the same indication during the exclusivity period in certain circumstances, such as if the subsequent product demonstrates clinical superiority (i.e., the subsequent product is safer, more effective or makes a major contribution to patient care) over the product with orphan exclusivity. Competitors, however, may receive approval of different products for the same indication for which the orphan product has exclusivity, or obtain approval for the same product but for a different indication than that for which the orphan product has exclusivity. Orphan drug designation also entitles a party to financial incentives, such as opportunities for grant funding towards clinical trial costs, tax advantages and user-fee waivers.</w:t>
      </w:r>
    </w:p>
    <w:p>
      <w:pPr>
        <w:spacing w:after="0" w:line="178" w:lineRule="exact"/>
        <w:rPr>
          <w:sz w:val="20"/>
          <w:szCs w:val="20"/>
          <w:color w:val="auto"/>
        </w:rPr>
      </w:pPr>
    </w:p>
    <w:p>
      <w:pPr>
        <w:ind w:left="120" w:right="340"/>
        <w:spacing w:after="0" w:line="311" w:lineRule="auto"/>
        <w:rPr>
          <w:sz w:val="20"/>
          <w:szCs w:val="20"/>
          <w:color w:val="auto"/>
        </w:rPr>
      </w:pPr>
      <w:r>
        <w:rPr>
          <w:rFonts w:ascii="Arial" w:cs="Arial" w:eastAsia="Arial" w:hAnsi="Arial"/>
          <w:sz w:val="16"/>
          <w:szCs w:val="16"/>
          <w:color w:val="auto"/>
        </w:rPr>
        <w:t>We cannot assure you that any future application for orphan drug designation with respect to any other product candidate will be granted. If we are unable to obtain orphan drug designation with respect to other product candidates in the United States, we will not be eligible to obtain the period of market exclusivity that could result from orphan drug designation or be afforded the financial incentives associated with orphan drug designation.</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86"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b w:val="1"/>
          <w:bCs w:val="1"/>
          <w:i w:val="1"/>
          <w:iCs w:val="1"/>
          <w:color w:val="auto"/>
        </w:rPr>
        <w:t>We may seek a rare pediatric disease designation for one or more of our product candidates. Even if we were to obtain approval for our product candidates with the rare pediatric disease designation, the Rare Pediatric Disease Priority Review Voucher program may no longer be in effect at the time of such approval or we might not be able to capture the value of the rare pediatric disease Priority Review Voucher program.</w:t>
      </w:r>
    </w:p>
    <w:p>
      <w:pPr>
        <w:spacing w:after="0" w:line="4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Congress authorized the FDA to award priority review vouchers to sponsors of certain rare pediatric disease product applications that meet the specified criteria. These vouchers are designed to encourage development of new drug and biological products for prevention and treatment of certain rare pediatric diseases.</w:t>
      </w:r>
    </w:p>
    <w:p>
      <w:pPr>
        <w:spacing w:after="0" w:line="184"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Specifically, under this program, a sponsor who receives an approval for a drug or biologic for a “rare pediatric disease” may qualify for a voucher that can be redeemed to receive a priority review of a subsequent marketing application for a different product. 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 Although the voucher can be sold or transferred to third parties, there is no guarantee that we will be able to receive such voucher, or realize any value if we receive and were to sell the voucher.</w:t>
      </w:r>
    </w:p>
    <w:p>
      <w:pPr>
        <w:spacing w:after="0" w:line="192"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For the purposes of this program, a rare pediatric disease is a (i) serious or life-threatening disease in which the serious or life-threatening manifestations primarily affect individuals aged from birth to 18 years, including age groups often called neonates, infants, children, and adolescents; and (ii) rare disease or conditions within the meaning of the Orphan Drug Act. The FDA may determine that an application for one or more of our product candidates does not meet the eligibility criteria for a priority review voucher upon approval.</w:t>
      </w:r>
    </w:p>
    <w:p>
      <w:pPr>
        <w:spacing w:after="0" w:line="187"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Moreover, while the opportunity to receive a priority review voucher was meant to expire for those companies that had not received a designation by September 30, 2020, the Rare Pediatric Disease Priority Review Voucher program was extended by Congress in December 2020. Under the current statutory sunset provisions, after September 30, 2024, the FDA may only award a voucher for an approved rare pediatric disease product application if the sponsor has rare pediatric disease designation for the drug, and that designation was granted by September 30, 2024. After September 30, 2026, the FDA may not award any rare pediatric disease priority review vouchers.</w:t>
      </w:r>
    </w:p>
    <w:p>
      <w:pPr>
        <w:spacing w:after="0" w:line="284"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b w:val="1"/>
          <w:bCs w:val="1"/>
          <w:i w:val="1"/>
          <w:iCs w:val="1"/>
          <w:color w:val="auto"/>
        </w:rPr>
        <w:t>If we are unable to successfully develop, validate, obtain regulatory approval of and commercialize companion diagnostic tests for any product candidates that require such tests, or experience significant delays in doing so, we may not realize the full commercial potential of these product candidates.</w:t>
      </w:r>
    </w:p>
    <w:p>
      <w:pPr>
        <w:spacing w:after="0" w:line="76" w:lineRule="exact"/>
        <w:rPr>
          <w:sz w:val="20"/>
          <w:szCs w:val="20"/>
          <w:color w:val="auto"/>
        </w:rPr>
      </w:pPr>
    </w:p>
    <w:p>
      <w:pPr>
        <w:ind w:left="120" w:right="320"/>
        <w:spacing w:after="0" w:line="279" w:lineRule="auto"/>
        <w:rPr>
          <w:sz w:val="20"/>
          <w:szCs w:val="20"/>
          <w:color w:val="auto"/>
        </w:rPr>
      </w:pPr>
      <w:r>
        <w:rPr>
          <w:rFonts w:ascii="Arial" w:cs="Arial" w:eastAsia="Arial" w:hAnsi="Arial"/>
          <w:sz w:val="17"/>
          <w:szCs w:val="17"/>
          <w:color w:val="auto"/>
        </w:rPr>
        <w:t xml:space="preserve">A companion diagnostic is a medical device, often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device, which provides information that is essential for the safe and effective use of a corresponding therapeutic drug product. A companion diagnostic can be used to identify patients who are most likely to benefit from the therapeutic product. In the future, if required to develop a companion diagnostic, we may evaluate opportunities to develop, either by ourselves or with collaborators, companion diagnostic tests for our product candidates for certain indications.</w:t>
      </w:r>
    </w:p>
    <w:p>
      <w:pPr>
        <w:spacing w:after="0" w:line="171"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A companion diagnostic is generally developed in conjunction with the clinical program for an associated therapeutic product. To date, the FDA has required premarket approval of the vast majority companion diagnostics for cancer therapies. Generally, when a companion diagnostic is essential to the safe and effective use of a drug product, the FDA requires that the companion diagnostic be approved before or concurrent with approval of the therapeutic product and before a product can be commercialized. The approval of a companion diagnostic as part of the therapeutic product’s labeling limits the use of the therapeutic product to only those patients who express the specific genetic alteration that the companion diagnostic was developed to detect.</w:t>
      </w:r>
    </w:p>
    <w:p>
      <w:pPr>
        <w:spacing w:after="0" w:line="192"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Development of a companion diagnostic could include additional meetings with regulatory authorities, such as a pre-submission meeting and the requirement to submit an investigational device exemption application. In the case of a companion diagnostic that is designated as “significant risk device,” approval of an investigational device exemption by the FDA and IRB is required before such diagnostic is used in conjunction with the clinical trials for a corresponding product candidate.</w:t>
      </w:r>
    </w:p>
    <w:p>
      <w:pPr>
        <w:spacing w:after="0" w:line="187"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To be successful in developing, validating, obtaining approval of and commercializing a companion diagnostic, we or our collaborators will need to address a number of scientific, technical, regulatory and logistical challenges. We have no prior experience with medical device or diagnostic test development. If we choose to develop and seek FDA approval for companion diagnostic tests on our own, we will require additional personnel. We may rely on third parties for the design, development, testing, validation and manufacture of companion diagnostic tests for our</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00"/>
          </w:cols>
          <w:pgMar w:left="320" w:top="486" w:right="4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therapeutic product candidates that require such tests, the application for and receipt of any required regulatory approvals, and the commercial supply of these companion diagnostics. If these parties are unable to successfully develop companion diagnostics for these therapeutic product candidates, or experience delays in doing so, we may be unable to enroll enough patients for our current and planned clinical trials, the development of these therapeutic product candidates may be adversely affected, these therapeutic product candidates may not obtain marketing approval, and we may not realize the full commercial potential of any of these therapeutics that obtain marketing approval. For any product candidate for which a companion diagnostic is necessary to select patients who may benefit from use of the product candidate, any failure to successfully develop a companion diagnostic may cause or contribute to delayed enrollment of our clinical trials, and may prevent us from initiating a pivotal trial. In addition, the commercial success of any of our product candidates that require a companion diagnostic will be tied to and dependent upon the receipt of required regulatory approvals and the continued ability of such third parties to make the companion diagnostic commercially available to us on reasonable terms in the relevant geographies. There is no guarantee that physicians will adopt any particular companion diagnostic, be willing to understand how to use it, how to obtain reimbursement for it, how to explain it to patients, or dedicate staff to using it. Any failure to do so could materially harm our business, results of operations and financial condition.</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If we decide to pursue a Fast Track Designation by the FDA, it may not lead to a faster development or regulatory review or approval process.</w:t>
      </w:r>
    </w:p>
    <w:p>
      <w:pPr>
        <w:spacing w:after="0" w:line="140"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We may seek Fast Track Designation for one or more of our product candidates. If a drug is intended for the treatment of a serious or life-threatening condition and the drug demonstrates the potential to address unmet medical needs for this condition, the product sponsor may apply for FDA Fast Track Designation. The FDA has broad discretion whether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286"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b w:val="1"/>
          <w:bCs w:val="1"/>
          <w:i w:val="1"/>
          <w:iCs w:val="1"/>
          <w:color w:val="auto"/>
        </w:rPr>
        <w:t>Even if we obtain marketing approval for our product candidates, the terms of approvals, ongoing regulation of our products or other post-approval restrictions may limit how we manufacture and market our products and compliance with such requirements may involve substantial resources, which could materially impair our ability to generate revenue.</w:t>
      </w:r>
    </w:p>
    <w:p>
      <w:pPr>
        <w:spacing w:after="0" w:line="76"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Any product candidates for which we receive accelerated approval from the FDA are required to undergo one or more confirmatory clinical trials. If such a product candidate fails to meet its safety and efficacy endpoints in such confirmatory clinical trials, the regulatory authority may withdraw its conditional approval. There is no assurance that any such product will successfully advance through its confirmatory clinical trial(s). Therefore, even if a product candidate receives accelerated approval from the FDA, such approval may be withdrawn at a later date. Even if marketing approval of a product candidate is granted, an approved product and its manufacturer and marketer are subject to ongoing review and extensive regulation, which may include the requirement to implement a REMS or to conduct costly post-marketing studies or clinical trials and surveillance to monitor the safety or efficacy of the product.</w:t>
      </w:r>
    </w:p>
    <w:p>
      <w:pPr>
        <w:spacing w:after="0" w:line="195"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We must also comply with requirements concerning advertising and promotion for any of our product candidates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w:t>
      </w:r>
    </w:p>
    <w:p>
      <w:pPr>
        <w:spacing w:after="0" w:line="18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In addition, manufacturers of approved products and those manufacturers’ facilities are required to ensure that quality control and manufacturing procedures conform to current good manufacturing practices, or cGMPs, which include requirements relating to quality control and quality assurance as well as the corresponding maintenance of records and documentation and reporting requirements. We and our CMOs could be subject to periodic unannounced inspections by the FDA to monitor and ensure compliance with cGMPs.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86"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Accordingly, assuming we obtain marketing approval for one or more of our product candidates, we and our CMOs will continue to expend time, money and effort in all areas of regulatory compliance, including manufacturing, production, product surveillance and quality control. If we are not able to comply with post-approval regulatory requirements, we could have the marketing approvals for our products withdrawn by regulatory authorities and our ability to market any future products could be limited, which could adversely affect our ability to achieve or sustain profitability. As a result, the cost of compliance with post-approval regulations may have a negative effect on our operating results and financial condition.</w:t>
      </w:r>
    </w:p>
    <w:p>
      <w:pPr>
        <w:spacing w:after="0" w:line="284"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b w:val="1"/>
          <w:bCs w:val="1"/>
          <w:i w:val="1"/>
          <w:iCs w:val="1"/>
          <w:color w:val="auto"/>
        </w:rPr>
        <w:t>Any product candidate for which we obtain marketing approval will be subject to ongoing enforcement of post-marketing requirements by regulatory agencies, and we could be subject to substantial penalties, including withdrawal of our product from the market, if we fail to comply with all regulatory requirements or if we experience unanticipated problems with our products, when and if any of them are approved.</w:t>
      </w:r>
    </w:p>
    <w:p>
      <w:pPr>
        <w:spacing w:after="0" w:line="41"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but are not limited to, restrictions governing promotion of an approved product, submissions of safety and other post-marketing information and reports, registration and listing requirements, cGMP requirements relating to manufacturing, quality control, quality assurance and corresponding maintenance of records and documents, and requirements regarding drug distribution and the distribution of samples to physicians and recordkeeping.</w:t>
      </w:r>
    </w:p>
    <w:p>
      <w:pPr>
        <w:spacing w:after="0" w:line="192"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The FDA and other federal and state agencies, including the Department of Justice, closely regulate compliance with all requirements governing prescription drug products, including requirements pertaining to marketing and promotion of drugs in accordance with the provisions of the approved labeling and manufacturing of products in accordance with cGMP requirements. For example, the FDA and other agencies actively enforce the laws and regulations prohibiting the promotion of off-label uses, and a company that is found to have improperly promoted off-label uses may be subject to significant liability. Violations of such requirements may lead to investigations alleging violations of the Federal Food, Drug, and Cosmetic Act, or FDCA, and other statutes, including the False Claims Act and other federal and state healthcare fraud and abuse laws as well as state consumer protection laws. Our failure to comply with all regulatory requirements, and later discovery of previously unknown adverse events or other problems with our products, manufacturers or manufacturing processes, may yield various results, including:</w:t>
      </w:r>
    </w:p>
    <w:p>
      <w:pPr>
        <w:spacing w:after="0" w:line="84" w:lineRule="exact"/>
        <w:rPr>
          <w:sz w:val="20"/>
          <w:szCs w:val="20"/>
          <w:color w:val="auto"/>
        </w:rPr>
      </w:pPr>
    </w:p>
    <w:p>
      <w:pPr>
        <w:ind w:left="540" w:hanging="424"/>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litigation involving patients taking our products;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86"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120" w:right="940"/>
        <w:spacing w:after="0" w:line="308" w:lineRule="auto"/>
        <w:rPr>
          <w:sz w:val="20"/>
          <w:szCs w:val="20"/>
          <w:color w:val="auto"/>
        </w:rPr>
      </w:pPr>
      <w:r>
        <w:rPr>
          <w:rFonts w:ascii="Arial" w:cs="Arial" w:eastAsia="Arial" w:hAnsi="Arial"/>
          <w:sz w:val="17"/>
          <w:szCs w:val="17"/>
          <w:color w:val="auto"/>
        </w:rPr>
        <w:t>Non-compliance by us or any future collaborator with regulatory requirements, including safety monitoring or pharmacovigilance, and with requirements related to the development of products for the pediatric population can also result in significant financial penalties.</w:t>
      </w:r>
    </w:p>
    <w:p>
      <w:pPr>
        <w:spacing w:after="0" w:line="254" w:lineRule="exact"/>
        <w:rPr>
          <w:sz w:val="20"/>
          <w:szCs w:val="20"/>
          <w:color w:val="auto"/>
        </w:rPr>
      </w:pPr>
    </w:p>
    <w:p>
      <w:pPr>
        <w:ind w:left="120" w:right="280"/>
        <w:spacing w:after="0" w:line="311" w:lineRule="auto"/>
        <w:rPr>
          <w:sz w:val="20"/>
          <w:szCs w:val="20"/>
          <w:color w:val="auto"/>
        </w:rPr>
      </w:pPr>
      <w:r>
        <w:rPr>
          <w:rFonts w:ascii="Arial" w:cs="Arial" w:eastAsia="Arial" w:hAnsi="Arial"/>
          <w:sz w:val="16"/>
          <w:szCs w:val="16"/>
          <w:b w:val="1"/>
          <w:bCs w:val="1"/>
          <w:i w:val="1"/>
          <w:iCs w:val="1"/>
          <w:color w:val="auto"/>
        </w:rPr>
        <w:t>Our current and future relationships with customers and third-party payors may be subject to applicable anti-kickback, fraud and abuse, transparency, health privacy, and other healthcare laws and regulations, which could expose us to significant penalties, including criminal, civil, and administrative penalties, contractual damages, reputational harm and diminished profits and future earnings.</w:t>
      </w:r>
    </w:p>
    <w:p>
      <w:pPr>
        <w:spacing w:after="0" w:line="4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Healthcare providers, including physicians, and third-party payors will play a primary role in the recommendation and prescription of any product candidates for which we obtain marketing approval. Our current and future arrangements with healthcare providers, third-party payors and customers may expose us to broadly applicable fraud and abuse and other healthcare laws and regulations that may constrain the business or financial arrangements and relationships through which we research, as well as, market, sell and distribute any products for which we obtain marketing approval. Restrictions under applicable federal and state healthcare laws and regulations that may be applicable to our business include the following:</w:t>
      </w:r>
    </w:p>
    <w:p>
      <w:pPr>
        <w:spacing w:after="0" w:line="67" w:lineRule="exact"/>
        <w:rPr>
          <w:sz w:val="20"/>
          <w:szCs w:val="20"/>
          <w:color w:val="auto"/>
        </w:rPr>
      </w:pPr>
    </w:p>
    <w:p>
      <w:pPr>
        <w:ind w:left="540" w:right="120" w:hanging="424"/>
        <w:spacing w:after="0" w:line="259" w:lineRule="auto"/>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213" w:lineRule="exact"/>
        <w:rPr>
          <w:rFonts w:ascii="Arial" w:cs="Arial" w:eastAsia="Arial" w:hAnsi="Arial"/>
          <w:sz w:val="18"/>
          <w:szCs w:val="18"/>
          <w:color w:val="auto"/>
        </w:rPr>
      </w:pPr>
    </w:p>
    <w:p>
      <w:pPr>
        <w:ind w:left="540" w:right="220" w:hanging="424"/>
        <w:spacing w:after="0" w:line="257" w:lineRule="auto"/>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federal civil false claims laws, including the False Claims Act, which can be enforced by civil whistleblower or qui tam actions on behalf of the government, and criminal false claims laws and the civil monetary penalties law, prohibit individuals or entities from, among other things, knowingly presenting, or causing to be presented false or fraudulent claims for payment by a federal government program, or making a false statement or record material to payment of a false claim or avoiding, decreasing or concealing an obligation to pay money to the federal government;</w:t>
      </w:r>
    </w:p>
    <w:p>
      <w:pPr>
        <w:spacing w:after="0" w:line="214" w:lineRule="exact"/>
        <w:rPr>
          <w:rFonts w:ascii="Arial" w:cs="Arial" w:eastAsia="Arial" w:hAnsi="Arial"/>
          <w:sz w:val="18"/>
          <w:szCs w:val="18"/>
          <w:color w:val="auto"/>
        </w:rPr>
      </w:pPr>
    </w:p>
    <w:p>
      <w:pPr>
        <w:ind w:left="540" w:right="280" w:hanging="424"/>
        <w:spacing w:after="0" w:line="301" w:lineRule="auto"/>
        <w:tabs>
          <w:tab w:leader="none" w:pos="5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prohibits, among other things, knowingly and willfully executing, or attempting to execute, a scheme to defraud any healthcare benefit program, regardless of the payor (e.g. public or private),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w:t>
      </w:r>
    </w:p>
    <w:p>
      <w:pPr>
        <w:spacing w:after="0" w:line="184" w:lineRule="exact"/>
        <w:rPr>
          <w:rFonts w:ascii="Arial" w:cs="Arial" w:eastAsia="Arial" w:hAnsi="Arial"/>
          <w:sz w:val="16"/>
          <w:szCs w:val="16"/>
          <w:color w:val="auto"/>
        </w:rPr>
      </w:pPr>
    </w:p>
    <w:p>
      <w:pPr>
        <w:ind w:left="540" w:right="200" w:hanging="424"/>
        <w:spacing w:after="0" w:line="279" w:lineRule="auto"/>
        <w:tabs>
          <w:tab w:leader="none" w:pos="5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or HITECH, and their implementing regulations, impose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such individually identifiable health information;</w:t>
      </w:r>
    </w:p>
    <w:p>
      <w:pPr>
        <w:spacing w:after="0" w:line="198" w:lineRule="exact"/>
        <w:rPr>
          <w:rFonts w:ascii="Arial" w:cs="Arial" w:eastAsia="Arial" w:hAnsi="Arial"/>
          <w:sz w:val="17"/>
          <w:szCs w:val="17"/>
          <w:color w:val="auto"/>
        </w:rPr>
      </w:pPr>
    </w:p>
    <w:p>
      <w:pPr>
        <w:ind w:left="540" w:right="580" w:hanging="424"/>
        <w:spacing w:after="0" w:line="277" w:lineRule="auto"/>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federal transparency requirements under the Patient Protection and Affordable Care Act, as amended by the Health Care and Education Reconciliation Act of 2010, collectively referred to as the ACA, requires certain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86"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80"/>
        <w:spacing w:after="0" w:line="273" w:lineRule="auto"/>
        <w:rPr>
          <w:sz w:val="20"/>
          <w:szCs w:val="20"/>
          <w:color w:val="auto"/>
        </w:rPr>
      </w:pPr>
      <w:r>
        <w:rPr>
          <w:rFonts w:ascii="Arial" w:cs="Arial" w:eastAsia="Arial" w:hAnsi="Arial"/>
          <w:sz w:val="17"/>
          <w:szCs w:val="17"/>
          <w:color w:val="auto"/>
        </w:rPr>
        <w:t>manufacturers of drugs, devices, biologics and medical supplies to annually report to the Centers for Medicare &amp; Medicaid Services, or CMS, information related to payments and other transfers of value provided to teaching hospitals, as well as ownership and investment interests held by physicians, defined to include doctors, dentists, optometrists, podiatrists and chiropractors, and their immediate family members. Beginning calendar year 2021, manufacturers must collect information regarding payments and transfers of value to physician assistants, nurse practitioners, clinical nurse specialists, anesthesiologist assistants, certified nurse anesthetists and certified nurse-midwives for reporting in the following year. The reported information is made available on a public website; and</w:t>
      </w:r>
    </w:p>
    <w:p>
      <w:pPr>
        <w:spacing w:after="0" w:line="83" w:lineRule="exact"/>
        <w:rPr>
          <w:sz w:val="20"/>
          <w:szCs w:val="20"/>
          <w:color w:val="auto"/>
        </w:rPr>
      </w:pPr>
    </w:p>
    <w:p>
      <w:pPr>
        <w:ind w:left="540" w:right="760" w:hanging="424"/>
        <w:spacing w:after="0" w:line="274" w:lineRule="auto"/>
        <w:tabs>
          <w:tab w:leader="none" w:pos="5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and analogous non-U.S. fraud and abuse laws and regulations, may apply to sales or marketing arrangements and claims involving healthcare items or services reimbursed</w:t>
      </w:r>
    </w:p>
    <w:p>
      <w:pPr>
        <w:ind w:left="540" w:right="120"/>
        <w:spacing w:after="0" w:line="290" w:lineRule="auto"/>
        <w:rPr>
          <w:rFonts w:ascii="Arial" w:cs="Arial" w:eastAsia="Arial" w:hAnsi="Arial"/>
          <w:sz w:val="17"/>
          <w:szCs w:val="17"/>
          <w:color w:val="auto"/>
        </w:rPr>
      </w:pPr>
      <w:r>
        <w:rPr>
          <w:rFonts w:ascii="Arial" w:cs="Arial" w:eastAsia="Arial" w:hAnsi="Arial"/>
          <w:sz w:val="16"/>
          <w:szCs w:val="16"/>
          <w:color w:val="auto"/>
        </w:rPr>
        <w:t>by non-governmental third-party payors, including private insurers. Some state laws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including price increases. State and local laws require the registration of pharmaceutical sales representatives. State and non-U.S. laws that also govern the privacy and security of health information in some circumstances, many of which differ from each other in significant ways and often are not preempted by HIPAA, thus complicating compliance efforts.</w:t>
      </w:r>
    </w:p>
    <w:p>
      <w:pPr>
        <w:spacing w:after="0" w:line="164"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Efforts to ensure that our internal business processes and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and other federal healthcare programs,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 If any of the physicians or other healthcare providers or entities with whom we expect to do business is found to be not in compliance with applicable laws, they may be subject to significant criminal, civil and administrative sanctions, including exclusions from government funded healthcare programs, which could have a material adverse effect on our business, results of operations, financial condition and prospects.</w:t>
      </w:r>
    </w:p>
    <w:p>
      <w:pPr>
        <w:spacing w:after="0" w:line="290"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decrease the prices we may obtain.</w:t>
      </w:r>
    </w:p>
    <w:p>
      <w:pPr>
        <w:spacing w:after="0" w:line="62"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p>
    <w:p>
      <w:pPr>
        <w:spacing w:after="0" w:line="18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For example, in March 2010, the ACA was signed into law.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Among the provisions of the ACA of importance to our potential product candidates are the following:</w:t>
      </w:r>
    </w:p>
    <w:p>
      <w:pPr>
        <w:spacing w:after="0" w:line="92" w:lineRule="exact"/>
        <w:rPr>
          <w:sz w:val="20"/>
          <w:szCs w:val="20"/>
          <w:color w:val="auto"/>
        </w:rPr>
      </w:pPr>
    </w:p>
    <w:p>
      <w:pPr>
        <w:ind w:left="540" w:hanging="424"/>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annual fees and taxes on manufacturers of certain branded prescription drugs;</w:t>
      </w:r>
    </w:p>
    <w:p>
      <w:pPr>
        <w:spacing w:after="0" w:line="130" w:lineRule="exact"/>
        <w:rPr>
          <w:rFonts w:ascii="Arial" w:cs="Arial" w:eastAsia="Arial" w:hAnsi="Arial"/>
          <w:sz w:val="18"/>
          <w:szCs w:val="18"/>
          <w:color w:val="auto"/>
        </w:rPr>
      </w:pPr>
    </w:p>
    <w:p>
      <w:pPr>
        <w:ind w:left="5540" w:right="1080" w:hanging="5424"/>
        <w:spacing w:after="0" w:line="449" w:lineRule="auto"/>
        <w:tabs>
          <w:tab w:leader="none" w:pos="554"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products; 69</w:t>
      </w:r>
    </w:p>
    <w:p>
      <w:pPr>
        <w:sectPr>
          <w:pgSz w:w="11900" w:h="16838" w:orient="portrait"/>
          <w:cols w:equalWidth="0" w:num="1">
            <w:col w:w="11120"/>
          </w:cols>
          <w:pgMar w:left="320" w:top="486"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line="263"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w:t>
      </w:r>
    </w:p>
    <w:p>
      <w:pPr>
        <w:spacing w:after="0" w:line="89" w:lineRule="exact"/>
        <w:rPr>
          <w:rFonts w:ascii="Arial" w:cs="Arial" w:eastAsia="Arial" w:hAnsi="Arial"/>
          <w:sz w:val="18"/>
          <w:szCs w:val="18"/>
          <w:color w:val="auto"/>
        </w:rPr>
      </w:pPr>
    </w:p>
    <w:p>
      <w:pPr>
        <w:ind w:left="540" w:right="140" w:hanging="424"/>
        <w:spacing w:after="0" w:line="277"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75" w:lineRule="exact"/>
        <w:rPr>
          <w:rFonts w:ascii="Arial" w:cs="Arial" w:eastAsia="Arial" w:hAnsi="Arial"/>
          <w:sz w:val="18"/>
          <w:szCs w:val="18"/>
          <w:color w:val="auto"/>
        </w:rPr>
      </w:pPr>
    </w:p>
    <w:p>
      <w:pPr>
        <w:ind w:left="540" w:right="40" w:hanging="424"/>
        <w:spacing w:after="0" w:line="277"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and extended the rebate program to individuals enrolled in Medicaid managed care organizations;</w:t>
      </w:r>
    </w:p>
    <w:p>
      <w:pPr>
        <w:spacing w:after="0" w:line="75" w:lineRule="exact"/>
        <w:rPr>
          <w:rFonts w:ascii="Arial" w:cs="Arial" w:eastAsia="Arial" w:hAnsi="Arial"/>
          <w:sz w:val="18"/>
          <w:szCs w:val="18"/>
          <w:color w:val="auto"/>
        </w:rPr>
      </w:pPr>
    </w:p>
    <w:p>
      <w:pPr>
        <w:ind w:left="540" w:right="920" w:hanging="424"/>
        <w:spacing w:after="0" w:line="277"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federal Anti-Kickback Statute, new government investigative powers, and enhanced penalties for noncompliance;</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requirements to report financial arrangements with physicians, as defined by such law, and teaching hospitals;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requirement to annually report drug samples that manufacturers and distributors provide to physicians; and</w:t>
      </w:r>
    </w:p>
    <w:p>
      <w:pPr>
        <w:spacing w:after="0" w:line="130" w:lineRule="exact"/>
        <w:rPr>
          <w:rFonts w:ascii="Arial" w:cs="Arial" w:eastAsia="Arial" w:hAnsi="Arial"/>
          <w:sz w:val="18"/>
          <w:szCs w:val="18"/>
          <w:color w:val="auto"/>
        </w:rPr>
      </w:pPr>
    </w:p>
    <w:p>
      <w:pPr>
        <w:ind w:left="540" w:right="220" w:hanging="424"/>
        <w:spacing w:after="0" w:line="277"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There have been executive, judicial and Congressional challenges to repeal or replace certain aspects of the ACA, including measures taken during the former U.S. president’s administration. The former president of the United States signed Executive Orders and other directives designed to delay the implementation of certain provisions of the ACA or otherwise circumvent some of the requirements for health insurance mandated by the ACA. Concurrently, Congress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eliminating the implementation of certain ACA-mandated fees, and increasing the point-of-sale discount that is owed by pharmaceutical manufacturers who participate in Medicare Part D. In November 2020, the United States Supreme Court held oral arguments on the U.S. Court of Appeals for the Fifth Circuit’s decision that held that the individual mandate is unconstitutional. On February 10, 2021, the current presidential administration withdrew the federal government’s support for overturning the ACA. In June 2021, the Supreme Court remanded the case with instructions to dismiss for lack of standing. However, the Supreme Court did not decide the ultimate issue of the validity of the individual mandate. Thus, there may be other efforts to challenge the individual mandate or to challenge, repeal or replace the ACA. It is unclear how the Supreme Court ruling, other such litigation and the healthcare reform measures of the current presidential administration will impact the ACA and our business.</w:t>
      </w:r>
    </w:p>
    <w:p>
      <w:pPr>
        <w:spacing w:after="0" w:line="186"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In addition, other legislative changes have been proposed and adopted since the ACA was enacted. On August 2, 2011, the Budget Control Act of 2011 was signed into law, which, among other things, created the Joint Select Committee on Deficit Reduction to recommend to Congress proposals for spending reductions. The Joint Select Committee did not achieve a targeted deficit reduction, triggering the legislation’s automatic reduction to several government programs. These changes include aggregate reductions to Medicare payments to providers of up to 2% per fiscal year, which began in 2013, and due to subsequent legislative amendments to the statute, will remain in effect through 2030, with the exception of a temporary suspension from May 1, 2020 through December 31, 2021 due to the COVID-19 pandemic, unless additional Congressional action is taken. In January 2013, the American Taxpayer Relief Act of 2012 was signed into law,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86"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Further,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former president of the United States used several means to propose or implement drug pricing reform, including through federal budget proposals, executive orders, and policy initiatives. It is unclear whether the current presidential administration will work to reverse those measures or pursue similar policy initiatives. On March 11, 2021, the President signed the American Rescue Plan Act of 2021 into law, which eliminates the statutory Medicaid drug rebate cap, currently set at 100% of a drug’s average manufacturer price, for single source and innovator multiple source drugs, beginning January 1, 2024. In addition, at the state level, individual states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2" w:lineRule="exact"/>
        <w:rPr>
          <w:sz w:val="20"/>
          <w:szCs w:val="20"/>
          <w:color w:val="auto"/>
        </w:rPr>
      </w:pPr>
    </w:p>
    <w:p>
      <w:pPr>
        <w:ind w:left="120" w:right="440"/>
        <w:spacing w:after="0" w:line="279" w:lineRule="auto"/>
        <w:rPr>
          <w:sz w:val="20"/>
          <w:szCs w:val="20"/>
          <w:color w:val="auto"/>
        </w:rPr>
      </w:pPr>
      <w:r>
        <w:rPr>
          <w:rFonts w:ascii="Arial" w:cs="Arial" w:eastAsia="Arial" w:hAnsi="Arial"/>
          <w:sz w:val="17"/>
          <w:szCs w:val="17"/>
          <w:color w:val="auto"/>
        </w:rPr>
        <w:t>We expect that additional state and federal healthcare reform measures will be adopted in the future, particularly in light of the new presidential administration. Such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w:t>
      </w:r>
    </w:p>
    <w:p>
      <w:pPr>
        <w:spacing w:after="0" w:line="171" w:lineRule="exact"/>
        <w:rPr>
          <w:sz w:val="20"/>
          <w:szCs w:val="20"/>
          <w:color w:val="auto"/>
        </w:rPr>
      </w:pPr>
    </w:p>
    <w:p>
      <w:pPr>
        <w:ind w:left="120" w:right="220"/>
        <w:spacing w:after="0" w:line="255"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 It is also possible that additional governmental action is taken in response to the COVID-19 pandemic.</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Governments outside of the United States tend to impose strict price controls, which may adversely affect our revenues, if any.</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In some countries, particularly the countries of the European Union, or the EU,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other available therapies. If reimbursement of our products is unavailable or limited in scope or amount, or if pricing is set at unsatisfactory levels, our business could be harmed. Political, economic and regulatory developments may further complicate pricing negotiations, and pricing negotiations may continue after reimbursement has been obtained. Reference pricing used by various EU member states, and parallel trade, such as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 In addition, the recent withdrawal of the United Kingdom from its membership in the EU, often referred to as “Brexit,” could lead to legal and regulatory uncertainty in the United Kingdom and may lead to the United Kingdom and EU adopting divergent laws and regulations, including those related to the pricing of prescription pharmaceuticals, as the United Kingdom determines which EU laws to replicate or replace. If the United Kingdom were to significantly alter its regulations affecting the pricing of prescription pharmaceuticals, we could face significant new costs. As a result, Brexit could impair our ability to transact business in the EU and the United Kingdom.</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86"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375" w:lineRule="auto"/>
        <w:rPr>
          <w:sz w:val="20"/>
          <w:szCs w:val="20"/>
          <w:color w:val="auto"/>
        </w:rPr>
      </w:pPr>
      <w:r>
        <w:rPr>
          <w:rFonts w:ascii="Arial" w:cs="Arial" w:eastAsia="Arial" w:hAnsi="Arial"/>
          <w:sz w:val="15"/>
          <w:szCs w:val="15"/>
          <w:b w:val="1"/>
          <w:bCs w:val="1"/>
          <w:i w:val="1"/>
          <w:iCs w:val="1"/>
          <w:color w:val="auto"/>
        </w:rPr>
        <w:t>Laws and regulations governing any international operations we may have in the future may preclude us from developing, manufacturing and selling certain product candidates and products outside of the United States and require us to develop and implement costly compliance programs.</w:t>
      </w:r>
    </w:p>
    <w:p>
      <w:pPr>
        <w:spacing w:after="0" w:line="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If we expand our operations outside of the United States, we must dedicate additional resources to comply with numerous laws and regulations in each jurisdiction in which we plan to operate. The Foreign Corrupt Practices Act, or FCPA, prohibits any U.S. individual or business and their party agents from paying, offering, authorizing payment or offering anything of value, directly or indirectly, to any foreign official, political party or candidate for the purpose of influencing any act or decision of such third-party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company, including international subsidiaries, and to devise and maintain an adequate system of internal accounting controls for international operations.</w:t>
      </w:r>
    </w:p>
    <w:p>
      <w:pPr>
        <w:spacing w:after="0" w:line="177"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w:t>
      </w:r>
    </w:p>
    <w:p>
      <w:pPr>
        <w:spacing w:after="0" w:line="23"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certain non-U.S. nationals, of information classified for national security purposes, as well as certain products and technical data relating to those products. We are also subject to U.S. laws and regulations governing export controls, as well as economic sanctions and embargoes on certain countries and persons. If we expand our presence outside of the United States, it will require us to dedicate additional resources to comply with these laws, and these laws may preclude us from developing, manufacturing or selling certain product candidates and products outside of the United States, which could limit our growth potential and increase our development costs.</w:t>
      </w:r>
    </w:p>
    <w:p>
      <w:pPr>
        <w:spacing w:after="0" w:line="19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Securities and Exchange Commission, or the SEC, also may suspend or bar issuers from trading securities on U.S. exchanges for violations of the FCPA’s accounting provisions.</w:t>
      </w:r>
    </w:p>
    <w:p>
      <w:pPr>
        <w:spacing w:after="0" w:line="292"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We and our third-party contractors are subject to numerous foreign, federal, state and local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including any available insurance. We could also be held liable for unexpected safety events that could happen in our business offices.</w:t>
      </w:r>
    </w:p>
    <w:p>
      <w:pPr>
        <w:spacing w:after="0" w:line="177" w:lineRule="exact"/>
        <w:rPr>
          <w:sz w:val="20"/>
          <w:szCs w:val="20"/>
          <w:color w:val="auto"/>
        </w:rPr>
      </w:pPr>
    </w:p>
    <w:p>
      <w:pPr>
        <w:jc w:val="both"/>
        <w:ind w:left="120" w:right="260"/>
        <w:spacing w:after="0" w:line="279" w:lineRule="auto"/>
        <w:rPr>
          <w:sz w:val="20"/>
          <w:szCs w:val="20"/>
          <w:color w:val="auto"/>
        </w:rPr>
      </w:pPr>
      <w:r>
        <w:rPr>
          <w:rFonts w:ascii="Arial" w:cs="Arial" w:eastAsia="Arial" w:hAnsi="Arial"/>
          <w:sz w:val="17"/>
          <w:szCs w:val="17"/>
          <w:color w:val="auto"/>
        </w:rPr>
        <w:t>In addition, our leasing and operation of real property may subject us to liability pursuant to certain of these laws or regulations. Under existing U.S. environmental laws and regulations,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w:t>
      </w:r>
    </w:p>
    <w:p>
      <w:pPr>
        <w:spacing w:after="0" w:line="171" w:lineRule="exact"/>
        <w:rPr>
          <w:sz w:val="20"/>
          <w:szCs w:val="20"/>
          <w:color w:val="auto"/>
        </w:rPr>
      </w:pPr>
    </w:p>
    <w:p>
      <w:pPr>
        <w:jc w:val="both"/>
        <w:ind w:left="120" w:right="140"/>
        <w:spacing w:after="0" w:line="286" w:lineRule="auto"/>
        <w:rPr>
          <w:sz w:val="20"/>
          <w:szCs w:val="20"/>
          <w:color w:val="auto"/>
        </w:rPr>
      </w:pPr>
      <w:r>
        <w:rPr>
          <w:rFonts w:ascii="Arial" w:cs="Arial" w:eastAsia="Arial" w:hAnsi="Arial"/>
          <w:sz w:val="17"/>
          <w:szCs w:val="17"/>
          <w:color w:val="auto"/>
        </w:rPr>
        <w:t>We could incur significant costs and liabilities which may adversely affect our financial condition and operating results for failure to comply with such laws and regulations, including, among other things, civil or criminal fines and penalties, property damage and personal injury claims, costs associated with upgrades to our facilities or changes to our operating procedures, or injunctions limiting or altering our operations.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86"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Although we maintain liability insurance to cover us for costs and expenses we may incur due to injuries to our employees,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4" w:lineRule="exact"/>
        <w:rPr>
          <w:sz w:val="20"/>
          <w:szCs w:val="20"/>
          <w:color w:val="auto"/>
        </w:rPr>
      </w:pPr>
    </w:p>
    <w:p>
      <w:pPr>
        <w:ind w:left="120" w:right="300"/>
        <w:spacing w:after="0" w:line="286"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These current or future laws and regulations, which are becoming increasingly more stringent, may impair our research, development or production efforts. Our failure to comply with these laws and regulations also may result in substantial fines, penalties or other sanctions.</w:t>
      </w:r>
    </w:p>
    <w:p>
      <w:pPr>
        <w:spacing w:after="0" w:line="273"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b w:val="1"/>
          <w:bCs w:val="1"/>
          <w:i w:val="1"/>
          <w:iCs w:val="1"/>
          <w:color w:val="auto"/>
        </w:rPr>
        <w:t>We are subject to certain U.S. and certain foreign anti-corruption, anti-money laundering, export control, sanctions and other trade laws and regulations. We can face serious consequences for violations.</w:t>
      </w:r>
    </w:p>
    <w:p>
      <w:pPr>
        <w:spacing w:after="0" w:line="62"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U.S. and foreign anti-corruption, anti-money laundering, export control, sanctions and other trade laws and regulations prohibit, among other things, companies and their employees, agents, CROs, CMOs,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these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w:t>
      </w:r>
    </w:p>
    <w:p>
      <w:pPr>
        <w:spacing w:after="0" w:line="181" w:lineRule="exact"/>
        <w:rPr>
          <w:sz w:val="20"/>
          <w:szCs w:val="20"/>
          <w:color w:val="auto"/>
        </w:rPr>
      </w:pPr>
    </w:p>
    <w:p>
      <w:pPr>
        <w:ind w:left="120" w:right="340"/>
        <w:spacing w:after="0" w:line="342" w:lineRule="auto"/>
        <w:rPr>
          <w:sz w:val="20"/>
          <w:szCs w:val="20"/>
          <w:color w:val="auto"/>
        </w:rPr>
      </w:pPr>
      <w:r>
        <w:rPr>
          <w:rFonts w:ascii="Arial" w:cs="Arial" w:eastAsia="Arial" w:hAnsi="Arial"/>
          <w:sz w:val="16"/>
          <w:szCs w:val="16"/>
          <w:color w:val="auto"/>
        </w:rPr>
        <w:t>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32"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We are developing our current product candidates, and may continue to develop future product candidates, in combination with other therapies, which would expose us to additional risks.</w:t>
      </w:r>
    </w:p>
    <w:p>
      <w:pPr>
        <w:spacing w:after="0" w:line="62" w:lineRule="exact"/>
        <w:rPr>
          <w:sz w:val="20"/>
          <w:szCs w:val="20"/>
          <w:color w:val="auto"/>
        </w:rPr>
      </w:pPr>
    </w:p>
    <w:p>
      <w:pPr>
        <w:ind w:left="120" w:right="160"/>
        <w:spacing w:after="0" w:line="272" w:lineRule="auto"/>
        <w:rPr>
          <w:sz w:val="20"/>
          <w:szCs w:val="20"/>
          <w:color w:val="auto"/>
        </w:rPr>
      </w:pPr>
      <w:r>
        <w:rPr>
          <w:rFonts w:ascii="Arial" w:cs="Arial" w:eastAsia="Arial" w:hAnsi="Arial"/>
          <w:sz w:val="17"/>
          <w:szCs w:val="17"/>
          <w:color w:val="auto"/>
        </w:rPr>
        <w:t>We are developing our current product candidates in combination with one or more currently approved cancer therapies or therapies in development. Even if any of our current or future product candidates were to receive marketing approval or be commercialized for use in combination with other existing therapies, we would continue to be subject to the risks that the FDA or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removed from the market or being less successful commercially.</w:t>
      </w:r>
    </w:p>
    <w:p>
      <w:pPr>
        <w:spacing w:after="0" w:line="177"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We may also evaluate our current product candidates in combination with one or more other cancer therapies that have not yet been approved for marketing by the FDA or comparable foreign regulatory authorities. We will not be able to market and sell any product candidate in combination with any such unapproved cancer therapies that do not ultimately obtain marketing approval.</w:t>
      </w:r>
    </w:p>
    <w:p>
      <w:pPr>
        <w:spacing w:after="0" w:line="184"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If the FDA or comparable foreign regulatory authorities do not approve or withdraw their approval of these other therapies, or if safety, efficacy, commercial adoption, manufacturing or supply issues arise with the therapies we choose to evaluate in combination with any of our current or future product candidates, we may be unable to obtain approval of or successfully market any one or all of the current or future product candidates we develop. Additionally, if the third-party providers of therapies or therapies in development used in combination with our current or future product candidates are unable to produce sufficient quantities for clinical trials or for commercialization of our current or future product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86"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308" w:lineRule="auto"/>
        <w:rPr>
          <w:sz w:val="20"/>
          <w:szCs w:val="20"/>
          <w:color w:val="auto"/>
        </w:rPr>
      </w:pPr>
      <w:r>
        <w:rPr>
          <w:rFonts w:ascii="Arial" w:cs="Arial" w:eastAsia="Arial" w:hAnsi="Arial"/>
          <w:sz w:val="17"/>
          <w:szCs w:val="17"/>
          <w:b w:val="1"/>
          <w:bCs w:val="1"/>
          <w:i w:val="1"/>
          <w:iCs w:val="1"/>
          <w:color w:val="auto"/>
        </w:rPr>
        <w:t>We have never commercialized a product candidate as a company before and currently lack the comprehensive, fully-staffed expertise, personnel and resources to successfully commercialize any products on our own or together with suitable collaborators.</w:t>
      </w:r>
    </w:p>
    <w:p>
      <w:pPr>
        <w:spacing w:after="0" w:line="3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have never commercialized a product candidate as a company. We may license certain rights with respect to our product candidates to collaborators, and rely on the assistance and guidance of those collaborators. For product candidates for which we retain commercialization rights and marketing approval, we will have to develop our own sales, marketing, market access, commercial planning and supply organization or outsource these activities to a third-party.</w:t>
      </w:r>
    </w:p>
    <w:p>
      <w:pPr>
        <w:spacing w:after="0" w:line="18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Factors that may affect our ability to commercialize our product candidates, if approved, on our own include recruiting and retaining adequate numbers of effective sales, marketing, and market access personnel, developing and producing adequate educational and marketing programs to increase public acceptance of our approved product candidates, ensuring regulatory compliance of our company, all communications and materials in the promotional domain, employees and third parties under applicable healthcare laws, and other unforeseen costs associated with creating an independent sales and marketing organization. Developing a sales and marketing organization will be expensive and time-consuming and could delay the launch of our product candidates upon approval. We may not be able to build an effective sales and marketing organization.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our own. If we are unable to build our own distribution and marketing capabilities or to find suitable partners for the commercialization of our product candidates, we may not generate revenues from them or be able to reach or sustain profitability.</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b w:val="1"/>
          <w:bCs w:val="1"/>
          <w:i w:val="1"/>
          <w:iCs w:val="1"/>
          <w:color w:val="auto"/>
        </w:rPr>
        <w:t>We rely, and intend to continue to rely, on third parties to conduct our clinical trials and perform some of our research and potential preclinical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regulatory approval, each of which may have an adverse effect on our business, financial condition, results of operations and prospects.</w:t>
      </w:r>
    </w:p>
    <w:p>
      <w:pPr>
        <w:spacing w:after="0" w:line="49" w:lineRule="exact"/>
        <w:rPr>
          <w:sz w:val="20"/>
          <w:szCs w:val="20"/>
          <w:color w:val="auto"/>
        </w:rPr>
      </w:pPr>
    </w:p>
    <w:p>
      <w:pPr>
        <w:ind w:left="120" w:right="140"/>
        <w:spacing w:after="0" w:line="286" w:lineRule="auto"/>
        <w:rPr>
          <w:sz w:val="20"/>
          <w:szCs w:val="20"/>
          <w:color w:val="auto"/>
        </w:rPr>
      </w:pPr>
      <w:r>
        <w:rPr>
          <w:rFonts w:ascii="Arial" w:cs="Arial" w:eastAsia="Arial" w:hAnsi="Arial"/>
          <w:sz w:val="16"/>
          <w:szCs w:val="16"/>
          <w:color w:val="auto"/>
        </w:rPr>
        <w:t>We do not have the ability to independently conduct all aspects of our clinical trials ourselves. As a result, we are dependent on third parties to conduct our ongoing and planned clinical trials of DAY101 and pimasertib, and any preclinical studies and clinical trials of any future product candidates. The timing of the initiation and completion of these trials will therefore be partially controlled by such third parties and may result in delays to our development programs. Specifically, we expect CROs, independent clinical investigators and consultants to play a significant role in the conduct of these trials and the subsequent collection and analysis of data. For example, in addition to the Phase 1 clinical trial run by Dana Farber Cancer Institute in collaboration with PNOC, the Children’s Oncology Group, a National Cancer Institute supported clinical trials group and the world’s largest organization devoted exclusively to childhood and adolescent cancer research, is developing a group-wide clinical trial of DAY101 in relapsed Langerhans cell histiocytosis. However, these investigators, CROs and other third parties are not our employees, and we will not be able to control all aspects of their activities. Nevertheless, we are responsible for ensuring that each clinical trial is conducted in accordance with the applicable protocol and legal, regulatory and scientific standards, and our reliance on the investigators, CROs and other third parties does not relieve us of our regulatory responsibilities. We and our CROs are required to comply with GCP requirements, which are regulations and guidelines enforced by the FDA for product candidates in clinical development. Regulatory authorities enforce these GCP requirements through periodic inspections of trial sponsors, clinical trial investigators and clinical trial sites. If we or any of our CROs or clinical trial sites fail to comply with applicable GCP requirements, the data generated in our clinical trials may be deemed unreliable, and the FDA may require us to perform additional clinical trials before approving our marketing applications. We cannot assure you that, upon inspection, the FDA will</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86"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determine that our clinical trials comply with GCPs. In addition, our clinical trials must be conducted with product produced under cGMP regulations. Our failure or the failure of third parties on whom we rely to comply with these regulations may require us to stop and/or repeat clinical trials, which would delay the marketing approval process.</w:t>
      </w:r>
    </w:p>
    <w:p>
      <w:pPr>
        <w:spacing w:after="0" w:line="184"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There is no guarantee that any such CROs, clinical trial investigators or other third parties on which we rely will devote adequate time and resources to our development activities or perform as contractually required. If any of these third parties fail to meet expected deadlines, adhere to our clinical protocols or meet regulatory requirements, otherwise perform in a substandard manner, or terminate their engagements with us, the timelines for our development programs may be extended or delayed or our development activities may be suspended or terminated. If our clinical trial site terminates for any reason, we may experience the loss of follow-up information on subjects enrolled in such clinical trial unless we are able to transfer those subjects to another qualified clinical trial site, which may be difficult or impossible.</w:t>
      </w:r>
    </w:p>
    <w:p>
      <w:pPr>
        <w:spacing w:after="0" w:line="178"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In addition, with respect to investigator-sponsored trials that may be conducted, we would not control the design or conduct of these trials, and it is possible that the FDA will not view these investigator-sponsored trials as providing adequate support for future clinical trials or market approval, whether controlled by us or third parties, for any one or more reasons, including elements of the design or execution of the trials or safety concerns or other trial results. We expect that such arrangements will provide us certain information rights with respect to the investigator-sponsored trials, including access to and the ability to use and reference the data, including for our own regulatory submissions, resulting from the investigator-sponsored trials. However, we would not have control over the timing and reporting of the data from investigator-sponsored trials, nor would we own the data from the investigator- sponsored trials. If we are unable to confirm or replicate the results from the investigator-sponsored trials or if negative results are obtained, we would likely be further delayed or prevented from advancing further clinical development.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 The investigators may design clinical trials with clinical endpoints that are more difficult to achieve, or in other ways that increase the risk of negative clinical trial results compared to clinical trials that we may design on our own. Negative results in investigator-sponsored clinical trials could have a material adverse effect on our efforts to obtain regulatory approval for our product candidates and the public perception of our product candidates. Additionally, the FDA may disagree with the sufficiency of our right of reference to the preclinical, manufacturing or clinical data generated by these investigator-sponsored trials, or our interpretation of preclinical, manufacturing or clinical data from these investigator-sponsored trials. If so, the FDA may require us to obtain and submit additional preclinical, manufacturing, or clinical data.</w:t>
      </w:r>
    </w:p>
    <w:p>
      <w:pPr>
        <w:spacing w:after="0" w:line="176" w:lineRule="exact"/>
        <w:rPr>
          <w:sz w:val="20"/>
          <w:szCs w:val="20"/>
          <w:color w:val="auto"/>
        </w:rPr>
      </w:pPr>
    </w:p>
    <w:p>
      <w:pPr>
        <w:ind w:left="120" w:right="180"/>
        <w:spacing w:after="0" w:line="275" w:lineRule="auto"/>
        <w:rPr>
          <w:sz w:val="20"/>
          <w:szCs w:val="20"/>
          <w:color w:val="auto"/>
        </w:rPr>
      </w:pPr>
      <w:r>
        <w:rPr>
          <w:rFonts w:ascii="Arial" w:cs="Arial" w:eastAsia="Arial" w:hAnsi="Arial"/>
          <w:sz w:val="17"/>
          <w:szCs w:val="17"/>
          <w:color w:val="auto"/>
        </w:rPr>
        <w:t>Furthermore, these third parties may also have relationships with other entities, some of which may be our competitors for whom they may also be conducting clinical trials or other pharmaceutical product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DAY101, pimasertib or any future product candidates and will not be able to, or may be delayed in our efforts to, successfully commercialize our products.</w:t>
      </w:r>
    </w:p>
    <w:p>
      <w:pPr>
        <w:spacing w:after="0" w:line="284" w:lineRule="exact"/>
        <w:rPr>
          <w:sz w:val="20"/>
          <w:szCs w:val="20"/>
          <w:color w:val="auto"/>
        </w:rPr>
      </w:pPr>
    </w:p>
    <w:p>
      <w:pPr>
        <w:ind w:left="120" w:right="120"/>
        <w:spacing w:after="0" w:line="308" w:lineRule="auto"/>
        <w:rPr>
          <w:sz w:val="20"/>
          <w:szCs w:val="20"/>
          <w:color w:val="auto"/>
        </w:rPr>
      </w:pPr>
      <w:r>
        <w:rPr>
          <w:rFonts w:ascii="Arial" w:cs="Arial" w:eastAsia="Arial" w:hAnsi="Arial"/>
          <w:sz w:val="17"/>
          <w:szCs w:val="17"/>
          <w:b w:val="1"/>
          <w:bCs w:val="1"/>
          <w:i w:val="1"/>
          <w:iCs w:val="1"/>
          <w:color w:val="auto"/>
        </w:rPr>
        <w:t>The manufacture of our product candidates is complex. Our third-party manufacturers may encounter difficulties in production, which could delay or entirely halt their ability to supply our product candidates for clinical trials or, if approved, for commercial sale.</w:t>
      </w:r>
    </w:p>
    <w:p>
      <w:pPr>
        <w:spacing w:after="0" w:line="38"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We do not have any manufacturing facilities, and we currently contract with certain third-party manufacturers in China. We rely, and expect to continue to rely, on third parties for the manufacture of our product candidates for clinical testing, product development purposes, to support regulatory application submissions, as well as for commercial manufacture if any of our product candidates obtain marketing approval. In addition, we expect to contract with analytical laboratories for release and stability testing of our product candidates. This reliance on third parties increases the risk that we will not have sufficient quantities of our product candidates or products or such quantities at an acceptable cost or quality, which could delay, prevent or impair our development or commercialization efforts. For example, the extent to which the COVID-19 pandemic impacts our ability to procure sufficient supplies for the development of our product candidates will depend on the severity and duration of the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40"/>
          </w:cols>
          <w:pgMar w:left="320" w:top="486"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91" w:lineRule="auto"/>
        <w:rPr>
          <w:sz w:val="20"/>
          <w:szCs w:val="20"/>
          <w:color w:val="auto"/>
        </w:rPr>
      </w:pPr>
      <w:r>
        <w:rPr>
          <w:rFonts w:ascii="Arial" w:cs="Arial" w:eastAsia="Arial" w:hAnsi="Arial"/>
          <w:sz w:val="16"/>
          <w:szCs w:val="16"/>
          <w:color w:val="auto"/>
        </w:rPr>
        <w:t>spread of the virus and the actions undertaken to contain COVID-19 or treat its effects. In addition, any disruption in production or inability of our manufacturers specifically in China to produce adequate quantities to meet our needs, whether as a result of a natural disaster or other causes, could impair our ability to operate our business on a day-to-day basis and to continue our development of our product candidates. Furthermore, since these manufacturers are located in China, we are exposed to the possibility of product supply disruption and increased costs in the event of changes in the policies of the United States or Chinese governments, political unrest or unstable economic conditions in China. Any of these matters could materially adversely affect our business, financial condition and results of operations. In addition, disruptions in logistics routes and transportation capabilities could disrupt our supply chain. And, if we experience unexpected spikes in demand over time, we risk running out of our necessary supplies.</w:t>
      </w:r>
    </w:p>
    <w:p>
      <w:pPr>
        <w:spacing w:after="0" w:line="166"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We may be unable to establish any agreements with third-party manufacturers or do so on favorable terms. Even if we are able to establish agreements with third-party manufacturers, reliance on third-party manufacturers entails additional risks, including:</w:t>
      </w:r>
    </w:p>
    <w:p>
      <w:pPr>
        <w:spacing w:after="0" w:line="76" w:lineRule="exact"/>
        <w:rPr>
          <w:sz w:val="20"/>
          <w:szCs w:val="20"/>
          <w:color w:val="auto"/>
        </w:rPr>
      </w:pPr>
    </w:p>
    <w:p>
      <w:pPr>
        <w:ind w:left="540" w:hanging="424"/>
        <w:spacing w:after="0"/>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reliance on the third-party for regulatory, compliance and quality assurance;</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reliance on the third-party for product development, analytical testing, and data generation to support regulatory applications;</w:t>
      </w:r>
    </w:p>
    <w:p>
      <w:pPr>
        <w:spacing w:after="0" w:line="130" w:lineRule="exact"/>
        <w:rPr>
          <w:rFonts w:ascii="Arial" w:cs="Arial" w:eastAsia="Arial" w:hAnsi="Arial"/>
          <w:sz w:val="18"/>
          <w:szCs w:val="18"/>
          <w:color w:val="auto"/>
        </w:rPr>
      </w:pPr>
    </w:p>
    <w:p>
      <w:pPr>
        <w:jc w:val="both"/>
        <w:ind w:left="540" w:right="300" w:hanging="424"/>
        <w:spacing w:after="0" w:line="263"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operations of our third-party manufacturers or suppliers could be disrupted by conditions unrelated to our business or operations, including the bankruptcy of the manufacturer or supplier, the issuance of an FDA Form 483 notice or warning letter, or other enforcement action by FDA or other regulatory authority;</w:t>
      </w:r>
    </w:p>
    <w:p>
      <w:pPr>
        <w:spacing w:after="0" w:line="89" w:lineRule="exact"/>
        <w:rPr>
          <w:rFonts w:ascii="Arial" w:cs="Arial" w:eastAsia="Arial" w:hAnsi="Arial"/>
          <w:sz w:val="18"/>
          <w:szCs w:val="18"/>
          <w:color w:val="auto"/>
        </w:rPr>
      </w:pPr>
    </w:p>
    <w:p>
      <w:pPr>
        <w:ind w:left="540" w:hanging="424"/>
        <w:spacing w:after="0"/>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third-party;</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third-party at a time that is costly or inconvenient for us;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third-party at a time that is costly or inconvenient for us;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carrier disruptions or increased costs that are beyond our control; and</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failure to deliver our drugs under specified storage conditions and in a timely manner.</w:t>
      </w:r>
    </w:p>
    <w:p>
      <w:pPr>
        <w:spacing w:after="0" w:line="225"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We have only limited supply arrangements in place with respect to our product candidates, and these arrangements do not extend to commercial supply. We acquire all key materials on a purchase order basis. As a result, we do not have long-term committed arrangements with respect to our product candidates and other materials. We will need to establish one or more agreements with third parties to develop and scale up the drug manufacturing process, conduct drug testing, and generate data to support a regulatory submission. If we obtain marketing approval for any of our product candidates, we will need to establish an agreement for commercial manufacture with a third-party. In addition, we are dependent on a sole supplier for certain components of our manufacturing process. Even if we are able to replace any raw materials or other materials with an alternative, such alternatives may cost more, result in lower yields or not be as suitable for our purposes. In addition, some of the materials that we use to manufacture our product candidates are complex materials, which may be more difficult to substitute. Therefore, any disruptions arising from our sole suppliers could result in delays and additional regulatory submissions.</w:t>
      </w:r>
    </w:p>
    <w:p>
      <w:pPr>
        <w:spacing w:after="0" w:line="18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Third-party manufacturers may not be able to comply with cGMP regulations or similar regulatory requirements outside of the United States. If the FDA determines that our CMOs are not in compliance with FDA laws and regulations, including those governing cGMPs, the FDA may approve an NDA until the deficiencies are corrected or we replace the manufacturer in our application with a manufacturer that is in compliance. Moreover, our failure, or the failure of our third-party manufacturers and suppliers, to comply with applicable regulations could result in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86"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sanctions being imposed on us, including clinical holds, fines, injunctions, civil penalties, seizures or recalls of product candidates or products, operating restrictions and criminal prosecutions, any of which could significantly and adversely affect supplies of our products.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 cGMPs. Furthermore, although we do not have day-to-day control over the operations of our CMOs, we are responsible for ensuring compliance with applicable laws and regulations, including cGMPs.</w:t>
      </w:r>
    </w:p>
    <w:p>
      <w:pPr>
        <w:spacing w:after="0" w:line="164"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In addition, our third-party manufacturers and suppliers are subject to numerous environmental, health and safety laws and regulations, including those governing the handling, use, storage, treatment and disposal of waste products, and failure to comply with such laws and regulations could result in significant costs associated with civil or criminal fines and penalties for such third parties. Based on the severity of regulatory actions that may be brought against these third parties in the future, our clinical or commercial supply of drug and packaging and other services could be interrupted or limited, which could harm our business.</w:t>
      </w:r>
    </w:p>
    <w:p>
      <w:pPr>
        <w:spacing w:after="0" w:line="188"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w:t>
      </w:r>
    </w:p>
    <w:p>
      <w:pPr>
        <w:spacing w:after="0" w:line="184"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As we prepare for later-stage clinical trials and potential commercialization, we will need to take steps to increase the scale of production of our product candidates. We have not yet scaled up the manufacturing process for any of our product candidates. Third-party manufacturers may be unable to successfully increase the manufacturing capacity for any of our product candidates in a timely or cost-effective manner, or at all. In addition, quality issues may arise during scale-up or commercial activities. For example,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92"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We do not currently have arrangements in place for redundant supply or a second source for bulk drug substance. If our current CMOs for clinical testing cannot perform as agreed, we may be required to replace such CMOs. Although we believe that there are several potential alternative manufacturers who could manufacture our product candidates, we may incur added costs and delays in identifying and qualifying any such replacement manufacturer or be able to reach agreement with any alternative manufacturer. Further, our third-party manufacturers may experience manufacturing or shipping difficulties due to resource constraints or as a result of natural disasters, labor disputes, unstable political environments, or public health epidemics such as the</w:t>
      </w:r>
    </w:p>
    <w:p>
      <w:pPr>
        <w:spacing w:after="0" w:line="4" w:lineRule="exact"/>
        <w:rPr>
          <w:sz w:val="20"/>
          <w:szCs w:val="20"/>
          <w:color w:val="auto"/>
        </w:rPr>
      </w:pPr>
    </w:p>
    <w:p>
      <w:pPr>
        <w:ind w:left="120" w:right="140"/>
        <w:spacing w:after="0" w:line="260" w:lineRule="auto"/>
        <w:rPr>
          <w:sz w:val="20"/>
          <w:szCs w:val="20"/>
          <w:color w:val="auto"/>
        </w:rPr>
      </w:pPr>
      <w:r>
        <w:rPr>
          <w:rFonts w:ascii="Arial" w:cs="Arial" w:eastAsia="Arial" w:hAnsi="Arial"/>
          <w:sz w:val="18"/>
          <w:szCs w:val="18"/>
          <w:color w:val="auto"/>
        </w:rPr>
        <w:t>recent COVID-19 pandemic. If our current third-party manufacturers cannot perform as agreed, we may be required to replace such manufacturers and we may be unable to replace them on a timely basis or at all.</w:t>
      </w:r>
    </w:p>
    <w:p>
      <w:pPr>
        <w:spacing w:after="0" w:line="185" w:lineRule="exact"/>
        <w:rPr>
          <w:sz w:val="20"/>
          <w:szCs w:val="20"/>
          <w:color w:val="auto"/>
        </w:rPr>
      </w:pPr>
    </w:p>
    <w:p>
      <w:pPr>
        <w:ind w:left="120" w:right="280"/>
        <w:spacing w:after="0" w:line="308"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or products may adversely affect our future profit margins and our ability to commercialize any products that obtain marketing approval on a timely and competitive basis.</w:t>
      </w:r>
    </w:p>
    <w:p>
      <w:pPr>
        <w:spacing w:after="0" w:line="25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may enter into collaborations with third parties for the development and commercialization of our product candidates. If those collaborations are not successful, we may not be able to capitalize on the market potential of these product candidates.</w:t>
      </w:r>
    </w:p>
    <w:p>
      <w:pPr>
        <w:spacing w:after="0" w:line="62"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We may seek third-party collaborators for the development and commercialization of some of our product candidates on a select basis. We have not entered into any collaborations to date. Our likely collaborators for any future collaboration arrangements include large and mid-size pharmaceutical companies, regional and national pharmaceutical companies and biotechnology companies. We face significant competition in seeking appropriate collaborators. Our ability to reach a definitive agreement for a future collaboration will depend, among other things, upon our assessment of the future collaborator’s resources and expertise, the terms and conditions of the proposed collaboration and the proposed collaborator’s evaluation of a number of factors.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86"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If we do enter into any such arrangements with any third parties, we will likely have limited control over the amount and timing of resources that our future collaborators dedicate to the development or commercialization of our product candidates. Our ability to generate revenues from these arrangements will depend on our future collaborators’ abilities and efforts to successfully perform the functions assigned to them in these arrangements. Collaborations with future collaborators involving our product candidates would pose numerous risks to us, including the following:</w:t>
      </w:r>
    </w:p>
    <w:p>
      <w:pPr>
        <w:spacing w:after="0" w:line="77" w:lineRule="exact"/>
        <w:rPr>
          <w:sz w:val="20"/>
          <w:szCs w:val="20"/>
          <w:color w:val="auto"/>
        </w:rPr>
      </w:pPr>
    </w:p>
    <w:p>
      <w:pPr>
        <w:ind w:left="540" w:right="100" w:hanging="424"/>
        <w:spacing w:after="0" w:line="277"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 and may not perform their obligations as expected;</w:t>
      </w:r>
    </w:p>
    <w:p>
      <w:pPr>
        <w:spacing w:after="0" w:line="75" w:lineRule="exact"/>
        <w:rPr>
          <w:rFonts w:ascii="Arial" w:cs="Arial" w:eastAsia="Arial" w:hAnsi="Arial"/>
          <w:sz w:val="18"/>
          <w:szCs w:val="18"/>
          <w:color w:val="auto"/>
        </w:rPr>
      </w:pPr>
    </w:p>
    <w:p>
      <w:pPr>
        <w:ind w:left="540" w:hanging="424"/>
        <w:spacing w:after="0" w:line="259"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spacing w:after="0" w:line="92" w:lineRule="exact"/>
        <w:rPr>
          <w:rFonts w:ascii="Arial" w:cs="Arial" w:eastAsia="Arial" w:hAnsi="Arial"/>
          <w:sz w:val="18"/>
          <w:szCs w:val="18"/>
          <w:color w:val="auto"/>
        </w:rPr>
      </w:pPr>
    </w:p>
    <w:p>
      <w:pPr>
        <w:ind w:left="540" w:right="20" w:hanging="424"/>
        <w:spacing w:after="0" w:line="277"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75" w:lineRule="exact"/>
        <w:rPr>
          <w:rFonts w:ascii="Arial" w:cs="Arial" w:eastAsia="Arial" w:hAnsi="Arial"/>
          <w:sz w:val="18"/>
          <w:szCs w:val="18"/>
          <w:color w:val="auto"/>
        </w:rPr>
      </w:pPr>
    </w:p>
    <w:p>
      <w:pPr>
        <w:ind w:left="540" w:right="60" w:hanging="424"/>
        <w:spacing w:after="0" w:line="263"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89" w:lineRule="exact"/>
        <w:rPr>
          <w:rFonts w:ascii="Arial" w:cs="Arial" w:eastAsia="Arial" w:hAnsi="Arial"/>
          <w:sz w:val="18"/>
          <w:szCs w:val="18"/>
          <w:color w:val="auto"/>
        </w:rPr>
      </w:pPr>
    </w:p>
    <w:p>
      <w:pPr>
        <w:ind w:left="540" w:right="20" w:hanging="424"/>
        <w:spacing w:after="0" w:line="277"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multiple products may not commit sufficient resources to the marketing and distribution of our product relative to other products;</w:t>
      </w:r>
    </w:p>
    <w:p>
      <w:pPr>
        <w:spacing w:after="0" w:line="75" w:lineRule="exact"/>
        <w:rPr>
          <w:rFonts w:ascii="Arial" w:cs="Arial" w:eastAsia="Arial" w:hAnsi="Arial"/>
          <w:sz w:val="18"/>
          <w:szCs w:val="18"/>
          <w:color w:val="auto"/>
        </w:rPr>
      </w:pPr>
    </w:p>
    <w:p>
      <w:pPr>
        <w:ind w:left="540" w:right="200" w:hanging="424"/>
        <w:spacing w:after="0" w:line="311" w:lineRule="auto"/>
        <w:tabs>
          <w:tab w:leader="none" w:pos="5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54" w:lineRule="exact"/>
        <w:rPr>
          <w:rFonts w:ascii="Arial" w:cs="Arial" w:eastAsia="Arial" w:hAnsi="Arial"/>
          <w:sz w:val="16"/>
          <w:szCs w:val="16"/>
          <w:color w:val="auto"/>
        </w:rPr>
      </w:pPr>
    </w:p>
    <w:p>
      <w:pPr>
        <w:ind w:left="540" w:right="200" w:hanging="424"/>
        <w:spacing w:after="0" w:line="342" w:lineRule="auto"/>
        <w:tabs>
          <w:tab w:leader="none" w:pos="5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products or product candidates or that result in costly litigation or arbitration that diverts management attention and resources;</w:t>
      </w:r>
    </w:p>
    <w:p>
      <w:pPr>
        <w:spacing w:after="0" w:line="29" w:lineRule="exact"/>
        <w:rPr>
          <w:rFonts w:ascii="Arial" w:cs="Arial" w:eastAsia="Arial" w:hAnsi="Arial"/>
          <w:sz w:val="16"/>
          <w:szCs w:val="16"/>
          <w:color w:val="auto"/>
        </w:rPr>
      </w:pPr>
    </w:p>
    <w:p>
      <w:pPr>
        <w:ind w:left="540" w:right="1340" w:hanging="424"/>
        <w:spacing w:after="0" w:line="277"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collaboration agreements may not lead to development or commercialization of product candidates in the most efficient manner or at all; and</w:t>
      </w:r>
    </w:p>
    <w:p>
      <w:pPr>
        <w:spacing w:after="0" w:line="142" w:lineRule="exact"/>
        <w:rPr>
          <w:rFonts w:ascii="Arial" w:cs="Arial" w:eastAsia="Arial" w:hAnsi="Arial"/>
          <w:sz w:val="17"/>
          <w:szCs w:val="17"/>
          <w:color w:val="auto"/>
        </w:rPr>
      </w:pPr>
    </w:p>
    <w:p>
      <w:pPr>
        <w:ind w:left="540" w:right="100" w:hanging="424"/>
        <w:spacing w:after="0" w:line="277"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a future collaborator of ours were to be involved in a business combination, the continued pursuit and emphasis on our product development or commercialization program could be delayed, diminished or terminated.</w:t>
      </w:r>
    </w:p>
    <w:p>
      <w:pPr>
        <w:spacing w:after="0" w:line="170"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If we establish one or more collaborations, all of the risks relating to product development, regulatory approval and commercialization described herein would also apply to the activities of any such future collaborators.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00"/>
          </w:cols>
          <w:pgMar w:left="320" w:top="486" w:right="4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employee matters and our operations</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Our future success depends on our ability to retain our executive officers and key employees and to attract, retain and motivate qualified personnel and manage our human capital.</w:t>
      </w:r>
    </w:p>
    <w:p>
      <w:pPr>
        <w:spacing w:after="0" w:line="62" w:lineRule="exact"/>
        <w:rPr>
          <w:sz w:val="20"/>
          <w:szCs w:val="20"/>
          <w:color w:val="auto"/>
        </w:rPr>
      </w:pPr>
    </w:p>
    <w:p>
      <w:pPr>
        <w:ind w:left="120" w:right="260"/>
        <w:spacing w:after="0" w:line="296" w:lineRule="auto"/>
        <w:rPr>
          <w:sz w:val="20"/>
          <w:szCs w:val="20"/>
          <w:color w:val="auto"/>
        </w:rPr>
      </w:pPr>
      <w:r>
        <w:rPr>
          <w:rFonts w:ascii="Arial" w:cs="Arial" w:eastAsia="Arial" w:hAnsi="Arial"/>
          <w:sz w:val="16"/>
          <w:szCs w:val="16"/>
          <w:color w:val="auto"/>
        </w:rPr>
        <w:t>Our ability to compete in the highly competitive biotechnology and pharmaceutical industries depends upon our ability to attract, motivate and retain highly qualified managerial, scientific and medical personnel. We are highly dependent on the development and management expertise of Jeremy Bender, Ph.D., M.B.A., our Chief Executive Officer, Samuel Blackman, M.D., Ph.D., our Chief Medical Officer, as well as the other members of our management team, other key employees and advisors. We currently do not maintain key person insurance on these individuals. Although we have entered into employment agreements with our executive officers, each of them may terminate their employment with us at any time.</w:t>
      </w:r>
    </w:p>
    <w:p>
      <w:pPr>
        <w:spacing w:after="0" w:line="16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Our industry has experienced a high rate of turnover in recent years. Our ability to compete in the highly competitive pharmaceuticals industry depends upon our ability to attract, retain and motivate highly skilled and experienced personnel with scientific, clinical, regulatory, manufacturing and management skills and experience.</w:t>
      </w:r>
    </w:p>
    <w:p>
      <w:pPr>
        <w:spacing w:after="0" w:line="184"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We conduct our operations in the greater San Francisco Bay Area, a region that is home to other pharmaceutical companies as well as many academic and research institutions, resulting in fierce competition for qualified personnel. We may not be able to attract or retain qualified personnel in the future due to the intense competition for a limited number of qualified personnel among pharmaceutical companies. Many of the other pharmaceutical companies against which we compete have greater financial and other resources, different risk profiles and a longer history in the industry than we do. Our competitors may provide higher compensation, more diverse opportunities and/or better opportunities for career advancement. In addition, as our business changes, key personnel may not want to work for a larger, commercial enterprise. Any or all of these competing factors may limit our ability to continue to attract and retain high quality personnel, which could negatively affect our ability to successfully develop and commercialize our product candidates and to grow our business and operations as currently contemplated.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will need to grow the size and capabilities of our organization, and we may experience difficulties in managing this growth.</w:t>
      </w:r>
    </w:p>
    <w:p>
      <w:pPr>
        <w:spacing w:after="0" w:line="11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We had 29 full-time employees as of June 30, 2021. We expect significant growth in the number of our employees and the scope of our operations, particularly in the areas of clinical development, clinical operations, manufacturing,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and with developing sales, marketing and distribution infrastructure, we may not be able to effectively manage the expansion of our operations or recruit and train additional qualified personnel. The expansion of our operations may lead to significant costs and may divert our management and business development resources.</w:t>
      </w:r>
    </w:p>
    <w:p>
      <w:pPr>
        <w:spacing w:after="0" w:line="166"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Further, we currently rely, and for the foreseeable future will continue to rely, in substantial part on certain third-party contract organizations, advisors and consultants to provide certain services, including assuming substantial responsibilities for the conduct of our clinical trials and the manufacture of DAY101, pimasertib, or any future product candidates. We cannot assure you that the services of such 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or terminated, and we may not be able to obtain marketing approval of DAY101, pimasertib, or any future product candidates or otherwise advance our business. We cannot assure you that we will be able to properly manage our existing vendors or consultants or find other competent outside vendors and consultants on economically reasonable terms, or at all.</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00"/>
          </w:cols>
          <w:pgMar w:left="320" w:top="486" w:right="4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If we are not able to effectively manage growth and expand our organization, we may not be able to successfully implement the tasks necessary to further develop and commercialize DAY101, pimasertib, our other pipeline product candidates or any future product candidates and, accordingly, may not achieve our research, development and commercialization goals.</w:t>
      </w:r>
    </w:p>
    <w:p>
      <w:pPr>
        <w:spacing w:after="0" w:line="292"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b w:val="1"/>
          <w:bCs w:val="1"/>
          <w:i w:val="1"/>
          <w:iCs w:val="1"/>
          <w:color w:val="auto"/>
        </w:rPr>
        <w:t>Our employees, clinical trial investigators, CROs, CMOs, consultants, vendors and any potential commercial partners may engage in misconduct or other improper activities, including non-compliance with regulatory standards and requirements and insider trading.</w:t>
      </w:r>
    </w:p>
    <w:p>
      <w:pPr>
        <w:spacing w:after="0" w:line="38"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We are exposed to the risk of fraud or other misconduct by our employees, clinical trial investigators, CROs, CMOs, consultants, vendors and any potential commercial partners. Misconduct by these parties could include intentional, reckless and/or negligent conduct or disclosure of unauthorized activities to us that violates: (i) FDA regulations or those of comparable foreign regulatory authorities, including those laws that require the reporting of true, complete and accurate information, (ii) manufacturing standards, (iii) federal and state health and data privacy, security, fraud and abuse, government price reporting, transparency reporting requirements, and other healthcare laws and regulations in the United States and abroad, (iv) sexual harassment and other workplace misconduct, or (v) laws that require the true, complete and accurate reporting of financial information or data. Such misconduct could also involve the improper use of information obtained in the course of clinical trials, which could result in regulatory sanctions and cause serious harm to our reputation.</w:t>
      </w:r>
    </w:p>
    <w:p>
      <w:pPr>
        <w:spacing w:after="0" w:line="178"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We have adopted a code of conduct applicable to all of our employees, as well as a disclosure program and other applicable policies and procedures,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exclusion from government funded healthcare programs, such as Medicare, Medicaid and other federal healthcare programs,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w:t>
      </w:r>
    </w:p>
    <w:p>
      <w:pPr>
        <w:spacing w:after="0" w:line="28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b w:val="1"/>
          <w:bCs w:val="1"/>
          <w:i w:val="1"/>
          <w:iCs w:val="1"/>
          <w:color w:val="auto"/>
        </w:rPr>
        <w:t>If our security measures are compromised, or our information technology systems or those of our CROs, CMOs, vendors, contractors, consultants, or other third-party partners fail or suffer security breaches, cyber-attacks, loss or leakage of data and other disruptions, this could result in a material disruption of our development programs, compromise sensitive information related to our business or other personal information or prevent us from accessing critical information, potentially exposing us to liability, harm our reputation, or otherwise adversely affecting our business.</w:t>
      </w:r>
    </w:p>
    <w:p>
      <w:pPr>
        <w:spacing w:after="0" w:line="80"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the ordinary course of business, we may collect, process, store, and transmit proprietary, confidential, and sensitive information (including but not limited to intellectual property, trade secrets, proprietary business information, personal information, and protected health information, or PHI). It is critical that we do so in a secure manner to maintain the confidentiality, integrity, and availability of such information. We depend on information technology and telecommunications systems for significant elements of our operations and we have installed, and expect to expand, a number of enterprise software systems that affect a broad range of business processes and functional areas, including, for example, systems handling human resources, financial reporting and controls, customer relationship management, regulatory compliance, and other infrastructure operations. We face a number of risks relative to protecting this critical information, including loss of access risk, inappropriate use or disclosure, inappropriate modification, and the risk of our being unable to adequately monitor, audit, and modify our controls over our critical information. This risk extends to the third-parties with whom we work, as we rely on a number of third parties to operate our critical business systems and process confidential, proprietary, and sensitive information.</w:t>
      </w:r>
    </w:p>
    <w:p>
      <w:pPr>
        <w:spacing w:after="0" w:line="185" w:lineRule="exact"/>
        <w:rPr>
          <w:sz w:val="20"/>
          <w:szCs w:val="20"/>
          <w:color w:val="auto"/>
        </w:rPr>
      </w:pPr>
    </w:p>
    <w:p>
      <w:pPr>
        <w:ind w:left="120" w:right="340"/>
        <w:spacing w:after="0" w:line="259" w:lineRule="auto"/>
        <w:rPr>
          <w:sz w:val="20"/>
          <w:szCs w:val="20"/>
          <w:color w:val="auto"/>
        </w:rPr>
      </w:pPr>
      <w:r>
        <w:rPr>
          <w:rFonts w:ascii="Arial" w:cs="Arial" w:eastAsia="Arial" w:hAnsi="Arial"/>
          <w:sz w:val="18"/>
          <w:szCs w:val="18"/>
          <w:color w:val="auto"/>
        </w:rPr>
        <w:t>Despite the implementation of security measures, given the size, complexity, and increasing amounts of proprietary, sensitive, and confidential information maintained by our internal information technology systems and those of our CROs, CMOs, vendors, contractors, consultants, and other third-party partners are potentially vulnerable to breakdown, service interruptions, system malfunction, accidents by our personnel or third-party partners, natural</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80"/>
          </w:cols>
          <w:pgMar w:left="320" w:top="486" w:right="4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96" w:lineRule="auto"/>
        <w:rPr>
          <w:sz w:val="20"/>
          <w:szCs w:val="20"/>
          <w:color w:val="auto"/>
        </w:rPr>
      </w:pPr>
      <w:r>
        <w:rPr>
          <w:rFonts w:ascii="Arial" w:cs="Arial" w:eastAsia="Arial" w:hAnsi="Arial"/>
          <w:sz w:val="16"/>
          <w:szCs w:val="16"/>
          <w:color w:val="auto"/>
        </w:rPr>
        <w:t>disasters, terrorism, global pandemics, war and telecommunication and electrical failures, as well as security breaches from inadvertent or intentional actions by our personnel or those of our CROs, CMOs, vendors, contractors, consultants, business partners and/or other third-party partners, or from cyber-attacks by malicious third parties (including through viruses, worms, malicious code, malware, ransomware, denial-of-service attacks, social engineering and other means to affect service reliability and the confidentiality, integrity and availability of information), which may compromise our system infrastructure, or that of our CROs, CMOs, vendors, contractors, consultants, and other third-party partners, or lead to data leakage.</w:t>
      </w:r>
    </w:p>
    <w:p>
      <w:pPr>
        <w:spacing w:after="0" w:line="161"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The risk of a security breach or disruption, particularly through cyber-attacks or cyber intrusion, including by computer hackers, viruses, foreign governments, and cyber terrorists, has generally increased as the number, intensity and sophistication of attempted attacks and intrusions from around the world have increased. The COVID-19 pandemic is generally increasing the attack surface available for exploitation, as more companies and individuals work online and work remotely, and as such, the risk of a cybersecurity incident potentially occurring, and our investment in risk mitigations against such an incident, is increasing. For example, there has been an increase in phishing and spam emails as well as social engineering attempts from “hackers” hoping to use the recent COVID-19 pandemic to their advantage. We may not be able to anticipate all types of security threats, nor may we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To the extent that any disruption or security breach were to result in a loss of, or damage to, our data or applications, or those of our CROs, CMOs, vendors, contractors, consultants, and other third-party partners, or inappropriate disclosure of confidential, sensitive, or proprietary information, we could incur liability and reputational damage and the further development and commercialization of DAY101, pimasertib, or any future product candidates could be delayed. Any breach, loss or compromise of proprietary, sensitive, or confidential information may also subject us to civil fines and penalties, including under HIPAA, and other relevant state and federal privacy laws in the United States. For example, the California Consumer Privacy Act of 2018, or the CCPA, imposes a private right of action for security breaches that could lead to some form of remedy including regulatory scrutiny, fines, private right of action settlements, and other consequences.</w:t>
      </w:r>
    </w:p>
    <w:p>
      <w:pPr>
        <w:spacing w:after="0" w:line="180"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costs related to significant security breaches or disruptions could be material and exceed the limits of the cybersecurity insurance we maintain against such risks. If the information technology systems of our CROs, CMOs, vendors, contractors, consultants, and other third-party partners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157"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We cannot assure you that our data protection efforts and our investment in information technology will prevent significant breakdowns, data leakages, breaches in our systems, or those of our CROs, CMOs, vendors, contractors, consultants, and other third-party partners, or other cyber incidents that could have a material adverse effect upon our reputation, business, operations or financial condition. For example, if such an event were to occur and cause interruptions in our operations, or those of our third-party CROs, CMOs, vendors and other contractors and consultants, it could result in a material disruption of our programs and the development of our product candidates could be delayed. In addition, the loss of clinical trial data for DAY101, pimasertib, or any other product candidates could result in delays in our marketing approval efforts and significantly increase our costs to recover or reproduce the data. Furthermore, significant disruptions of our internal information technology systems or those of our third-party CROs, CMOs,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personnel,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00"/>
          </w:cols>
          <w:pgMar w:left="320" w:top="486" w:right="4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We are required to comply with laws, rules and regulations that require us to maintain the security of personal information. We may have contractual and other legal obligations to notify relevant stakeholders of security breaches. Failure to prevent or mitigate cyber-attacks could result in the unauthorized access to sensitive, confidential, or proprietary information. Most jurisdictions have enacted laws requiring companies to notify individuals, regulatory authorities, and others of security breaches involving certain types of data. In addition, our agreements with CROs, CMOs, vendors, contractors, consultants, and other third-party partners may require us to notify them in the event of a security breach. Such mandatory disclosures are costly, could lead to negative publicity, may cause our customers to lose confidence in the effectiveness of our security measures and require us to expend significant capital and other resources to respond to and/or alleviate problems caused by the actual or perceived security breach.</w:t>
      </w:r>
    </w:p>
    <w:p>
      <w:pPr>
        <w:spacing w:after="0" w:line="166"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costs to respond to a security breach and/or to mitigate any security vulnerabilities that may be identified could be significant, our efforts to address these issues may not be successful, and these issues could result in interruptions, delays, negative publicity, loss of customer trust, diminished use of our products as well as other harms to our business and our competitive position. Remediation of any potential security breach may involve significant time, resources, and expenses. Any security breach may result in regulatory inquiries, litigation or other investigations, and can affect our financial and operational condition.</w:t>
      </w:r>
    </w:p>
    <w:p>
      <w:pPr>
        <w:spacing w:after="0" w:line="188" w:lineRule="exact"/>
        <w:rPr>
          <w:sz w:val="20"/>
          <w:szCs w:val="20"/>
          <w:color w:val="auto"/>
        </w:rPr>
      </w:pPr>
    </w:p>
    <w:p>
      <w:pPr>
        <w:ind w:left="120" w:right="140"/>
        <w:spacing w:after="0" w:line="254" w:lineRule="auto"/>
        <w:rPr>
          <w:sz w:val="20"/>
          <w:szCs w:val="20"/>
          <w:color w:val="auto"/>
        </w:rPr>
      </w:pPr>
      <w:r>
        <w:rPr>
          <w:rFonts w:ascii="Arial" w:cs="Arial" w:eastAsia="Arial" w:hAnsi="Arial"/>
          <w:sz w:val="18"/>
          <w:szCs w:val="18"/>
          <w:color w:val="auto"/>
        </w:rPr>
        <w:t>A security breach may cause us to breach customer contracts. Our agreements with certain customers may require us to use industry-standard or reasonable measures to safeguard personal information. We also may be subject to laws that require us to use industry-standard or reasonable security measures to safeguard personal information. A security breach could lead to claims by our customers or other relevant stakeholders that we have failed to comply with such legal or contractual obligations. In addition, our inability to comply with data privacy obligations in our customer contracts or our inability to flow down such obligations from our customers to our CROs, CMOs, vendors, contractors, consultants, and other third-party partners may cause us to breach our customer contracts. As a result, we could be subject to legal action or our customers could end their relationships with us. There can be no assurance that the limitations of liability in our contracts would be enforceable or adequate or would otherwise protect us from liabilities or damages.</w:t>
      </w:r>
    </w:p>
    <w:p>
      <w:pPr>
        <w:spacing w:after="0" w:line="192"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Litigation resulting from security breaches may adversely affect our business. Unauthorized access to our systems, networks, or physical facilities could result in litigation with our customers or other relevant stakeholders. These proceedings could force us to spend money in defense or settlement, divert management’s time and attention, increase our costs of doing business, or adversely affect our reputation.</w:t>
      </w:r>
    </w:p>
    <w:p>
      <w:pPr>
        <w:spacing w:after="0" w:line="184"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We may not have adequate insurance coverage for security incidents or breaches, including fines, judgments, settlements, penalties, costs, attorney fees and other impacts that arise out of incidents or breaches. The successful assertion of one or more large claims against us that exceeds available insurance coverage, or results in changes to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 Our risks are likely to increase as we continue to expand, grow our customer base, and process, store, and transmit increasingly large amounts of proprietary and sensitive data.</w:t>
      </w:r>
    </w:p>
    <w:p>
      <w:pPr>
        <w:spacing w:after="0" w:line="272" w:lineRule="exact"/>
        <w:rPr>
          <w:sz w:val="20"/>
          <w:szCs w:val="20"/>
          <w:color w:val="auto"/>
        </w:rPr>
      </w:pPr>
    </w:p>
    <w:p>
      <w:pPr>
        <w:ind w:left="120" w:right="40"/>
        <w:spacing w:after="0" w:line="340" w:lineRule="auto"/>
        <w:rPr>
          <w:sz w:val="20"/>
          <w:szCs w:val="20"/>
          <w:color w:val="auto"/>
        </w:rPr>
      </w:pPr>
      <w:r>
        <w:rPr>
          <w:rFonts w:ascii="Arial" w:cs="Arial" w:eastAsia="Arial" w:hAnsi="Arial"/>
          <w:sz w:val="15"/>
          <w:szCs w:val="15"/>
          <w:b w:val="1"/>
          <w:bCs w:val="1"/>
          <w:i w:val="1"/>
          <w:iCs w:val="1"/>
          <w:color w:val="auto"/>
        </w:rPr>
        <w:t>We are subject to stringent and changing laws, regulations and standards, and contractual obligations related to privacy, data protection, and data security. The actual or perceived failure to comply with such obligations could lead to government enforcement actions (which could include civil or criminal penalties), fines and sanctions, private litigation and/or adverse publicity and could negatively affect our operating results and business.</w:t>
      </w:r>
    </w:p>
    <w:p>
      <w:pPr>
        <w:spacing w:after="0" w:line="23"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We and third parties who we work with are or may become subject to numerous domestic and foreign data protection laws and regulations (i.e., laws and regulations that address privacy and data security), the scope of which is changing, subject to differing applications and interpretations, and may be inconsistent among countries, or conflict with other rules. We are or may become subject to the terms of contractual obligations related to privacy, data protection, and data security. The actual or perceived failure by us or related third parties to comply with such obligations could increase our compliance and operational costs, expose us to regulatory scrutiny, actions, fines and penalties, result in reputational harm, lead to a loss of customers, result in litigation and liability, and otherwise cause a material adverse effect on our business, financial condition, and results of operations.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86"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civil and criminal penalties if we obtain, use, or disclose individually identifiable health information maintained by a HIPAA-covered entity in a manner that is not authorized or permitted by HIPAA.</w:t>
      </w:r>
    </w:p>
    <w:p>
      <w:pPr>
        <w:spacing w:after="0" w:line="17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state of California recently enacted the CCPA, which creates new individual privacy rights for California consumers and places increased privacy and data security obligations on entities handling personal information of consumers or households. The CCPA went into effect on January 1, 2020 and may impact our business activities and exemplifies the vulnerability of our business to the evolving regulatory environment related to personal information and protected health information. Additionally, although not effective until January 1, 2023, the California Privacy Rights Act, or the CPRA, which expands upon the CCPA, was passed in the election on November 3, 2020. The CCPA gives (and the CPRA will give) California residents expanded privacy rights, including the right to request correction, access, and deletion of their personal information, the right to opt out of certain personal information sharing, and the right to receive detailed information about how their personal information is processed. The CCPA and CPRA provide for civil penalties and a private right of action for data breaches that is expected to increase data breach litigation. The CCPA and CPRA may increase our compliance costs and potential liability. Additionally, the CCPA has prompted a number of proposals for new federal and state- level privacy legislation, such as in Virginia, Washington, Illinois, and Nebraska, that, could increase our potential liability, increase our compliance costs, and adversely affect our business.</w:t>
      </w:r>
    </w:p>
    <w:p>
      <w:pPr>
        <w:spacing w:after="0" w:line="182"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Foreign data protection laws, including Regulation 2016/679, known as the General Data Protection Regulation, or GDPR, may apply to health-related and other personal information obtained outside of the United States. The GDPR imposes strict obligations on businesses, including requiring changes to informed consent practices and more detailed notices for clinical trial subjects and investigators, requiring limitations on data processing, establishing a legal basis for processing personal information, notification of data processing obligations, notification of security incidents to appropriate data protection authorities or data subjects, protecting the security and confidentiality of the personal information, and establishing means for data subjects to exercise rights in relation to their personal information. The GDPR subjects noncompliant companies to fines of up to the greater of 20 million Euros or 4% of their global annual revenues, potential bans on processing of personal information (including clinical trials), and private litigation. To the extent applicable, the GDPR will increase our responsibility and liability in relation to personal information that we process, and we may be required to put in place additional mechanisms and expend additional time and resources to ensure compliance with the EU data protection rules. Additionally, the United Kingdom, or UK, implemented the Data Protection Act effective in May 2018 and statutorily amended in 2019, that substantially implements the GDPR and contains provisions, including UK-specific derogations, for how GDPR is applied in the UK. Changes in these legislations may add additional complexity, variation in requirements, restrictions and potential legal risk, require additional investment in resources for compliance programs, could impact strategies and availability of previously useful data, and could result in increased compliance costs and/or changes in business practices and policies.</w:t>
      </w:r>
    </w:p>
    <w:p>
      <w:pPr>
        <w:spacing w:after="0" w:line="184"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In addition, European data protection laws prohibit the transfer of personal information to countries outside of the European Economic Area, or EEA, United Kingdom, and Switzerland, such as the United States, which are not considered by the European Commission to provide an adequate level of data protection. Switzerland has adopted similar restrictions. Although there are legal mechanisms to allow for the transfer of personal information from the EEA, United Kingdom, and Switzerland to the United States and other countries, they are or may become subject to legal challenges that, if successful, could invalidate these mechanisms, restrict our ability to process personal information of Europeans outside of Europe and adversely impact our business. For example, in July 2020, the European Courts of Justice invalidated the EU-U.S. Privacy Shield, which enabled the transfer of personal information from EU to the U.S. for companies that had self-certified to the Privacy Shield on the grounds that the EU-U.S. Privacy Shield failed to offer adequate protections to EU personal information transferred to the United States. While the Court of Justice did not invalidate the use of other data transfer mechanisms such as the Standard</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86"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Contractual Clauses, the decision has led to some uncertainty regarding the use of such mechanisms for data transfers to the United States, and the court made clear that reliance on Standard Contractual Clauses alone may not necessarily be sufficient in all circumstances. The use of Standard Contractual Clauses for the transfer of personal information specifically to the United States also remains under review by a number of European data protection supervisory authorities. For example, German and Irish supervisory authorities have indicated that the Standard Contractual Clauses alone provide inadequate protection for EU-U.S. data transfers. Use of the data transfer mechanisms must now be assessed on a case-by-case basis taking into account the legal regime applicable in the destination country, in particular applicable surveillance laws and rights of individuals. The European Data Protection Board, or the EDPB, issued additional guidance regarding the Court of Justice’s decision on November 11, 2020 which imposes higher burdens on the use of data transfer mechanisms, such as the Standard Contractual Clauses, for cross-border data transfers.</w:t>
      </w:r>
    </w:p>
    <w:p>
      <w:pPr>
        <w:spacing w:after="0" w:line="165"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To comply with this guidance, we may need to implement additional safeguards to further enhance the security of data transferred out of the Europe, which could increase our compliance costs, expose us to further regulatory scrutiny and liability, and adversely affect our business. Further, the European Commission published new versions of the Standard Contractual Clauses for comment. While the comment period ended in December 2020, the European Commission is expected to finalize and implement the new Standard Contractual Clauses in early 2021. Additionally, other countries (e.g., Australia and Japan) have adopted certain legal requirements for cross-border transfers of personal information. These obligations may be interpreted and applied in a manner that is inconsistent from one jurisdiction to another and may conflict with other requirements or our practices. Further, since the transition period for Brexit ended December 31, 2020, there remains some uncertainty regarding cross-border data transfers from Europe to the United Kingdom. The EU issued a draft adequacy decision for personal information transfers from European countries to the U.K. on February 19, 2021. If this adequacy decision is not passed by the EU, it would require that companies implement protection measures such as the Standard Contractual Clauses for data transfers between Europe and the U.K. Some countries also are considering or have passed legislation requiring local storage and processing of data, or similar requirements, which could increase the cost and complexity of our business operations. To comply these requirements and as supervisory authorities continue to issue further guidance, we may need to implement additional safeguards to further enhance the security of data transferred out of Europe, we could suffer additional costs, complaints, or regulatory investigations or fines, and if we are otherwise unable to transfer personal information between and among countries and regions in which we operate, it could affect the manner in which we provide our products and services, the geographical location or segregation of our relevant systems and operations, and could adversely affect our financial results.</w:t>
      </w:r>
    </w:p>
    <w:p>
      <w:pPr>
        <w:spacing w:after="0" w:line="167"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Other countries outside of Europe have enacted or are considering enacting similar cross-border data transfer restrictions and laws requiring local data residency and restricting cross-border data transfer, which could increase the cost and complexity of delivering our services and operating our business. For example, Brazil recently enacted the General Data Protection Law (Lei Geral de Proteção de Dados Pessoais or LGPD) (Law No. 13,709/2018), which broadly regulates the processing of personal information and imposes compliance obligations and penalties comparable to those of the GDPR.</w:t>
      </w:r>
    </w:p>
    <w:p>
      <w:pPr>
        <w:spacing w:after="0" w:line="15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We are or may become subject to the terms of external and internal privacy and security policies, representations, certifications, publications related to privacy and security.</w:t>
      </w:r>
    </w:p>
    <w:p>
      <w:pPr>
        <w:spacing w:after="0" w:line="170"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Compliance with domestic and foreign privacy, data security, and data protection laws, regulations, and contractual and other obligations could require us to take on more onerous obligations in our contracts, restrict our ability to collect, use and disclose data, or in some cases, impact our ability to operate in certain jurisdictions. The actual or perceived failure to comply with domestic and foreign privacy, data privacy, and data protection laws and regulations could result in government enforcement actions (which could include civil, criminal, and administrative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privacy, data security, and data protection laws, or breached our contractual obligations, even if we are not found liable, could be expensive and time consuming to defend and could result in adverse publicity that could harm our business.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86"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62"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Our current operations are primarily located in San Francisco, California. Any unplanned event, such as earthquake, flood, fire, explosion, extreme weather conditions, medical epidemic or pandemic, power shortage, telecommunication failure or other natural or man-made accident or incident that results in our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and have a material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could have a material and adverse effect on our business, financial condition, results of operations and prospects.</w:t>
      </w:r>
    </w:p>
    <w:p>
      <w:pPr>
        <w:spacing w:after="0" w:line="284"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may have a material adverse effect on our business, cash flow, financial condition or results of operations.</w:t>
      </w:r>
    </w:p>
    <w:p>
      <w:pPr>
        <w:spacing w:after="0" w:line="62"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Cuts and Jobs Act of 2017, or the Tax Cuts and Jobs Act, enacted many significant changes to the U.S. tax laws. Future guidance from the Internal Revenue Service and other tax authorities with respect to the Tax Cuts and Jobs Act may affect us, and certain aspects of the Tax Cuts and Jobs Act could be repealed or modified in future legislation. For example, the CARES Act modified certain provisions of the Tax Cuts and Jobs Act. In addition, it is uncertain if and to what extent various states will conform to the Tax Cuts and Jobs Act, the CARES Act, or any newly enacted federal tax legislation. Changes in corporate tax rates, the realization of net deferred tax assets relating to our operations, the taxation of foreign earnings, and the deductibility of expenses under the Tax Cuts and Jobs Act, the CARES Act or future reform legislation could have a material impact on the value of our deferred tax assets, could result in significant one-time charges, and could increase our future U.S. tax expense.</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We have incurred substantial losses during our history and do not expect to become profitable in the near future, and we may never achieve profitability. Unused losses incurred in taxable years beginning on or prior to December 31, 2017, will carry forward to offset future taxable income, if any, until such unused losses expire. Under the Tax Cuts and Jobs Act, as modified by the CARES Act, unused U.S. federal net operating losses generated in tax years beginning after December 31, 2017, will not expire and may be carried forward indefinitely but the deductibility of such federal net operating losses in taxable years beginning after December 31, 2020, is limited to 80% of current year taxable income. It is uncertain if and to what extent various states will conform to the Tax Cuts and Jobs Act or the CARES Act. In addition, both our current and our future unused losses and other tax attributes may be subject to limitation under Sections 382 and 383 of the Internal Revenue Code of 1986, as amended, or the Code, if we undergo, or have undergone, an “ownership change,” generally defined as a greater than 50 percentage point change (by value) in our equity ownership by certain stockholders over a three-year period. We have not completed a Section 382 study to assess whether an ownership change has occurred or whether there have been multiple ownership changes since our formation due to the complexity and cost associated with such a study and the fact that</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86"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there may be additional ownership changes in the future. As a result, our net operating loss carryforwards generated in taxable years beginning on or before December 31, 2017, may expire prior to being used, and the deductibility of our net operating loss carryforwards generated in taxable years beginning after December 31, 2017 may be limited, and, if we undergo an ownership change (or if we previously underwent such an ownership change), our ability to use all of our pre-change net operating loss carryforwards and other pre-change tax attributes (such as research tax credits) to offset our post-change income or taxes may be limited. Similar provisions of state tax law may also apply to limit our use of accumulated state tax attributes. In addition, at the state level, there may be periods during which the use of net operating losses is suspended or otherwise limited, which could accelerate or permanently increase state taxes owed. As a result, even if we attain profitability, we may be unable to use all or a material portion of our net operating losses and other tax attributes, which could adversely affect our future cash flows.</w:t>
      </w:r>
    </w:p>
    <w:p>
      <w:pPr>
        <w:spacing w:after="0" w:line="286" w:lineRule="exact"/>
        <w:rPr>
          <w:sz w:val="20"/>
          <w:szCs w:val="20"/>
          <w:color w:val="auto"/>
        </w:rPr>
      </w:pPr>
    </w:p>
    <w:p>
      <w:pPr>
        <w:ind w:left="120" w:right="800"/>
        <w:spacing w:after="0" w:line="277" w:lineRule="auto"/>
        <w:rPr>
          <w:sz w:val="20"/>
          <w:szCs w:val="20"/>
          <w:color w:val="auto"/>
        </w:rPr>
      </w:pPr>
      <w:r>
        <w:rPr>
          <w:rFonts w:ascii="Arial" w:cs="Arial" w:eastAsia="Arial" w:hAnsi="Arial"/>
          <w:sz w:val="18"/>
          <w:szCs w:val="18"/>
          <w:b w:val="1"/>
          <w:bCs w:val="1"/>
          <w:i w:val="1"/>
          <w:iCs w:val="1"/>
          <w:color w:val="auto"/>
        </w:rPr>
        <w:t>We have engaged, and will continue to engage, in strategic transactions that could impact our liquidity, increase our expenses and present significant distractions to our management.</w:t>
      </w:r>
    </w:p>
    <w:p>
      <w:pPr>
        <w:spacing w:after="0" w:line="62" w:lineRule="exact"/>
        <w:rPr>
          <w:sz w:val="20"/>
          <w:szCs w:val="20"/>
          <w:color w:val="auto"/>
        </w:rPr>
      </w:pPr>
    </w:p>
    <w:p>
      <w:pPr>
        <w:ind w:left="120" w:right="340"/>
        <w:spacing w:after="0" w:line="291" w:lineRule="auto"/>
        <w:rPr>
          <w:sz w:val="20"/>
          <w:szCs w:val="20"/>
          <w:color w:val="auto"/>
        </w:rPr>
      </w:pPr>
      <w:r>
        <w:rPr>
          <w:rFonts w:ascii="Arial" w:cs="Arial" w:eastAsia="Arial" w:hAnsi="Arial"/>
          <w:sz w:val="16"/>
          <w:szCs w:val="16"/>
          <w:color w:val="auto"/>
        </w:rPr>
        <w:t>We have engaged, for instance with affiliates of Takeda Pharmaceutical Company Limited, Viracta Therapeutics, Inc. and Merck KGaA, Darmstadt, Germany, and from time to time, we may consider further strategic transactions, such as acquisitions of companies, businesses or assets</w:t>
      </w:r>
    </w:p>
    <w:p>
      <w:pPr>
        <w:ind w:left="120" w:right="20"/>
        <w:spacing w:after="0" w:line="271" w:lineRule="auto"/>
        <w:rPr>
          <w:sz w:val="20"/>
          <w:szCs w:val="20"/>
          <w:color w:val="auto"/>
        </w:rPr>
      </w:pPr>
      <w:r>
        <w:rPr>
          <w:rFonts w:ascii="Arial" w:cs="Arial" w:eastAsia="Arial" w:hAnsi="Arial"/>
          <w:sz w:val="17"/>
          <w:szCs w:val="17"/>
          <w:color w:val="auto"/>
        </w:rPr>
        <w:t>and out-licensing or in-licensing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term or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84" w:lineRule="exact"/>
        <w:rPr>
          <w:sz w:val="20"/>
          <w:szCs w:val="20"/>
          <w:color w:val="auto"/>
        </w:rPr>
      </w:pPr>
    </w:p>
    <w:p>
      <w:pPr>
        <w:ind w:left="540" w:hanging="424"/>
        <w:spacing w:after="0"/>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130" w:lineRule="exact"/>
        <w:rPr>
          <w:rFonts w:ascii="Arial" w:cs="Arial" w:eastAsia="Arial" w:hAnsi="Arial"/>
          <w:sz w:val="18"/>
          <w:szCs w:val="18"/>
          <w:color w:val="auto"/>
        </w:rPr>
      </w:pPr>
    </w:p>
    <w:p>
      <w:pPr>
        <w:ind w:left="540" w:right="400" w:hanging="424"/>
        <w:spacing w:after="0" w:line="277" w:lineRule="auto"/>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 in order to develop acquired products, product candidates or technologies;</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equity securities to pay for acquisitions;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write-downs of assets or goodwill or impairment charges;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difficulty and cost in combining the operations, systems and personnel of any acquired businesses with our operations, systems and personnel;</w:t>
      </w:r>
    </w:p>
    <w:p>
      <w:pPr>
        <w:spacing w:after="0" w:line="153" w:lineRule="exact"/>
        <w:rPr>
          <w:rFonts w:ascii="Arial" w:cs="Arial" w:eastAsia="Arial" w:hAnsi="Arial"/>
          <w:sz w:val="16"/>
          <w:szCs w:val="16"/>
          <w:color w:val="auto"/>
        </w:rPr>
      </w:pPr>
    </w:p>
    <w:p>
      <w:pPr>
        <w:ind w:left="540" w:hanging="424"/>
        <w:spacing w:after="0"/>
        <w:tabs>
          <w:tab w:leader="none" w:pos="5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impairment of relationships with key suppliers or customers of any acquired businesses due to changes in management and ownership; and</w:t>
      </w:r>
    </w:p>
    <w:p>
      <w:pPr>
        <w:spacing w:after="0" w:line="142" w:lineRule="exact"/>
        <w:rPr>
          <w:rFonts w:ascii="Arial" w:cs="Arial" w:eastAsia="Arial" w:hAnsi="Arial"/>
          <w:sz w:val="17"/>
          <w:szCs w:val="17"/>
          <w:color w:val="auto"/>
        </w:rPr>
      </w:pPr>
    </w:p>
    <w:p>
      <w:pPr>
        <w:ind w:left="540" w:hanging="424"/>
        <w:spacing w:after="0"/>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inability to retain key employees of any acquired businesses.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b w:val="1"/>
          <w:bCs w:val="1"/>
          <w:i w:val="1"/>
          <w:iCs w:val="1"/>
          <w:color w:val="auto"/>
        </w:rPr>
        <w:t>If we are unable to obtain and maintain patent protection or other necessary rights for our products and technology, or if the scope of the patent protection obtained is not sufficiently broad or our rights under our patents (owned, co-owned or licensed) is not sufficiently broad, our competitors could develop and commercialize products and technology similar or identical to ours, and our ability to successfully commercialize our products and technology may be adversely affected.</w:t>
      </w:r>
    </w:p>
    <w:p>
      <w:pPr>
        <w:spacing w:after="0" w:line="7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Our commercial success depends in part on our ability to obtain and maintain proprietary or intellectual property protection in the United States and other countries for our current product candidates and future products, as well as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86"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our core technologies, including our manufacturing know-how. We strive to protect and enhance the proprietary technology, inventions and improvements that are commercially important to the development of our business by seeking, maintaining and defending our intellectual property, whether developed internally or licensed from third parties. We also rely on trade secrets, know-how, continuing technological innovation and in-licensing opportunities to develop, strengthen and maintain our proprietary position in the field of cancer drug development. Additionally, we intend to rely on regulatory protection afforded through rare drug designations, data exclusivity and market exclusivity as well as patent term extensions, where available.</w:t>
      </w:r>
    </w:p>
    <w:p>
      <w:pPr>
        <w:spacing w:after="0" w:line="192"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 The degree of patent protection we require to successfully compete in the marketplace may be unavailable or severely limited in some cases and may not adequately protect our rights or permit us to gain or keep any competitive advantage. We cannot provide any assurances that any of our own or licensed patent applications will mature into issued patents, and cannot provide any assurances that any such patents, if issued, will include claims with a scope sufficient to protect our current and future product candidates or otherwise provide any competitive advantage. Additionally, patents can be enforced only in those jurisdictions in which the patent has issued. Furthermore, patents have a limited lifespan. In the United States, the natural expiration of a patent is generally twenty years after its first nonprovisional U.S. filing. The natural expiration of a patent outside of the United States varies in accordance with provisions of applicable local law, but is generally 20 years from the earliest local filing date. Various extensions may be available; however, the life of a patent, and the protection it affords, is limited. Given the amount of time required for the development, testing and regulatory review of new product candidates, patents protecting such candidates might expire before or shortly after such candidates are commercialized.</w:t>
      </w:r>
    </w:p>
    <w:p>
      <w:pPr>
        <w:spacing w:after="0" w:line="182"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Moreover, our exclusive licenses may be subject to field restrictions and retained rights, which may adversely impact our competitive position. See “Business—License agreement.” Our licensed patent portfolio may not provide us with adequate and continuing patent protection sufficient to exclude others from commercializing products similar to our product candidates, including generic versions of such products. In addition, the patent portfolio licensed to us is, or may be, licensed to third parties outside our licensed field, and such third parties may have certain enforcement rights. Thus, patents licensed to us could be put at risk of being invalidated or interpreted narrowly in litigation filed by or against another licensee or in administrative proceedings brought by or against another licensee in response to such litigation or for other reasons.</w:t>
      </w:r>
    </w:p>
    <w:p>
      <w:pPr>
        <w:spacing w:after="0" w:line="178"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Publications of discoveries in the scientific literature often lag behind the actual discoveries, and patent applications in the United States and in other jurisdictions are typically not published until 18 months after filing, or in some cases not at all. Therefore, we cannot know with certainty whether the inventors of our patents and applications were the first to make the inventions claimed in those patents or pending patent applications, or that they were the first to file for patent protection of such inventions. Further, we cannot assure you that all of the potentially relevant prior art relating to our patents and patent applications has been found. If such prior art exists, it can invalidate a patent or prevent a patent from issuing from a pending patent application. As a result, the issuance, scope, validity and commercial value of our patent rights cannot be predicted with any certainty. Further,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168"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In addition, the patent prosecution process is expensive and time-consuming, and we or our licensors may not be able to file and prosecute all necessary or desirable patent applications at a reasonable cost or in a timely manner. In addition, the scope of the claims initially submitted for examination may be significantly narrowed by the time they issue, if at all. It is also possible that we or our licensors will fail to identify patentable aspects of our research and development output before it is too late to obtain patent protection. We cannot provide any assurances that we will be able to pursue or obtain additional patent protection based on our research and development efforts, or that any such patents or other intellectual property we generate will provide any competitive advantage. Moreover, we do not have the right to control the preparation, filing and prosecution of patent applications, or to control the maintenance of the patents, covering technology that we license from third parties. Therefore, these patents and applications may not be filed, prosecuted or maintained in a manner consistent with the best interests of our business.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86"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Even if we acquire patent protection that we expect should enable us to maintain competitive advantage, the issuance of a patent is not conclusive as to its inventorship, scope, validity or enforceability. Third parties, including competitors, may challenge the inventorship, scope, validity, or enforceability thereof, which may result in such patents being narrowed, invalidated or held unenforceable. If issued, our patents may be challenged in patent offices in the United States and abroad, or in court. For example, we may be subject to a third-party submission of prior art to the U.S. Patent and Trademark Office, or USPTO, challenging the validity of one or more claims of our patents, once issued. Such submissions may also be made prior to a patent’s issuance, precluding the granting of a patent based on one of our patent applications. We may become involved in opposition, reexamination, inter partes review, post-grant review, derivation, interference, or similar proceedings in the United States or abroad challenging the claims of our patents, once issued. Furthermore, patents may be challenged in court, once issued. Competitors may claim that they invented the inventions claimed in such patents or patent applications prior to the inventors of our patents, or may have filed patent applications before the inventors of our patents did. A competitor may also claim that we are infringing its patents and that we therefore cannot practice our technology as claimed under our patent applications and patents, if issued. As a result, one or more claims of our patents may be narrowed or invalidated. In litigation, a competitor could claim that our patents, if issued, are not valid for a number of reasons. If a court agrees, we would lose our rights to those challenged patents.</w:t>
      </w:r>
    </w:p>
    <w:p>
      <w:pPr>
        <w:spacing w:after="0" w:line="168"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Even if they are unchallenged, our patents and pending patent applications, if issued, may not provide us with any meaningful protection or prevent competitors from designing around our patent claims to circumvent our patents by developing similar or alternative technologies or therapeutics in a non-infringing manner. For example, even if we have a valid and enforceable patent, we may not be able to exclude others from practicing our invention if the other party can show that they used the invention in commerce before our filing date or the other party benefits from a compulsory license. If the patent protection provided by the patents and patent applications we hold or pursue with respect to our product candidates is not sufficiently broad to impede such competition, our ability to successfully commercialize our product candidates could be negatively affected, which would harm our business. Certain regulatory exclusivities may be available, however, the scope of such regulatory exclusivities is subject to change, and may not provide us with adequate and continuing protection sufficient to exclude others from commercializing products similar to our product candidates.</w:t>
      </w:r>
    </w:p>
    <w:p>
      <w:pPr>
        <w:spacing w:after="0" w:line="273" w:lineRule="exact"/>
        <w:rPr>
          <w:sz w:val="20"/>
          <w:szCs w:val="20"/>
          <w:color w:val="auto"/>
        </w:rPr>
      </w:pPr>
    </w:p>
    <w:p>
      <w:pPr>
        <w:ind w:left="120" w:right="720"/>
        <w:spacing w:after="0" w:line="308" w:lineRule="auto"/>
        <w:rPr>
          <w:sz w:val="20"/>
          <w:szCs w:val="20"/>
          <w:color w:val="auto"/>
        </w:rPr>
      </w:pPr>
      <w:r>
        <w:rPr>
          <w:rFonts w:ascii="Arial" w:cs="Arial" w:eastAsia="Arial" w:hAnsi="Arial"/>
          <w:sz w:val="17"/>
          <w:szCs w:val="17"/>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38"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or which effectively prevent others from commercializing competitive product candidates.</w:t>
      </w:r>
    </w:p>
    <w:p>
      <w:pPr>
        <w:spacing w:after="0" w:line="171"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Moreover, the coverage claimed in a patent application can be significantly reduced before the patent is issued, and its scope can be reinterpreted after issuance. Even if patent applications we own or in-license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our product candidates will be protectable or remain protected by valid and enforceable patents. Our competitors or other third parties may be able to circumvent our patents or the patents of our licensors by developing similar or alternative technologies or products in a non-infringing manner which could materially adversely affect our business, financial condition, results of operations and prospects.</w:t>
      </w:r>
    </w:p>
    <w:p>
      <w:pPr>
        <w:spacing w:after="0" w:line="192"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 xml:space="preserve">The issuance of a patent is not conclusive as to its inventorship, scope, validity or enforceability, and our patents or the patents of our licensors may be challenged in the courts or patent offices in the United States and abroad. We may be subject to a third-party pre-issuance submission of prior art to the USPTO, or become involved in opposition, derivation, revocation, reexamination, post-grant review, and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other similar proceedings challenging our owned patent rights. An adverse determination in any such submission, proceeding or</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00"/>
          </w:cols>
          <w:pgMar w:left="320" w:top="486" w:right="4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8" w:lineRule="auto"/>
        <w:rPr>
          <w:sz w:val="20"/>
          <w:szCs w:val="20"/>
          <w:color w:val="auto"/>
        </w:rPr>
      </w:pPr>
      <w:r>
        <w:rPr>
          <w:rFonts w:ascii="Arial" w:cs="Arial" w:eastAsia="Arial" w:hAnsi="Arial"/>
          <w:sz w:val="16"/>
          <w:szCs w:val="16"/>
          <w:color w:val="auto"/>
        </w:rPr>
        <w:t>litigation could reduce the scope of, or invalidate or render unenforceable, our patent rights, allow third parties to commercialize our product candidates and compete directly with us, without payment to us, or result in our inability to manufacture or commercialize products without infringing third-party patent rights. Moreover, our patents or the patents of our licensors may become subject to post-grant challenge proceedings, such as oppositions in a foreign patent office, that challenge our priority of invention or other features of patentability with respect to our patents and patent applications and those of our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our licensors is threatened, regardless of the outcome, it could dissuade companies from collaborating with us to license, develop or commercialize current or future product candidates.</w:t>
      </w:r>
    </w:p>
    <w:p>
      <w:pPr>
        <w:spacing w:after="0" w:line="168"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Furthermore, the issuance of a patent does not give us the right to practice the patented invention. Third parties may have blocking patents that could prevent us from marketing our own patented product and practicing our own patented technology.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76" w:lineRule="exact"/>
        <w:rPr>
          <w:sz w:val="20"/>
          <w:szCs w:val="20"/>
          <w:color w:val="auto"/>
        </w:rPr>
      </w:pPr>
    </w:p>
    <w:p>
      <w:pPr>
        <w:ind w:left="540" w:right="60" w:hanging="424"/>
        <w:spacing w:after="0" w:line="277" w:lineRule="auto"/>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others may be able to develop products that are similar to our product candidates but that are not covered by the claims of the patents that we own or license;</w:t>
      </w:r>
    </w:p>
    <w:p>
      <w:pPr>
        <w:spacing w:after="0" w:line="75" w:lineRule="exact"/>
        <w:rPr>
          <w:rFonts w:ascii="Arial" w:cs="Arial" w:eastAsia="Arial" w:hAnsi="Arial"/>
          <w:sz w:val="18"/>
          <w:szCs w:val="18"/>
          <w:color w:val="auto"/>
        </w:rPr>
      </w:pPr>
    </w:p>
    <w:p>
      <w:pPr>
        <w:ind w:left="540" w:right="220" w:hanging="424"/>
        <w:spacing w:after="0" w:line="277" w:lineRule="auto"/>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or our licensors or collaborators might not have been the first to make the inventions covered by the issued patents or patent application that we own or license;</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or our licensors or collaborators might not have been the first to file patent applications covering certain of our inventions;</w:t>
      </w:r>
    </w:p>
    <w:p>
      <w:pPr>
        <w:spacing w:after="0" w:line="130" w:lineRule="exact"/>
        <w:rPr>
          <w:rFonts w:ascii="Arial" w:cs="Arial" w:eastAsia="Arial" w:hAnsi="Arial"/>
          <w:sz w:val="18"/>
          <w:szCs w:val="18"/>
          <w:color w:val="auto"/>
        </w:rPr>
      </w:pPr>
    </w:p>
    <w:p>
      <w:pPr>
        <w:ind w:left="540" w:right="460" w:hanging="424"/>
        <w:spacing w:after="0" w:line="277" w:lineRule="auto"/>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it is possible that the pending patent applications we own or license will not lead to issued patents;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issued patents that we own or license may be held invalid or unenforceable, as a result of legal challenges by our competitors;</w:t>
      </w:r>
    </w:p>
    <w:p>
      <w:pPr>
        <w:spacing w:after="0" w:line="130" w:lineRule="exact"/>
        <w:rPr>
          <w:rFonts w:ascii="Arial" w:cs="Arial" w:eastAsia="Arial" w:hAnsi="Arial"/>
          <w:sz w:val="18"/>
          <w:szCs w:val="18"/>
          <w:color w:val="auto"/>
        </w:rPr>
      </w:pPr>
    </w:p>
    <w:p>
      <w:pPr>
        <w:ind w:left="540" w:right="160" w:hanging="424"/>
        <w:spacing w:after="0" w:line="277" w:lineRule="auto"/>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may fail to adequately protect and police our trademarks and trade secrets; and</w:t>
      </w:r>
    </w:p>
    <w:p>
      <w:pPr>
        <w:spacing w:after="0" w:line="130" w:lineRule="exact"/>
        <w:rPr>
          <w:rFonts w:ascii="Arial" w:cs="Arial" w:eastAsia="Arial" w:hAnsi="Arial"/>
          <w:sz w:val="18"/>
          <w:szCs w:val="18"/>
          <w:color w:val="auto"/>
        </w:rPr>
      </w:pPr>
    </w:p>
    <w:p>
      <w:pPr>
        <w:ind w:left="540" w:right="620" w:hanging="424"/>
        <w:spacing w:after="0" w:line="277" w:lineRule="auto"/>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third-party may subsequently file a patent covering such intellectual property.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Should any of these events occur, it could significantly harm our business, results of operations and prospects.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00"/>
          </w:cols>
          <w:pgMar w:left="320" w:top="486" w:right="4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76"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w:t>
      </w:r>
    </w:p>
    <w:p>
      <w:pPr>
        <w:spacing w:after="0" w:line="181"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There may also be patent applications that, if issued as patents, could be asserted against us. Patent applications in the United States and elsewhere are typically published approximately 18 months after the earliest filing for which priority is claimed, with such earliest filing date being commonly referred to as the priority date. Certain U.S. patent applications that will not be filed outside the United States can remain confidential until patents issue. Therefore, patent applications covering our product candidates could have been filed by third parties without our knowledge. Additionally, pending patent applications that have been published can, subject to certain limitations, be later amended in a manner that could cover our product candidates and their uses or manufacturing processes.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 candidates. Further, we may incorrectly determine that our product candidates and their uses and manufacturing processes are not covered by a third-party patent or may incorrectly predict whether a third-party’s pending patent application will issue with claims of relevant scope. Our determination of the expiration date of any patent in the United States or abroad that we consider relevant may be incorrect, which may negatively impact our ability to develop and market our product candidates. Third-party intellectual property right holders may also actively bring infringement or other intellectual property-related claims against us, even if we have received patent protection for our product candidates and the relevant uses and processes.</w:t>
      </w:r>
    </w:p>
    <w:p>
      <w:pPr>
        <w:spacing w:after="0" w:line="174"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As the biopharmaceutical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 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Any claims of patent infringement asserted by third parties would be time consuming and could:</w:t>
      </w:r>
    </w:p>
    <w:p>
      <w:pPr>
        <w:spacing w:after="0" w:line="87" w:lineRule="exact"/>
        <w:rPr>
          <w:sz w:val="20"/>
          <w:szCs w:val="20"/>
          <w:color w:val="auto"/>
        </w:rPr>
      </w:pPr>
    </w:p>
    <w:p>
      <w:pPr>
        <w:ind w:left="540" w:hanging="424"/>
        <w:spacing w:after="0"/>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result in costly litigation that may cause negative publicity;</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cause development delays;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86"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 w:hanging="424"/>
        <w:spacing w:after="0" w:line="277"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prevent us from commercializing any of our product candidates until the asserted patent expires or is held finally invalid or not infringed in a court of law;</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subject us to significant liability to third parties; or</w:t>
      </w:r>
    </w:p>
    <w:p>
      <w:pPr>
        <w:spacing w:after="0" w:line="130" w:lineRule="exact"/>
        <w:rPr>
          <w:rFonts w:ascii="Arial" w:cs="Arial" w:eastAsia="Arial" w:hAnsi="Arial"/>
          <w:sz w:val="18"/>
          <w:szCs w:val="18"/>
          <w:color w:val="auto"/>
        </w:rPr>
      </w:pPr>
    </w:p>
    <w:p>
      <w:pPr>
        <w:ind w:left="540" w:right="20" w:hanging="424"/>
        <w:spacing w:after="0" w:line="277"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170"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Although no third-party has asserted a claim of patent infringement against us as of June 30,2021, others may hold proprietary rights that could prevent our product candidates from being marketed. It is possible that a third-party may assert a claim of patent infringement directed at any of our product candidates. Any patent-related legal action against us claiming damages and seeking to enjoin commercial activities relating to our product candidates,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current and/or future strategic partners were able to obtain a license, the rights may be nonexclusive, which could result in our competitors gaining access to the same intellectual property. In addition, we cannot be certain that we could redesign our product candidates,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spacing w:after="0" w:line="174"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284" w:lineRule="exact"/>
        <w:rPr>
          <w:sz w:val="20"/>
          <w:szCs w:val="20"/>
          <w:color w:val="auto"/>
        </w:rPr>
      </w:pPr>
    </w:p>
    <w:p>
      <w:pPr>
        <w:ind w:left="120" w:right="600"/>
        <w:spacing w:after="0" w:line="263" w:lineRule="auto"/>
        <w:rPr>
          <w:sz w:val="20"/>
          <w:szCs w:val="20"/>
          <w:color w:val="auto"/>
        </w:rPr>
      </w:pPr>
      <w:r>
        <w:rPr>
          <w:rFonts w:ascii="Arial" w:cs="Arial" w:eastAsia="Arial" w:hAnsi="Arial"/>
          <w:sz w:val="18"/>
          <w:szCs w:val="18"/>
          <w:b w:val="1"/>
          <w:bCs w:val="1"/>
          <w:i w:val="1"/>
          <w:iCs w:val="1"/>
          <w:color w:val="auto"/>
        </w:rPr>
        <w:t>Some of our current product candidates and research programs are licensed from third parties. If these license agreements are terminated or interpreted to narrow our rights, our ability to advance our current product candidates or develop new product candidates based on these technologies will be materially adversely affected.</w:t>
      </w:r>
    </w:p>
    <w:p>
      <w:pPr>
        <w:spacing w:after="0" w:line="76"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We now depend on, at least in part, Viracta Therapeutics, Inc., Takeda Pharmaceutical Company Limited, Dana Farber Cancer Institute, Millennium Pharmaceuticals, Inc. and Merck KGaA, Darmstadt, Germany, and will continue to depend on Viracta Therapeutics, Inc., Takeda Pharmaceutical Company Limited, Dana Farber Cancer Institute, Millennium Pharmaceuticals, Inc. and Merck KGaA, Darmstadt, Germany and on licenses and sublicenses from other third parties, as well as potentially on other strategic relationships with third parties, for the research, development, manufacturing and commercialization of our current product candidates. If any of our licenses or relationships or any in-licenses on which our licenses are based are terminated or breached, we may:</w:t>
      </w:r>
    </w:p>
    <w:p>
      <w:pPr>
        <w:spacing w:after="0" w:line="98" w:lineRule="exact"/>
        <w:rPr>
          <w:sz w:val="20"/>
          <w:szCs w:val="20"/>
          <w:color w:val="auto"/>
        </w:rPr>
      </w:pPr>
    </w:p>
    <w:p>
      <w:pPr>
        <w:ind w:left="540" w:hanging="424"/>
        <w:spacing w:after="0"/>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lose our rights to develop and market our current product candidates;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lose patent or trade secret protection for our current product candidates;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experience significant delays in the development or commercialization of our current product candidates;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not be able to obtain any other licenses on acceptable terms, if at all; or</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40"/>
          </w:cols>
          <w:pgMar w:left="320" w:top="486"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incur liability for damages.</w:t>
      </w:r>
    </w:p>
    <w:p>
      <w:pPr>
        <w:spacing w:after="0" w:line="225"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Additionally, even if not terminated or breached, our intellectual property licenses or sublicenses may be subject to disagreements over contract interpretation which could narrow the scope of our rights to the relevant intellectual property or technology or increase our financial or other obligations.</w:t>
      </w:r>
    </w:p>
    <w:p>
      <w:pPr>
        <w:spacing w:after="0" w:line="12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If we experience any of the foregoing, it could have a materially adverse effect on our business and could force us to cease operations which could cause you to lose all of your investment.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If we breach our license agreements, it could have a material adverse effect on our commercialization efforts for our product candidates.</w:t>
      </w:r>
    </w:p>
    <w:p>
      <w:pPr>
        <w:spacing w:after="0" w:line="140"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If we breach any of the agreements under which we license the use, development and commercialization rights to our product candidates or technology from third parties, we could lose license rights that are important to our business. Or 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87" w:lineRule="exact"/>
        <w:rPr>
          <w:sz w:val="20"/>
          <w:szCs w:val="20"/>
          <w:color w:val="auto"/>
        </w:rPr>
      </w:pPr>
    </w:p>
    <w:p>
      <w:pPr>
        <w:ind w:left="120" w:right="200"/>
        <w:spacing w:after="0" w:line="286" w:lineRule="auto"/>
        <w:rPr>
          <w:sz w:val="20"/>
          <w:szCs w:val="20"/>
          <w:color w:val="auto"/>
        </w:rPr>
      </w:pPr>
      <w:r>
        <w:rPr>
          <w:rFonts w:ascii="Arial" w:cs="Arial" w:eastAsia="Arial" w:hAnsi="Arial"/>
          <w:sz w:val="17"/>
          <w:szCs w:val="17"/>
          <w:color w:val="auto"/>
        </w:rPr>
        <w:t>Our current lead product candidates are protected by, among other intellectual property rights, patents and patent applications we co-own and exclusively in-licensed from Sunesis Pharmaceuticals, Inc. (now Viracta Therapeutics, Inc.). Our current lead product candidates and pipeline and our anticipated near-term pipeline may include technologies, licensed from, for example Merck KGaA, Darmstadt, Germany.</w:t>
      </w:r>
    </w:p>
    <w:p>
      <w:pPr>
        <w:spacing w:after="0" w:line="165"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Under the license agreements, we are subject to various obligations, including diligence obligations such as development and commercialization obligations, as well as potential royalty payments and other obligations. If we fail to comply with any of these obligations or otherwise breach our license agreements, our licensors may have the right to terminate the applicable license in whole or in part. Generally, the loss of any one of our current licenses, or any other license we may acquire in the future, could harm our business, prospects, financial condition and results of operations.</w:t>
      </w:r>
    </w:p>
    <w:p>
      <w:pPr>
        <w:spacing w:after="0" w:line="15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76" w:lineRule="exact"/>
        <w:rPr>
          <w:sz w:val="20"/>
          <w:szCs w:val="20"/>
          <w:color w:val="auto"/>
        </w:rPr>
      </w:pPr>
    </w:p>
    <w:p>
      <w:pPr>
        <w:ind w:left="540" w:hanging="424"/>
        <w:spacing w:after="0"/>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30" w:lineRule="exact"/>
        <w:rPr>
          <w:rFonts w:ascii="Arial" w:cs="Arial" w:eastAsia="Arial" w:hAnsi="Arial"/>
          <w:sz w:val="18"/>
          <w:szCs w:val="18"/>
          <w:color w:val="auto"/>
        </w:rPr>
      </w:pPr>
    </w:p>
    <w:p>
      <w:pPr>
        <w:ind w:left="540" w:right="240" w:hanging="424"/>
        <w:spacing w:after="0" w:line="277"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right to sublicense patent and other intellectual property rights to third parties under collaborative development relationships;</w:t>
      </w:r>
    </w:p>
    <w:p>
      <w:pPr>
        <w:spacing w:after="0" w:line="130" w:lineRule="exact"/>
        <w:rPr>
          <w:rFonts w:ascii="Arial" w:cs="Arial" w:eastAsia="Arial" w:hAnsi="Arial"/>
          <w:sz w:val="18"/>
          <w:szCs w:val="18"/>
          <w:color w:val="auto"/>
        </w:rPr>
      </w:pPr>
    </w:p>
    <w:p>
      <w:pPr>
        <w:ind w:left="540" w:right="200" w:hanging="424"/>
        <w:spacing w:after="0" w:line="277"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30" w:lineRule="exact"/>
        <w:rPr>
          <w:rFonts w:ascii="Arial" w:cs="Arial" w:eastAsia="Arial" w:hAnsi="Arial"/>
          <w:sz w:val="18"/>
          <w:szCs w:val="18"/>
          <w:color w:val="auto"/>
        </w:rPr>
      </w:pPr>
    </w:p>
    <w:p>
      <w:pPr>
        <w:ind w:left="540" w:right="640" w:hanging="424"/>
        <w:spacing w:after="0" w:line="277"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 and</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whether and the extent to which inventors are able to contest the assignment of their rights to our licensors.</w:t>
      </w:r>
    </w:p>
    <w:p>
      <w:pPr>
        <w:spacing w:after="0" w:line="225" w:lineRule="exact"/>
        <w:rPr>
          <w:sz w:val="20"/>
          <w:szCs w:val="20"/>
          <w:color w:val="auto"/>
        </w:rPr>
      </w:pPr>
    </w:p>
    <w:p>
      <w:pPr>
        <w:ind w:left="120" w:right="220"/>
        <w:spacing w:after="0" w:line="279" w:lineRule="auto"/>
        <w:rPr>
          <w:sz w:val="20"/>
          <w:szCs w:val="20"/>
          <w:color w:val="auto"/>
        </w:rPr>
      </w:pPr>
      <w:r>
        <w:rPr>
          <w:rFonts w:ascii="Arial" w:cs="Arial" w:eastAsia="Arial" w:hAnsi="Arial"/>
          <w:sz w:val="17"/>
          <w:szCs w:val="17"/>
          <w:color w:val="auto"/>
        </w:rPr>
        <w:t>If disputes over intellectual property that we have licensed prevent or impair our ability to maintain our current licensing arrangements on acceptable terms or at all, we may be unable to successfully develop and commercialize the affected product candidates. In addition, if disputes arise as to ownership of licensed intellectual property, our ability to pursue or enforce the licensed patent rights may be jeopardized. If we or our licensors fail to adequately protect this intellectual property, our ability to commercialize our products could suffer.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86"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53" w:lineRule="auto"/>
        <w:rPr>
          <w:sz w:val="20"/>
          <w:szCs w:val="20"/>
          <w:color w:val="auto"/>
        </w:rPr>
      </w:pPr>
      <w:r>
        <w:rPr>
          <w:rFonts w:ascii="Arial" w:cs="Arial" w:eastAsia="Arial" w:hAnsi="Arial"/>
          <w:sz w:val="18"/>
          <w:szCs w:val="18"/>
          <w:color w:val="auto"/>
        </w:rPr>
        <w:t>In addition, the agreements under which we license intellectual property or technology from third parties, including our licenses with Viracta Therapeutics, Inc., Takeda Pharmaceutical Company Limited, Dana Farber Cancer Institute, Millennium Pharmaceuticals, Inc. and Merck KGaA, Darmstadt, Germany,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license prevent or impair our ability to maintain our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196" w:lineRule="exact"/>
        <w:rPr>
          <w:sz w:val="20"/>
          <w:szCs w:val="20"/>
          <w:color w:val="auto"/>
        </w:rPr>
      </w:pPr>
    </w:p>
    <w:p>
      <w:pPr>
        <w:ind w:left="120" w:right="260"/>
        <w:spacing w:after="0" w:line="257" w:lineRule="auto"/>
        <w:rPr>
          <w:sz w:val="20"/>
          <w:szCs w:val="20"/>
          <w:color w:val="auto"/>
        </w:rPr>
      </w:pPr>
      <w:r>
        <w:rPr>
          <w:rFonts w:ascii="Arial" w:cs="Arial" w:eastAsia="Arial" w:hAnsi="Arial"/>
          <w:sz w:val="18"/>
          <w:szCs w:val="18"/>
          <w:color w:val="auto"/>
        </w:rPr>
        <w:t>In spite of our best efforts, our licensors might conclude that we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spacing w:after="0" w:line="18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295" w:lineRule="exact"/>
        <w:rPr>
          <w:sz w:val="20"/>
          <w:szCs w:val="20"/>
          <w:color w:val="auto"/>
        </w:rPr>
      </w:pPr>
    </w:p>
    <w:p>
      <w:pPr>
        <w:ind w:left="120" w:right="500"/>
        <w:spacing w:after="0" w:line="263" w:lineRule="auto"/>
        <w:rPr>
          <w:sz w:val="20"/>
          <w:szCs w:val="20"/>
          <w:color w:val="auto"/>
        </w:rPr>
      </w:pPr>
      <w:r>
        <w:rPr>
          <w:rFonts w:ascii="Arial" w:cs="Arial" w:eastAsia="Arial" w:hAnsi="Arial"/>
          <w:sz w:val="18"/>
          <w:szCs w:val="18"/>
          <w:b w:val="1"/>
          <w:bCs w:val="1"/>
          <w:i w:val="1"/>
          <w:iCs w:val="1"/>
          <w:color w:val="auto"/>
        </w:rPr>
        <w:t>In the future, we may need to obtain additional licenses of third-party technology that may not be available to us or are available only on commercially unreasonable terms, and which may cause us to operate our business in a more costly or otherwise adverse manner that was not anticipated.</w:t>
      </w:r>
    </w:p>
    <w:p>
      <w:pPr>
        <w:spacing w:after="0" w:line="76"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We seek to expand our product candidate pipeline in part by in-licensing the rights to key technologies. The future growth of our business will depend in part on our ability to in-license or otherwise acquire the rights to additional product candidates or technologies. We cannot assure you that we will be able to in-license or acquire the rights to any product candidates or technologies from third parties on acceptable terms or at all.</w:t>
      </w:r>
    </w:p>
    <w:p>
      <w:pPr>
        <w:spacing w:after="0" w:line="165"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Other companies and academic institutions may also have filed or are planning to file patent applications potentially relevant to our business. From time to time, in order to avoid infringing these third-party patents, we may be required to license technology from third parties to further develop or commercialize our existing or future product candidates. Should we be required to obtain licenses to any third-party technology, including any such patents required to manufacture, use or sell our existing or future product candidates, such licenses may not be available to us on commercially reasonable terms, or at all. The inability to obtain any third-party license required to develop or commercialize any of our existing or future product candidates could cause us to abandon any related efforts, which could seriously harm our business and operations.</w:t>
      </w:r>
    </w:p>
    <w:p>
      <w:pPr>
        <w:spacing w:after="0" w:line="178"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The in-licensing and acquisition of these technologies is a competitive area, and a number of more established companies are also pursuing strategies to license or acquire product candidates or technologies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license rights to us. Furthermore, we may be unable to identify suitable product candidates or technologies within our area of focus. If we are unable to successfully obtain rights to suitable product candidates or technologies, our business, financial condition and prospects could suffer.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40"/>
          </w:cols>
          <w:pgMar w:left="320" w:top="486"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375" w:lineRule="auto"/>
        <w:rPr>
          <w:sz w:val="20"/>
          <w:szCs w:val="20"/>
          <w:color w:val="auto"/>
        </w:rPr>
      </w:pPr>
      <w:r>
        <w:rPr>
          <w:rFonts w:ascii="Arial" w:cs="Arial" w:eastAsia="Arial" w:hAnsi="Arial"/>
          <w:sz w:val="15"/>
          <w:szCs w:val="15"/>
          <w:b w:val="1"/>
          <w:bCs w:val="1"/>
          <w:i w:val="1"/>
          <w:iCs w:val="1"/>
          <w:color w:val="auto"/>
        </w:rPr>
        <w:t>We may be involved in lawsuits to protect or enforce our own patents or our licensors’ patents, which could be expensive, time consuming and unsuccessful. Further, our own issued patents or our licensors’ patents could be found invalid or unenforceable if challenged in court.</w:t>
      </w:r>
    </w:p>
    <w:p>
      <w:pPr>
        <w:spacing w:after="0" w:line="1"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and/or is not infringed. If we or any of our collaborators were to initiate legal proceedings against a third-party to enforce a patent directed at one of our product candidates, the defendant could counterclaim that our patent or the patent of our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lack of sufficient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181"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The outcome following legal assertions of invalidity and/or unenforceability is unpredictable. With respect to the validity question, for example, we cannot be certain that there is no invalidating prior art, of which we, our licensors, and the patent examiners are unaware during prosecution. There is also no assurance that there is not prior art of which we are aware, but which we do not believe affects the validity or enforceability of a claim in our patents and patent applications or the patents and patent applications of our licensors, which may, nonetheless, ultimately be found to affect the validity or enforceability of a claim. If a third-party were to prevail on a legal assertion of invalidity or unenforceability, we would lose at least part, and perhaps all, of the patent protection on our technology, or any product candidates that we may develop. Such a loss of patent protection would have a material adverse impact on our business, financial condition, results of operations and prospects.</w:t>
      </w:r>
    </w:p>
    <w:p>
      <w:pPr>
        <w:spacing w:after="0" w:line="166"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In addition, if the breadth or strength of protection provided by our patents and patent applications or the patents and patent applications of our licensors is threatened, it could dissuade companies from collaborating with us to license, develop or commercialize current or future product candidates.</w:t>
      </w:r>
    </w:p>
    <w:p>
      <w:pPr>
        <w:spacing w:after="0" w:line="124"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costs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64"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292"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62" w:lineRule="exact"/>
        <w:rPr>
          <w:sz w:val="20"/>
          <w:szCs w:val="20"/>
          <w:color w:val="auto"/>
        </w:rPr>
      </w:pPr>
    </w:p>
    <w:p>
      <w:pPr>
        <w:ind w:left="120" w:right="460"/>
        <w:spacing w:after="0" w:line="275" w:lineRule="auto"/>
        <w:rPr>
          <w:sz w:val="20"/>
          <w:szCs w:val="20"/>
          <w:color w:val="auto"/>
        </w:rPr>
      </w:pPr>
      <w:r>
        <w:rPr>
          <w:rFonts w:ascii="Arial" w:cs="Arial" w:eastAsia="Arial" w:hAnsi="Arial"/>
          <w:sz w:val="17"/>
          <w:szCs w:val="17"/>
          <w:color w:val="auto"/>
        </w:rPr>
        <w:t>During the course of any intellectual property litigation, there could be public announcements of the initiation of the litigation as well as results of hearings, rulings on motions, and other interim proceedings or developments in the litigation. If securities analysts or investors regard these announcements as negative, the perceived value of our existing product candidates, approved products, programs or intellectual property could be diminished. Accordingly, the market price of shares of our common stock may decline. Such announcements could also harm our reputation or the market for our product candidates, which could have a material adverse effect on our business.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86"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62"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development programs, license necessary technology from third parties or enter into development or manufacturing partnerships that would help us bring our product candidates to market.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Because of the expense and uncertainty of litigation, we may not be in a position to enforce our intellectual property rights against third parties.</w:t>
      </w:r>
    </w:p>
    <w:p>
      <w:pPr>
        <w:spacing w:after="0" w:line="140"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Because of the expense and uncertainty of litigation, we may conclude that even if a third-party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or it may be otherwise impractical or undesirable to enforce our intellectual property against some third parties. Our competitors or other third parties may be able to sustain the costs of complex patent litigation or proceedings more effectively than we can because of their greater financial resources and more mature and developed intellectual property portfolios. In such cases, we may decide that the more prudent course of action is to simply monitor the situation or initiate or seek some other non-litigious action or solution. In addition, the uncertainties associated with litigation could compromise our ability to raise the funds necessary to continue our product development, in-license needed technology, or enter into development partnerships that would help us bring our product candidates to market.</w:t>
      </w:r>
    </w:p>
    <w:p>
      <w:pPr>
        <w:spacing w:after="0" w:line="304"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b w:val="1"/>
          <w:bCs w:val="1"/>
          <w:i w:val="1"/>
          <w:iCs w:val="1"/>
          <w:color w:val="auto"/>
        </w:rPr>
        <w:t>Recent patent reform legislation could increase the uncertainties and costs surrounding the prosecution of our patent applications and/or those of our licensors and the enforcement or defense of our issued patents and/or those of our licensors.</w:t>
      </w:r>
    </w:p>
    <w:p>
      <w:pPr>
        <w:spacing w:after="0" w:line="38"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third-party was first to invent the claimed invention. A third-party that files a patent application in the USPTO after March 2013 but before us could therefore be awarded a patent covering an invention of ours even if we had made the invention before it was made by such third-party.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(1) file any patent application related to our product candidates or (2) invent any of the inventions claimed in the patents or patent applications.</w:t>
      </w:r>
    </w:p>
    <w:p>
      <w:pPr>
        <w:spacing w:after="0" w:line="182"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188"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Because of a lower evidentiary standard in USPTO proceedings compared to the evidentiary standard in United States federal courts necessary to invalidate a patent claim, a third-party could potentially provide evidence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86"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in a USPTO proceeding sufficient for the USPTO to hold a claim invalid even though the same evidence would be insufficient to invalidate the claim if first presented in a district court action. Accordingly, a third-party may attempt to use the USPTO procedures to invalidate our patent claims that would not have been invalidated if first challenged by the third-party as a defendant in a district court action. Thus, the Leahy-Smith Act and its implementation could increase the uncertainties and costs surrounding the prosecution of our patent applications and/or those of our licensors and the enforcement or defense of our issued patents or those of our licensors, all of which could have a material adverse effect on our business, financial condition, results of operations and prospects.</w:t>
      </w:r>
    </w:p>
    <w:p>
      <w:pPr>
        <w:spacing w:after="0" w:line="300"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62"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As is the case with other 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195" w:lineRule="exact"/>
        <w:rPr>
          <w:sz w:val="20"/>
          <w:szCs w:val="20"/>
          <w:color w:val="auto"/>
        </w:rPr>
      </w:pPr>
    </w:p>
    <w:p>
      <w:pPr>
        <w:ind w:left="120" w:right="260"/>
        <w:spacing w:after="0" w:line="255" w:lineRule="auto"/>
        <w:rPr>
          <w:sz w:val="20"/>
          <w:szCs w:val="20"/>
          <w:color w:val="auto"/>
        </w:rPr>
      </w:pPr>
      <w:r>
        <w:rPr>
          <w:rFonts w:ascii="Arial" w:cs="Arial" w:eastAsia="Arial" w:hAnsi="Arial"/>
          <w:sz w:val="18"/>
          <w:szCs w:val="18"/>
          <w:color w:val="auto"/>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We and/or our licensors may be subject to claims that former employees, collaborators or other third parties have an interest in our patents or other intellectual property as an inventor or co-inventor. In addition, we cannot assure you that all inventors have been or will be identified by us and/or by our collaborators despite diligent effort.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82"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Our licensors may have relied on third-party consultants or collaborators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products. This could have a material adverse effect on our competitive position, business, financial conditions, results of operations, and prospects.</w:t>
      </w:r>
    </w:p>
    <w:p>
      <w:pPr>
        <w:spacing w:after="0" w:line="18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86"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17"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Depending upon the timing, duration and specifics of FDA marketing approval of our product candidates, one or more of our U.S. patents or those of our licensors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left="120" w:right="100"/>
        <w:spacing w:after="0" w:line="270" w:lineRule="auto"/>
        <w:rPr>
          <w:sz w:val="20"/>
          <w:szCs w:val="20"/>
          <w:color w:val="auto"/>
        </w:rPr>
      </w:pPr>
      <w:r>
        <w:rPr>
          <w:rFonts w:ascii="Arial" w:cs="Arial" w:eastAsia="Arial" w:hAnsi="Arial"/>
          <w:sz w:val="17"/>
          <w:szCs w:val="17"/>
          <w:color w:val="auto"/>
        </w:rPr>
        <w:t>Although we have pending patent applications in the United States and other countries,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our licensors, or other intellectual property rights may not be effective or sufficient to prevent them from competing.</w:t>
      </w:r>
    </w:p>
    <w:p>
      <w:pPr>
        <w:spacing w:after="0" w:line="18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our licensors’ patents or marketing of competing products in violation of our proprietary rights. Proceedings to enforce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86"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our patent rights in foreign jurisdictions could result in substantial costs and divert our efforts and attention from other aspects of our business, could put our patents or the patents of our licensors at risk of being invalidated or interpreted narrowly and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1"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296" w:lineRule="exact"/>
        <w:rPr>
          <w:sz w:val="20"/>
          <w:szCs w:val="20"/>
          <w:color w:val="auto"/>
        </w:rPr>
      </w:pPr>
    </w:p>
    <w:p>
      <w:pPr>
        <w:ind w:left="120" w:right="98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76"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Periodic maintenance fees, renewal fees, annuity fees and various other governmental fees on patents and/or applications will be due to the USPTO and various foreign patent offices at various points over the lifetime of our patents and/or applications and those of our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273"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320" w:top="486"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65"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may be subject to claims that we or our employees have wrongfully used or disclosed alleged confidential information or trade secrets.</w:t>
      </w:r>
    </w:p>
    <w:p>
      <w:pPr>
        <w:spacing w:after="0" w:line="140"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We have entered into or may enter in the future into non-disclosure and confidentiality agreements to protect the proprietary positions of third parties, such as outside scientific collaborators, CROs, third-party manufacturers, consultants, advisors, potential partners, and other third parties. We may become subject to litigation where a third-party asserts that we or our employees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194"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operating results, financial condition and prospects.</w:t>
      </w:r>
    </w:p>
    <w:p>
      <w:pPr>
        <w:spacing w:after="0" w:line="296"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62"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As is common in the biopharmaceutical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00"/>
          </w:cols>
          <w:pgMar w:left="320" w:top="486" w:right="4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may be dependent on third parties.</w:t>
      </w:r>
    </w:p>
    <w:p>
      <w:pPr>
        <w:spacing w:after="0" w:line="117"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While we normally seek to obtain the right to control prosecution, maintenance and enforcement of the patents relating to our product candidates, there may be times when the filing and prosecution activities for patents and patent applications relating to our product candidates are controlled by our licensors or collaboration partners. If any of our licensors or collaboration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from third parties, we may still be adversely affected or prejudiced by actions or inactions of our licensors and their counsel that took place prior to the date upon which we assumed control over patent prosecution.</w:t>
      </w:r>
    </w:p>
    <w:p>
      <w:pPr>
        <w:spacing w:after="0" w:line="181"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Currently, our intellectual property protection includes patents and patent applications that we have in-licensed from Sunesis Pharmaceuticals, Inc. (now Viracta Therapeutics, Inc.), Takeda Pharmaceutical Company Limited, and Merck KGaA, Darmstadt, Germany. Our exclusive and non-exclusive licenses may be subject to certain retained rights, which may adversely impact our competitive position. We do not control the prosecution and maintenance of several of the licensed patent portfolios; thus, we cannot assure you that the licensed patent families will be prepared, filed, prosecuted, or maintained in a manner consistent with the best interests of our business. See “Business—License Agreement.” Our licensed patent portfolio may not provide us with adequate and continuing patent protection sufficient to exclude others from commercializing products similar to our product candidates.</w:t>
      </w:r>
    </w:p>
    <w:p>
      <w:pPr>
        <w:spacing w:after="0" w:line="272"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76"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Some of our own issued patents or pending patent applications may have been generated through the use of U.S. government funding, and we may acquire or license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existing or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3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86"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An active and liquid trading market for our common stock may never be sustained. As a result, you may not be able to resell your shares of common stock at or above the purchase price.</w:t>
      </w:r>
    </w:p>
    <w:p>
      <w:pPr>
        <w:spacing w:after="0" w:line="62"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An active trading market for our common stock may never be sustained. The market value of our common stock may decrease from the purchase price. As a result of these and other factors, you may be unable to resell your shares of our common stock at or above the purchase price. The lack of an active market may impair your ability to sell your shares at the time you wish to sell them or at a price that you consider reasonable. The lack of an active market may also reduce the fair market value of your shares.</w:t>
      </w:r>
    </w:p>
    <w:p>
      <w:pPr>
        <w:spacing w:after="0" w:line="18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Furthermore, an inactive market may also impair our ability to raise capital by selling shares of our common stock and may impair our ability to enter into strategic collaborations or acquire companies or products by using our shares of common stock as consideration.</w:t>
      </w:r>
    </w:p>
    <w:p>
      <w:pPr>
        <w:spacing w:after="0" w:line="278"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62"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76" w:lineRule="exact"/>
        <w:rPr>
          <w:sz w:val="20"/>
          <w:szCs w:val="20"/>
          <w:color w:val="auto"/>
        </w:rPr>
      </w:pPr>
    </w:p>
    <w:p>
      <w:pPr>
        <w:ind w:left="540" w:right="400" w:hanging="424"/>
        <w:spacing w:after="0" w:line="277" w:lineRule="auto"/>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variations in the level of expense related to the planned and ongoing development of our product candidates or future development programs, including scale-up CMC expenses;</w:t>
      </w:r>
    </w:p>
    <w:p>
      <w:pPr>
        <w:spacing w:after="0" w:line="75" w:lineRule="exact"/>
        <w:rPr>
          <w:rFonts w:ascii="Arial" w:cs="Arial" w:eastAsia="Arial" w:hAnsi="Arial"/>
          <w:sz w:val="18"/>
          <w:szCs w:val="18"/>
          <w:color w:val="auto"/>
        </w:rPr>
      </w:pPr>
    </w:p>
    <w:p>
      <w:pPr>
        <w:ind w:left="540" w:hanging="424"/>
        <w:spacing w:after="0" w:line="277" w:lineRule="auto"/>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execution of any collaboration, licensing or similar arrangements, and the timing of payments we may make or receive under existing or future arrangements or the termination or modification of any such existing or future arrangements;</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any intellectual property infringement lawsuit or opposition, interference or cancellation proceeding in which we may become involved;</w:t>
      </w:r>
    </w:p>
    <w:p>
      <w:pPr>
        <w:spacing w:after="0" w:line="142" w:lineRule="exact"/>
        <w:rPr>
          <w:rFonts w:ascii="Arial" w:cs="Arial" w:eastAsia="Arial" w:hAnsi="Arial"/>
          <w:sz w:val="17"/>
          <w:szCs w:val="17"/>
          <w:color w:val="auto"/>
        </w:rPr>
      </w:pPr>
    </w:p>
    <w:p>
      <w:pPr>
        <w:ind w:left="540" w:hanging="424"/>
        <w:spacing w:after="0"/>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30" w:lineRule="exact"/>
        <w:rPr>
          <w:rFonts w:ascii="Arial" w:cs="Arial" w:eastAsia="Arial" w:hAnsi="Arial"/>
          <w:sz w:val="18"/>
          <w:szCs w:val="18"/>
          <w:color w:val="auto"/>
        </w:rPr>
      </w:pPr>
    </w:p>
    <w:p>
      <w:pPr>
        <w:ind w:left="540" w:right="600" w:hanging="424"/>
        <w:spacing w:after="0" w:line="277" w:lineRule="auto"/>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75" w:lineRule="exact"/>
        <w:rPr>
          <w:rFonts w:ascii="Arial" w:cs="Arial" w:eastAsia="Arial" w:hAnsi="Arial"/>
          <w:sz w:val="18"/>
          <w:szCs w:val="18"/>
          <w:color w:val="auto"/>
        </w:rPr>
      </w:pPr>
    </w:p>
    <w:p>
      <w:pPr>
        <w:ind w:left="540" w:right="360" w:hanging="424"/>
        <w:spacing w:after="0" w:line="277" w:lineRule="auto"/>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any of our product candidates receives regulatory approval, the terms of such approval and market acceptance and demand for such product candidates;</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regulatory developments affecting our product candidates or those of our competitors; and</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changes in general market and economic conditions, such as due to the recent COVID-19 pandemic.</w:t>
      </w:r>
    </w:p>
    <w:p>
      <w:pPr>
        <w:spacing w:after="0" w:line="225" w:lineRule="exact"/>
        <w:rPr>
          <w:sz w:val="20"/>
          <w:szCs w:val="20"/>
          <w:color w:val="auto"/>
        </w:rPr>
      </w:pPr>
    </w:p>
    <w:p>
      <w:pPr>
        <w:ind w:left="120" w:right="740"/>
        <w:spacing w:after="0" w:line="259"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The market price of our common stock is likely to be highly volatile, which could result in substantial losses for purchasers of our common stock.</w:t>
      </w:r>
    </w:p>
    <w:p>
      <w:pPr>
        <w:spacing w:after="0" w:line="152"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The market price of our common stock is likely to continue to be highly volatile and subject to wide fluctuations in response to various factors, some of which we cannot control. As a result of this volatility, you may not be able to sell your shares of common stock at or above the price paid. The market price for our common stock may be influenced by many factors, including the other risks described in this “Risk factors” section and the following:</w:t>
      </w:r>
    </w:p>
    <w:p>
      <w:pPr>
        <w:spacing w:after="0" w:line="54" w:lineRule="exact"/>
        <w:rPr>
          <w:sz w:val="20"/>
          <w:szCs w:val="20"/>
          <w:color w:val="auto"/>
        </w:rPr>
      </w:pPr>
    </w:p>
    <w:p>
      <w:pPr>
        <w:jc w:val="center"/>
        <w:ind w:left="5480" w:right="700" w:hanging="5364"/>
        <w:spacing w:after="0" w:line="449" w:lineRule="auto"/>
        <w:tabs>
          <w:tab w:leader="none" w:pos="539"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results of preclinical studies or clinical trials by us or those of our competitors or by existing or future collaborators or licensing partners; 101</w:t>
      </w:r>
    </w:p>
    <w:p>
      <w:pPr>
        <w:sectPr>
          <w:pgSz w:w="11900" w:h="16838" w:orient="portrait"/>
          <w:cols w:equalWidth="0" w:num="1">
            <w:col w:w="11120"/>
          </w:cols>
          <w:pgMar w:left="320" w:top="486"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timing and enrollment status of our clinical trials;</w:t>
      </w:r>
    </w:p>
    <w:p>
      <w:pPr>
        <w:spacing w:after="0" w:line="130" w:lineRule="exact"/>
        <w:rPr>
          <w:rFonts w:ascii="Arial" w:cs="Arial" w:eastAsia="Arial" w:hAnsi="Arial"/>
          <w:sz w:val="18"/>
          <w:szCs w:val="18"/>
          <w:color w:val="auto"/>
        </w:rPr>
      </w:pPr>
    </w:p>
    <w:p>
      <w:pPr>
        <w:ind w:left="540" w:right="600" w:hanging="424"/>
        <w:spacing w:after="0" w:line="277"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changes in the development status of our product candidates, including variations in the level of expense related to the development of our programs or funding support by us or by existing or future collaborators or licensing partners;</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regulatory or legal developments in the United States and other countries, especially changes in laws or regulations applicable to our business;</w:t>
      </w:r>
    </w:p>
    <w:p>
      <w:pPr>
        <w:spacing w:after="0" w:line="153" w:lineRule="exact"/>
        <w:rPr>
          <w:rFonts w:ascii="Arial" w:cs="Arial" w:eastAsia="Arial" w:hAnsi="Arial"/>
          <w:sz w:val="16"/>
          <w:szCs w:val="16"/>
          <w:color w:val="auto"/>
        </w:rPr>
      </w:pPr>
    </w:p>
    <w:p>
      <w:pPr>
        <w:ind w:left="540" w:hanging="424"/>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30" w:lineRule="exact"/>
        <w:rPr>
          <w:rFonts w:ascii="Arial" w:cs="Arial" w:eastAsia="Arial" w:hAnsi="Arial"/>
          <w:sz w:val="18"/>
          <w:szCs w:val="18"/>
          <w:color w:val="auto"/>
        </w:rPr>
      </w:pPr>
    </w:p>
    <w:p>
      <w:pPr>
        <w:ind w:left="540" w:right="200" w:hanging="424"/>
        <w:spacing w:after="0" w:line="277"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introductions and announcements of new product candidates by us, our future collaboration partners, or our competitors, and the timing of these introductions or announcements;</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actions taken by regulatory agencies with respect to our product candidates, clinical studies, manufacturing process or sales and marketing terms;</w:t>
      </w:r>
    </w:p>
    <w:p>
      <w:pPr>
        <w:spacing w:after="0" w:line="153" w:lineRule="exact"/>
        <w:rPr>
          <w:rFonts w:ascii="Arial" w:cs="Arial" w:eastAsia="Arial" w:hAnsi="Arial"/>
          <w:sz w:val="16"/>
          <w:szCs w:val="16"/>
          <w:color w:val="auto"/>
        </w:rPr>
      </w:pPr>
    </w:p>
    <w:p>
      <w:pPr>
        <w:ind w:left="540" w:hanging="424"/>
        <w:spacing w:after="0" w:line="277"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execution of any collaboration, licensing or similar arrangements, and the timing of payments we may make or receive under existing or future arrangements or the termination or modification of any such existing or future arrangements;</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actual or anticipated variations in our financial results or those of companies that are perceived to be similar to us;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success of our efforts to acquire or in-license additional technologies or product candidates;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announced or completed significant acquisitions, strategic collaborations, joint ventures or capital commitments by us or our competitors;</w:t>
      </w:r>
    </w:p>
    <w:p>
      <w:pPr>
        <w:spacing w:after="0" w:line="142" w:lineRule="exact"/>
        <w:rPr>
          <w:rFonts w:ascii="Arial" w:cs="Arial" w:eastAsia="Arial" w:hAnsi="Arial"/>
          <w:sz w:val="17"/>
          <w:szCs w:val="17"/>
          <w:color w:val="auto"/>
        </w:rPr>
      </w:pPr>
    </w:p>
    <w:p>
      <w:pPr>
        <w:ind w:left="540" w:hanging="424"/>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and proprietary rights;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540" w:right="500" w:hanging="424"/>
        <w:spacing w:after="0" w:line="277"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142" w:lineRule="exact"/>
        <w:rPr>
          <w:rFonts w:ascii="Arial" w:cs="Arial" w:eastAsia="Arial" w:hAnsi="Arial"/>
          <w:sz w:val="17"/>
          <w:szCs w:val="17"/>
          <w:color w:val="auto"/>
        </w:rPr>
      </w:pPr>
    </w:p>
    <w:p>
      <w:pPr>
        <w:ind w:left="540" w:hanging="424"/>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share price and fluctuations of trading volume of our common stock;</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sales of shares of our common stock by us, insiders or our stockholders;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86"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concentrated ownership of our common stock;</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natural disasters, terrorist acts, acts of war and other calamities; and</w:t>
      </w:r>
    </w:p>
    <w:p>
      <w:pPr>
        <w:spacing w:after="0" w:line="130" w:lineRule="exact"/>
        <w:rPr>
          <w:rFonts w:ascii="Arial" w:cs="Arial" w:eastAsia="Arial" w:hAnsi="Arial"/>
          <w:sz w:val="18"/>
          <w:szCs w:val="18"/>
          <w:color w:val="auto"/>
        </w:rPr>
      </w:pPr>
    </w:p>
    <w:p>
      <w:pPr>
        <w:ind w:left="540" w:right="20" w:hanging="424"/>
        <w:spacing w:after="0" w:line="277" w:lineRule="auto"/>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general economic, industry and market conditions, or other events or factors, many of which are beyond our control, such as the recent COVID-19 pandemic.</w:t>
      </w:r>
    </w:p>
    <w:p>
      <w:pPr>
        <w:spacing w:after="0" w:line="170"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In addition, the stock market in general, and the markets for pharmaceutical, biopharmaceutical and biotechnology stocks in particular, have experienced extreme price and volume fluctuations, including as a result of the COVID-19 pandemic, that have been often unrelated or disproportionate to the operating performance of the issuer. Furthermore, the trading price of our common stock may be adversely affected by third parties trying to drive down the market price. Short sellers and others, some of whom post anonymously on social media, may be positioned to profit if our stock declines and their activities can negatively affect our stock price.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166" w:lineRule="exact"/>
        <w:rPr>
          <w:sz w:val="20"/>
          <w:szCs w:val="20"/>
          <w:color w:val="auto"/>
        </w:rPr>
      </w:pPr>
    </w:p>
    <w:p>
      <w:pPr>
        <w:jc w:val="both"/>
        <w:ind w:left="120" w:right="240"/>
        <w:spacing w:after="0" w:line="311" w:lineRule="auto"/>
        <w:rPr>
          <w:sz w:val="20"/>
          <w:szCs w:val="20"/>
          <w:color w:val="auto"/>
        </w:rPr>
      </w:pPr>
      <w:r>
        <w:rPr>
          <w:rFonts w:ascii="Arial" w:cs="Arial" w:eastAsia="Arial" w:hAnsi="Arial"/>
          <w:sz w:val="16"/>
          <w:szCs w:val="16"/>
          <w:color w:val="auto"/>
        </w:rPr>
        <w:t>In the past, securities class action litigation has often been brought against public companies following declines in the market price of their securities. This risk is especially relevant for biopharmaceutical companies, which have experienced significant stock price volatility in recent years. If we face such litigation, it could result in substantial costs and a diversion of management’s attention and our resources, which could harm our business.</w:t>
      </w:r>
    </w:p>
    <w:p>
      <w:pPr>
        <w:spacing w:after="0" w:line="25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62"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76" w:lineRule="exact"/>
        <w:rPr>
          <w:sz w:val="20"/>
          <w:szCs w:val="20"/>
          <w:color w:val="auto"/>
        </w:rPr>
      </w:pPr>
    </w:p>
    <w:p>
      <w:pPr>
        <w:ind w:left="540" w:hanging="424"/>
        <w:spacing w:after="0"/>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timing and variations in the level of expense related to the current or future development of our programs;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timing and status of enrollment for our clinical trials;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impacts from the COVID-19 pandemic on us or third parties with which we engage;</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results of clinical trials, or the addition or termination of clinical trials or funding support by us or potential future partners;</w:t>
      </w:r>
    </w:p>
    <w:p>
      <w:pPr>
        <w:spacing w:after="0" w:line="130" w:lineRule="exact"/>
        <w:rPr>
          <w:rFonts w:ascii="Arial" w:cs="Arial" w:eastAsia="Arial" w:hAnsi="Arial"/>
          <w:sz w:val="18"/>
          <w:szCs w:val="18"/>
          <w:color w:val="auto"/>
        </w:rPr>
      </w:pPr>
    </w:p>
    <w:p>
      <w:pPr>
        <w:ind w:left="540" w:right="140" w:hanging="424"/>
        <w:spacing w:after="0" w:line="277" w:lineRule="auto"/>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execution of any collaboration, licensing or similar arrangements, and the timing of payments we may make or receive under potential future arrangements or the termination or modification of any such potential future arrangements;</w:t>
      </w:r>
    </w:p>
    <w:p>
      <w:pPr>
        <w:spacing w:after="0" w:line="75" w:lineRule="exact"/>
        <w:rPr>
          <w:rFonts w:ascii="Arial" w:cs="Arial" w:eastAsia="Arial" w:hAnsi="Arial"/>
          <w:sz w:val="18"/>
          <w:szCs w:val="18"/>
          <w:color w:val="auto"/>
        </w:rPr>
      </w:pPr>
    </w:p>
    <w:p>
      <w:pPr>
        <w:ind w:left="540" w:right="240" w:hanging="424"/>
        <w:spacing w:after="0" w:line="277" w:lineRule="auto"/>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intellectual property infringement, misappropriation or violation lawsuit or opposition, interference or cancellation proceeding in which we may become involved;</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30" w:lineRule="exact"/>
        <w:rPr>
          <w:rFonts w:ascii="Arial" w:cs="Arial" w:eastAsia="Arial" w:hAnsi="Arial"/>
          <w:sz w:val="18"/>
          <w:szCs w:val="18"/>
          <w:color w:val="auto"/>
        </w:rPr>
      </w:pPr>
    </w:p>
    <w:p>
      <w:pPr>
        <w:ind w:left="540" w:right="600" w:hanging="424"/>
        <w:spacing w:after="0" w:line="277" w:lineRule="auto"/>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75" w:lineRule="exact"/>
        <w:rPr>
          <w:rFonts w:ascii="Arial" w:cs="Arial" w:eastAsia="Arial" w:hAnsi="Arial"/>
          <w:sz w:val="18"/>
          <w:szCs w:val="18"/>
          <w:color w:val="auto"/>
        </w:rPr>
      </w:pPr>
    </w:p>
    <w:p>
      <w:pPr>
        <w:ind w:left="540" w:right="160" w:hanging="424"/>
        <w:spacing w:after="0" w:line="277" w:lineRule="auto"/>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any product candidate we may develop receive regulatory approval, the timing and terms of such approval and market acceptance and demand for such product candidates;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86"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700" w:hanging="424"/>
        <w:spacing w:after="0" w:line="277" w:lineRule="auto"/>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timing and cost to establish a sales, marketing and distribution infrastructure to commercialize any products for which we may obtain marketing approval and intend to commercialize on our own or jointly with future collaborators;</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regulatory developments affecting current or future product candidates or those of our competitors;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amount of expense or gain associated with the change in value of the success payments and contingent consideration; and</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changes in general market and economic conditions.</w:t>
      </w:r>
    </w:p>
    <w:p>
      <w:pPr>
        <w:spacing w:after="0" w:line="225"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295" w:lineRule="exact"/>
        <w:rPr>
          <w:sz w:val="20"/>
          <w:szCs w:val="20"/>
          <w:color w:val="auto"/>
        </w:rPr>
      </w:pPr>
    </w:p>
    <w:p>
      <w:pPr>
        <w:ind w:left="120" w:right="80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our stockholders’ ability to achieve a return on their investment will depend on appreciation of the value of our common stock.</w:t>
      </w:r>
    </w:p>
    <w:p>
      <w:pPr>
        <w:spacing w:after="0" w:line="62"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have never declared or paid cash dividends on our common stock. We currently intend to retain all available funds and any future earnings to support operations and to finance the growth and development of our business. We do not intend to declare or pay any cash dividends on our capital stock in the foreseeable future. As a result, any investment return on our common stock will depend upon increases in the value for our common stock, which is not certain.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sale of a substantial number of shares of our common stock may cause the price of our common stock to decline.</w:t>
      </w:r>
    </w:p>
    <w:p>
      <w:pPr>
        <w:spacing w:after="0" w:line="117"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before or after the lock-up and other legal restrictions on resale lapse in connection with our IPO, the market price of our common stock could decline significantly. Each of our officers, directors and substantially all of our stockholders have entered into lock-up agreements that restrict their ability to sell or transfer their shares. The lock-up agreements will expire 180 days from the date of the effectiveness of the registration statement for our IPO. However, J.P. Morgan Securities LLC may, in its sole discretion, permit our officers, directors and other stockholders who are subject to the lock-up agreements to sell shares prior to the expiration of the lock-up agreements. After the lock-up agreements expire, a substantial number shares of common stock will be eligible for sale in the public market.</w:t>
      </w:r>
    </w:p>
    <w:p>
      <w:pPr>
        <w:spacing w:after="0" w:line="192"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The holders of an aggregate of 32,489,398 shares of our outstanding common stock as of March 31, 2021 will have rights, subject to some conditions, to require us to file registration statements covering their shares or to include their shares in registration statements that we may file for ourselves or our stockholders. We also have registered shares of common stock that we may issue under our equity incentive plans. These shares, are freely tradeable in the public market upon issuance, subject to the 180-day lock-up period under the lock-up agreements described above.</w:t>
      </w:r>
    </w:p>
    <w:p>
      <w:pPr>
        <w:spacing w:after="0" w:line="157" w:lineRule="exact"/>
        <w:rPr>
          <w:sz w:val="20"/>
          <w:szCs w:val="20"/>
          <w:color w:val="auto"/>
        </w:rPr>
      </w:pPr>
    </w:p>
    <w:p>
      <w:pPr>
        <w:jc w:val="both"/>
        <w:ind w:left="120" w:right="240"/>
        <w:spacing w:after="0" w:line="286" w:lineRule="auto"/>
        <w:rPr>
          <w:sz w:val="20"/>
          <w:szCs w:val="20"/>
          <w:color w:val="auto"/>
        </w:rPr>
      </w:pPr>
      <w:r>
        <w:rPr>
          <w:rFonts w:ascii="Arial" w:cs="Arial" w:eastAsia="Arial" w:hAnsi="Arial"/>
          <w:sz w:val="17"/>
          <w:szCs w:val="17"/>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options, or the perception that such sales may occur, could adversely affect the market price of our common stock.</w:t>
      </w:r>
    </w:p>
    <w:p>
      <w:pPr>
        <w:spacing w:after="0" w:line="165"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To the extent that additional capital is raised through the sale and issuance of shares or other securities convertible into shares, our stockholders will be diluted. These sales, or the perception in the market that the holders of a large number of shares intend to sell shares, could reduce the market price of our common stock.</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20"/>
          </w:cols>
          <w:pgMar w:left="320" w:top="486"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2"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Based on the beneficial ownership of our common stock as of July 31, 2021, our executive officers, directors, holders of 5% or more of our capital stock and their respective affiliates beneficially owned 65.5% of our voting stock. The voting power of this group may increase to the extent they convert shares of non-voting common stock they hold into common stock. As a result, these stockholders, if acting together, will continue to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w:t>
      </w:r>
    </w:p>
    <w:p>
      <w:pPr>
        <w:spacing w:after="0" w:line="304" w:lineRule="exact"/>
        <w:rPr>
          <w:sz w:val="20"/>
          <w:szCs w:val="20"/>
          <w:color w:val="auto"/>
        </w:rPr>
      </w:pPr>
    </w:p>
    <w:p>
      <w:pPr>
        <w:ind w:left="120" w:right="640"/>
        <w:spacing w:after="0" w:line="375" w:lineRule="auto"/>
        <w:rPr>
          <w:sz w:val="20"/>
          <w:szCs w:val="20"/>
          <w:color w:val="auto"/>
        </w:rPr>
      </w:pPr>
      <w:r>
        <w:rPr>
          <w:rFonts w:ascii="Arial" w:cs="Arial" w:eastAsia="Arial" w:hAnsi="Arial"/>
          <w:sz w:val="15"/>
          <w:szCs w:val="15"/>
          <w:b w:val="1"/>
          <w:bCs w:val="1"/>
          <w:i w:val="1"/>
          <w:iCs w:val="1"/>
          <w:color w:val="auto"/>
        </w:rPr>
        <w:t>We are an “emerging growth company” and a “smaller reporting company” and we cannot be certain if the reduced reporting requirements applicable to emerging growth companies or smaller reporting companies will make our common stock less attractive to investors.</w:t>
      </w:r>
    </w:p>
    <w:p>
      <w:pPr>
        <w:spacing w:after="0" w:line="1" w:lineRule="exact"/>
        <w:rPr>
          <w:sz w:val="20"/>
          <w:szCs w:val="20"/>
          <w:color w:val="auto"/>
        </w:rPr>
      </w:pPr>
    </w:p>
    <w:p>
      <w:pPr>
        <w:ind w:left="120" w:right="280"/>
        <w:spacing w:after="0" w:line="296" w:lineRule="auto"/>
        <w:rPr>
          <w:sz w:val="20"/>
          <w:szCs w:val="20"/>
          <w:color w:val="auto"/>
        </w:rPr>
      </w:pPr>
      <w:r>
        <w:rPr>
          <w:rFonts w:ascii="Arial" w:cs="Arial" w:eastAsia="Arial" w:hAnsi="Arial"/>
          <w:sz w:val="16"/>
          <w:szCs w:val="16"/>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(i) not being required to comply with the auditor attestation requirements of the Sarbanes-Oxley Act, (ii) reduced disclosure obligations regarding executive compensation in our periodic reports and proxy statements and (iii) exemptions from the requirements of holding nonbinding advisory stockholder votes on executive compensation and stockholder approval of any golden parachute payments not approved previously.</w:t>
      </w:r>
    </w:p>
    <w:p>
      <w:pPr>
        <w:spacing w:after="0" w:line="16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 xml:space="preserve">We could be an emerging growth company for up to five fiscal years following the completion of the IPO;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certain circumstances could cause us to lose that status earlier, including if we are deemed to be a “large accelerated filer,” which occurs when the market value of our common stock that is held by non-affiliates equals or exceeds $700 million, if we have total annual gross revenue of $1.07 billion or more, or if we issue more than $1.0 billion in non-convertible debt during any three-year period before that time.</w:t>
      </w:r>
    </w:p>
    <w:p>
      <w:pPr>
        <w:spacing w:after="0" w:line="18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192"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consolidated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19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We are also a “smaller reporting company,” meaning that the market value of our stock held by non-affiliates is less than $700.0 million and our annual revenue is less than $100.0 million during the most recently completed fiscal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86"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year. We may continue to be a smaller reporting company if either (i) the market value of our stock held by non-affiliates is less than $250.0 million or</w:t>
      </w:r>
    </w:p>
    <w:p>
      <w:pPr>
        <w:spacing w:after="0" w:line="46" w:lineRule="exact"/>
        <w:rPr>
          <w:sz w:val="20"/>
          <w:szCs w:val="20"/>
          <w:color w:val="auto"/>
        </w:rPr>
      </w:pPr>
    </w:p>
    <w:p>
      <w:pPr>
        <w:ind w:left="120" w:hanging="4"/>
        <w:spacing w:after="0" w:line="269" w:lineRule="auto"/>
        <w:tabs>
          <w:tab w:leader="none" w:pos="385" w:val="left"/>
        </w:tabs>
        <w:numPr>
          <w:ilvl w:val="0"/>
          <w:numId w:val="73"/>
        </w:numPr>
        <w:rPr>
          <w:rFonts w:ascii="Arial" w:cs="Arial" w:eastAsia="Arial" w:hAnsi="Arial"/>
          <w:sz w:val="17"/>
          <w:szCs w:val="17"/>
          <w:color w:val="auto"/>
        </w:rPr>
      </w:pPr>
      <w:r>
        <w:rPr>
          <w:rFonts w:ascii="Arial" w:cs="Arial" w:eastAsia="Arial" w:hAnsi="Arial"/>
          <w:sz w:val="17"/>
          <w:szCs w:val="17"/>
          <w:color w:val="auto"/>
        </w:rPr>
        <w:t>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the same exemptions from certain disclosure requirements, including not being required to comply with the auditor attestation requirements of Section 404 of the Sarbanes-Oxley Act, reduced disclosure obligations regarding executive compensation and the option to present only the two most recent fiscal years of audited financial statements in our Annual Report on Form 10-K.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288" w:lineRule="exact"/>
        <w:rPr>
          <w:sz w:val="20"/>
          <w:szCs w:val="20"/>
          <w:color w:val="auto"/>
        </w:rPr>
      </w:pPr>
    </w:p>
    <w:p>
      <w:pPr>
        <w:ind w:left="120" w:right="120"/>
        <w:spacing w:after="0" w:line="308"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prevent or delay an acquisition of us, which may be beneficial to our stockholders, and may prevent attempts by our stockholders to replace or remove our current management.</w:t>
      </w:r>
    </w:p>
    <w:p>
      <w:pPr>
        <w:spacing w:after="0" w:line="38"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Our restated certificate of incorporation and our restated bylaws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w:t>
      </w:r>
    </w:p>
    <w:p>
      <w:pPr>
        <w:spacing w:after="0" w:line="89" w:lineRule="exact"/>
        <w:rPr>
          <w:sz w:val="20"/>
          <w:szCs w:val="20"/>
          <w:color w:val="auto"/>
        </w:rPr>
      </w:pPr>
    </w:p>
    <w:p>
      <w:pPr>
        <w:ind w:left="540" w:hanging="424"/>
        <w:spacing w:after="0"/>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restated certificate of incorporation and restated bylaws;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prohibit cumulative voting; and</w:t>
      </w:r>
    </w:p>
    <w:p>
      <w:pPr>
        <w:spacing w:after="0" w:line="130" w:lineRule="exact"/>
        <w:rPr>
          <w:rFonts w:ascii="Arial" w:cs="Arial" w:eastAsia="Arial" w:hAnsi="Arial"/>
          <w:sz w:val="18"/>
          <w:szCs w:val="18"/>
          <w:color w:val="auto"/>
        </w:rPr>
      </w:pPr>
    </w:p>
    <w:p>
      <w:pPr>
        <w:ind w:left="540" w:right="60" w:hanging="424"/>
        <w:spacing w:after="0" w:line="277" w:lineRule="auto"/>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w:t>
      </w:r>
    </w:p>
    <w:p>
      <w:pPr>
        <w:spacing w:after="0" w:line="170"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In addition, Section 203 of the Delaware General Corporation Law, or DGCL, may discourage, delay or prevent a change in control of our company. Section 203 imposes certain restrictions on mergers, business combinations and other transactions between us and holders of 15% or more of our common stock.</w:t>
      </w:r>
    </w:p>
    <w:p>
      <w:pPr>
        <w:spacing w:after="0" w:line="292" w:lineRule="exact"/>
        <w:rPr>
          <w:sz w:val="20"/>
          <w:szCs w:val="20"/>
          <w:color w:val="auto"/>
        </w:rPr>
      </w:pPr>
    </w:p>
    <w:p>
      <w:pPr>
        <w:jc w:val="both"/>
        <w:ind w:left="120" w:right="320"/>
        <w:spacing w:after="0" w:line="263" w:lineRule="auto"/>
        <w:rPr>
          <w:sz w:val="20"/>
          <w:szCs w:val="20"/>
          <w:color w:val="auto"/>
        </w:rPr>
      </w:pPr>
      <w:r>
        <w:rPr>
          <w:rFonts w:ascii="Arial" w:cs="Arial" w:eastAsia="Arial" w:hAnsi="Arial"/>
          <w:sz w:val="18"/>
          <w:szCs w:val="18"/>
          <w:b w:val="1"/>
          <w:bCs w:val="1"/>
          <w:i w:val="1"/>
          <w:iCs w:val="1"/>
          <w:color w:val="auto"/>
        </w:rPr>
        <w:t>The exclusive forum provision in our organizational documents may limit a stockholder’s ability to bring a claim in a judicial forum that it finds favorable for disputes with us or any of our directors, officers, or other employees, or the underwriters of any offering giving rise to such claim, which may discourage lawsuits with respect to such claims.</w:t>
      </w:r>
    </w:p>
    <w:p>
      <w:pPr>
        <w:spacing w:after="0" w:line="76"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Our restated certificate of incorporation provides that, to the fullest extent permitted by law, the Court of Chancery of the State of Delaware is the exclusive forum for: any derivative action or proceeding brought on our behalf; any action asserting a breach of fiduciary duty; any action asserting a claim against us arising pursuant to the DGCL, our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86"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restated certificate of incorporation, or our restated bylaws; or any action asserting a claim against us that is governed by the internal affairs doctrine. This exclusive forum provision does not apply to suits brought to enforce a duty or liability created by the Securities Exchange Act of 1934, as amended, or the Exchange Act. It could apply, however, to a suit that falls within one or more of the categories enumerated in the exclusive forum provision.</w:t>
      </w:r>
    </w:p>
    <w:p>
      <w:pPr>
        <w:spacing w:after="0" w:line="187"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it finds favorable for disputes with us or any of our directors, officers, or other employees, or the underwriters of any offering giving rise to such claims,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8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Section 22 of the Securities Act creates concurrent jurisdiction for federal and state courts over all claims brought to enforce any duty or liability created by the Securities Act or the rules and regulations thereunder. Our restated bylaws will provide that the federal district courts of the United States of America will, to the fullest extent permitted by law, be the exclusive forum for resolving any complaint asserting a cause of action arising under the Securities Act, or a Federal Forum Provision, including for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Our decision to adopt a Federal Forum Provision followed a decision by the Supreme Court of the State of Delaware holding that such provisions are facially valid under Delaware law. While federal or state courts may not follow the holding of the Delaware Supreme Court or may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w:t>
      </w:r>
    </w:p>
    <w:p>
      <w:pPr>
        <w:spacing w:after="0" w:line="179"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and our stockholders cannot waive compliance with the federal securities laws and the rules and regulations thereunder.</w:t>
      </w:r>
    </w:p>
    <w:p>
      <w:pPr>
        <w:spacing w:after="0" w:line="188"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and may result in increased costs for a stockholder to bring such a claim, in a judicial forum of their choosing for disputes with us or our directors, officers, or other employees, or the underwriters of any offering giving rise to such claim, which may discourage lawsuits against us and our directors, officers, and other employees.</w:t>
      </w:r>
    </w:p>
    <w:p>
      <w:pPr>
        <w:spacing w:after="0" w:line="296"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2" w:lineRule="exact"/>
        <w:rPr>
          <w:sz w:val="20"/>
          <w:szCs w:val="20"/>
          <w:color w:val="auto"/>
        </w:rPr>
      </w:pPr>
    </w:p>
    <w:p>
      <w:pPr>
        <w:jc w:val="both"/>
        <w:ind w:left="120" w:right="40"/>
        <w:spacing w:after="0" w:line="286"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of our future earnings, if any, to finance the growth and development, operation and expansion of our business and do not anticipate declaring or paying any cash dividends for the foreseeable future. As a result, capital appreciation, if any, of our common stock will be your sole source of gain for the foreseeable future.</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00"/>
          </w:cols>
          <w:pgMar w:left="320" w:top="486" w:right="4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company, our common stock price and trading volume could decline.</w:t>
      </w:r>
    </w:p>
    <w:p>
      <w:pPr>
        <w:spacing w:after="0" w:line="62" w:lineRule="exact"/>
        <w:rPr>
          <w:sz w:val="20"/>
          <w:szCs w:val="20"/>
          <w:color w:val="auto"/>
        </w:rPr>
      </w:pPr>
    </w:p>
    <w:p>
      <w:pPr>
        <w:ind w:left="120" w:right="120"/>
        <w:spacing w:after="0" w:line="272" w:lineRule="auto"/>
        <w:rPr>
          <w:sz w:val="20"/>
          <w:szCs w:val="20"/>
          <w:color w:val="auto"/>
        </w:rPr>
      </w:pPr>
      <w:r>
        <w:rPr>
          <w:rFonts w:ascii="Arial" w:cs="Arial" w:eastAsia="Arial" w:hAnsi="Arial"/>
          <w:sz w:val="17"/>
          <w:szCs w:val="17"/>
          <w:color w:val="auto"/>
        </w:rPr>
        <w:t>The trading market for our common stock will be influenced by the research and reports that industry or securities analysts publish about us or our business. We do not currently have and may never obtain research coverage by securities and industry analysts. If no or few securities or industry analysts commence coverage of us, the trading price for our common stock could be impacted negatively. In the event we obtain securities or industry analyst coverage, if any of the analysts who cover us issue an adverse or misleading opinion regarding us, our business model, our intellectual property or our stock performance, or if our preclinical studies and future clinical trials and operating results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w:t>
      </w:r>
    </w:p>
    <w:p>
      <w:pPr>
        <w:spacing w:after="0" w:line="285"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62"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As a public company, and particularly after we are no longer an emerging growth company, we will incur significant legal, accounting and other expenses that we did not incur as a private company. The Sarbanes- Oxley Act,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or increase the prices of our products once commercialized.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92"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over financial reporting our ability to produce accurate and timely financial statements could be impaired.</w:t>
      </w:r>
    </w:p>
    <w:p>
      <w:pPr>
        <w:spacing w:after="0" w:line="62" w:lineRule="exact"/>
        <w:rPr>
          <w:sz w:val="20"/>
          <w:szCs w:val="20"/>
          <w:color w:val="auto"/>
        </w:rPr>
      </w:pPr>
    </w:p>
    <w:p>
      <w:pPr>
        <w:ind w:left="120" w:right="40"/>
        <w:spacing w:after="0" w:line="288" w:lineRule="auto"/>
        <w:rPr>
          <w:sz w:val="20"/>
          <w:szCs w:val="20"/>
          <w:color w:val="auto"/>
        </w:rPr>
      </w:pPr>
      <w:r>
        <w:rPr>
          <w:rFonts w:ascii="Arial" w:cs="Arial" w:eastAsia="Arial" w:hAnsi="Arial"/>
          <w:sz w:val="16"/>
          <w:szCs w:val="16"/>
          <w:color w:val="auto"/>
        </w:rPr>
        <w:t>Pursuant to Section 404 of the Sarbanes-Oxley Act, our management will be required to report upon the effectiveness of our internal control over financial reporting beginning with annual report for our fiscal year ending December 31, 2022. When we lose our status as an “emerging growth company” and become an “accelerated filer” or a “large accelerated filer,”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This process will be time-consuming, costly and complicated.</w:t>
      </w:r>
    </w:p>
    <w:p>
      <w:pPr>
        <w:spacing w:after="0" w:line="168"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Any failure to maintain internal control over financial reporting could severely inhibit our ability to accurately report our financial condition, results of operations, or cash flows. If we are unable to conclude that our internal control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86"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stock could decline, and we could be subject to sanctions or investigations by the Nasdaq Global Select Market, or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8"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In addition, we do not have a formal risk management program for identifying and addressing risks to our business in other areas.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86"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Proceeds</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On June 1, 2021, we completed our IPO and sold 11,500,000 shares of common stock at an IPO price of $16.00 per share. The offer and sale of all of the shares in the IPO were registered under the Securities Act pursuant to registration statements on Form S-1 (File No. 333-255754), which was declared effective by the SEC on May 26, 2021. No additional shares were registered.</w:t>
      </w:r>
    </w:p>
    <w:p>
      <w:pPr>
        <w:spacing w:after="0" w:line="184"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We received net proceeds from the IPO of approximately $167.0 million, after deducting underwriting discounts and commissions of approximately $12.9 million and estimated offering expenses of approximately $4.1 million. J.P. Morgan Securities LLC, Cowen and Company, LLC and Piper Sandler &amp; Co. acted as joint book-running managers of the offering and as representatives of the underwriters. None of the expenses associated with the IPO were paid to directors, officers, persons owning 10% or more of any class of equity securities, or to their associates, or to our affiliates.</w:t>
      </w:r>
    </w:p>
    <w:p>
      <w:pPr>
        <w:spacing w:after="0" w:line="157"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There has been no material change in the planned use of proceeds from our IPO as described in the Prospectus filed with the SEC pursuant to Rule 424(b)(4) under the Securities Act on May 27, 2021.</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86"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exhibits filed or furnished as part of this Quarterly Report on Form 10-Q are set forth on the Exhibit Index below.</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rPr>
              <w:t>Incorporated by Reference</w:t>
            </w: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Filed/Furnished</w:t>
            </w:r>
          </w:p>
        </w:tc>
        <w:tc>
          <w:tcPr>
            <w:tcW w:w="0" w:type="dxa"/>
            <w:vAlign w:val="bottom"/>
          </w:tcPr>
          <w:p>
            <w:pPr>
              <w:spacing w:after="0"/>
              <w:rPr>
                <w:sz w:val="1"/>
                <w:szCs w:val="1"/>
                <w:color w:val="auto"/>
              </w:rPr>
            </w:pPr>
          </w:p>
        </w:tc>
      </w:tr>
      <w:tr>
        <w:trPr>
          <w:trHeight w:val="129"/>
        </w:trPr>
        <w:tc>
          <w:tcPr>
            <w:tcW w:w="50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700" w:type="dxa"/>
            <w:vAlign w:val="bottom"/>
            <w:gridSpan w:val="13"/>
            <w:vMerge w:val="restart"/>
          </w:tcPr>
          <w:p>
            <w:pPr>
              <w:ind w:left="620"/>
              <w:spacing w:after="0"/>
              <w:rPr>
                <w:sz w:val="20"/>
                <w:szCs w:val="20"/>
                <w:color w:val="auto"/>
              </w:rPr>
            </w:pPr>
            <w:r>
              <w:rPr>
                <w:rFonts w:ascii="Arial" w:cs="Arial" w:eastAsia="Arial" w:hAnsi="Arial"/>
                <w:sz w:val="14"/>
                <w:szCs w:val="14"/>
                <w:b w:val="1"/>
                <w:bCs w:val="1"/>
                <w:color w:val="auto"/>
              </w:rPr>
              <w:t>Description</w:t>
            </w:r>
          </w:p>
        </w:tc>
        <w:tc>
          <w:tcPr>
            <w:tcW w:w="6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1"/>
              </w:rPr>
              <w:t>Form</w:t>
            </w:r>
          </w:p>
        </w:tc>
        <w:tc>
          <w:tcPr>
            <w:tcW w:w="12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File No.</w:t>
            </w:r>
          </w:p>
        </w:tc>
        <w:tc>
          <w:tcPr>
            <w:tcW w:w="1320" w:type="dxa"/>
            <w:vAlign w:val="bottom"/>
            <w:gridSpan w:val="2"/>
          </w:tcPr>
          <w:p>
            <w:pPr>
              <w:jc w:val="right"/>
              <w:ind w:right="620"/>
              <w:spacing w:after="0" w:line="129" w:lineRule="exact"/>
              <w:rPr>
                <w:sz w:val="20"/>
                <w:szCs w:val="20"/>
                <w:color w:val="auto"/>
              </w:rPr>
            </w:pPr>
            <w:r>
              <w:rPr>
                <w:rFonts w:ascii="Arial" w:cs="Arial" w:eastAsia="Arial" w:hAnsi="Arial"/>
                <w:sz w:val="14"/>
                <w:szCs w:val="14"/>
                <w:b w:val="1"/>
                <w:bCs w:val="1"/>
                <w:color w:val="auto"/>
              </w:rPr>
              <w:t>Filing</w:t>
            </w: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0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0"/>
              </w:rPr>
              <w:t>Number</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700" w:type="dxa"/>
            <w:vAlign w:val="bottom"/>
            <w:gridSpan w:val="13"/>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320" w:type="dxa"/>
            <w:vAlign w:val="bottom"/>
            <w:gridSpan w:val="2"/>
          </w:tcPr>
          <w:p>
            <w:pPr>
              <w:jc w:val="right"/>
              <w:ind w:right="640"/>
              <w:spacing w:after="0" w:line="129" w:lineRule="exact"/>
              <w:rPr>
                <w:sz w:val="20"/>
                <w:szCs w:val="20"/>
                <w:color w:val="auto"/>
              </w:rPr>
            </w:pPr>
            <w:r>
              <w:rPr>
                <w:rFonts w:ascii="Arial" w:cs="Arial" w:eastAsia="Arial" w:hAnsi="Arial"/>
                <w:sz w:val="14"/>
                <w:szCs w:val="14"/>
                <w:b w:val="1"/>
                <w:bCs w:val="1"/>
                <w:color w:val="auto"/>
              </w:rPr>
              <w:t>Date</w:t>
            </w:r>
          </w:p>
        </w:tc>
        <w:tc>
          <w:tcPr>
            <w:tcW w:w="720" w:type="dxa"/>
            <w:vAlign w:val="bottom"/>
            <w:gridSpan w:val="2"/>
            <w:vMerge w:val="continue"/>
          </w:tcPr>
          <w:p>
            <w:pPr>
              <w:spacing w:after="0"/>
              <w:rPr>
                <w:sz w:val="12"/>
                <w:szCs w:val="12"/>
                <w:color w:val="auto"/>
              </w:rPr>
            </w:pPr>
          </w:p>
        </w:tc>
        <w:tc>
          <w:tcPr>
            <w:tcW w:w="980" w:type="dxa"/>
            <w:vAlign w:val="bottom"/>
          </w:tcPr>
          <w:p>
            <w:pPr>
              <w:jc w:val="right"/>
              <w:ind w:right="116"/>
              <w:spacing w:after="0" w:line="129" w:lineRule="exact"/>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jc w:val="right"/>
              <w:ind w:right="13"/>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21"/>
                <w:szCs w:val="21"/>
                <w:color w:val="auto"/>
              </w:rPr>
            </w:pPr>
          </w:p>
        </w:tc>
        <w:tc>
          <w:tcPr>
            <w:tcW w:w="5240" w:type="dxa"/>
            <w:vAlign w:val="bottom"/>
            <w:gridSpan w:val="19"/>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Restated Certificate of Incorporation.</w:t>
              </w:r>
            </w:hyperlink>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04"/>
        </w:trPr>
        <w:tc>
          <w:tcPr>
            <w:tcW w:w="500" w:type="dxa"/>
            <w:vAlign w:val="bottom"/>
          </w:tcPr>
          <w:p>
            <w:pPr>
              <w:jc w:val="right"/>
              <w:ind w:right="13"/>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24"/>
                <w:szCs w:val="24"/>
                <w:color w:val="auto"/>
              </w:rPr>
            </w:pPr>
          </w:p>
        </w:tc>
        <w:tc>
          <w:tcPr>
            <w:tcW w:w="2680" w:type="dxa"/>
            <w:vAlign w:val="bottom"/>
            <w:tcBorders>
              <w:top w:val="single" w:sz="8" w:color="0000EE"/>
            </w:tcBorders>
            <w:gridSpan w:val="7"/>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Restated Bylaws.</w:t>
              </w:r>
            </w:hyperlink>
          </w:p>
        </w:tc>
        <w:tc>
          <w:tcPr>
            <w:tcW w:w="2560" w:type="dxa"/>
            <w:vAlign w:val="bottom"/>
            <w:gridSpan w:val="12"/>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3"/>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24"/>
                <w:szCs w:val="24"/>
                <w:color w:val="auto"/>
              </w:rPr>
            </w:pPr>
          </w:p>
        </w:tc>
        <w:tc>
          <w:tcPr>
            <w:tcW w:w="5240" w:type="dxa"/>
            <w:vAlign w:val="bottom"/>
            <w:gridSpan w:val="19"/>
          </w:tcPr>
          <w:p>
            <w:pPr>
              <w:spacing w:after="0"/>
              <w:rPr>
                <w:rFonts w:ascii="Arial" w:cs="Arial" w:eastAsia="Arial" w:hAnsi="Arial"/>
                <w:sz w:val="18"/>
                <w:szCs w:val="18"/>
                <w:color w:val="0000EE"/>
              </w:rPr>
            </w:pPr>
            <w:hyperlink r:id="rId129">
              <w:r>
                <w:rPr>
                  <w:rFonts w:ascii="Arial" w:cs="Arial" w:eastAsia="Arial" w:hAnsi="Arial"/>
                  <w:sz w:val="18"/>
                  <w:szCs w:val="18"/>
                  <w:color w:val="0000EE"/>
                </w:rPr>
                <w:t>Form of Registrant’s Common Stock Certificate.</w:t>
              </w:r>
            </w:hyperlink>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S-1</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333-255754</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May 24, 2021</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4.1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3"/>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24"/>
                <w:szCs w:val="24"/>
                <w:color w:val="auto"/>
              </w:rPr>
            </w:pPr>
          </w:p>
        </w:tc>
        <w:tc>
          <w:tcPr>
            <w:tcW w:w="5240" w:type="dxa"/>
            <w:vAlign w:val="bottom"/>
            <w:gridSpan w:val="19"/>
          </w:tcPr>
          <w:p>
            <w:pPr>
              <w:spacing w:after="0"/>
              <w:rPr>
                <w:rFonts w:ascii="Arial" w:cs="Arial" w:eastAsia="Arial" w:hAnsi="Arial"/>
                <w:sz w:val="18"/>
                <w:szCs w:val="18"/>
                <w:color w:val="0000EE"/>
              </w:rPr>
            </w:pPr>
            <w:hyperlink r:id="rId130">
              <w:r>
                <w:rPr>
                  <w:rFonts w:ascii="Arial" w:cs="Arial" w:eastAsia="Arial" w:hAnsi="Arial"/>
                  <w:sz w:val="18"/>
                  <w:szCs w:val="18"/>
                  <w:color w:val="0000EE"/>
                </w:rPr>
                <w:t>Form of Indemnification Agreement with directors and officers.</w:t>
              </w:r>
            </w:hyperlink>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S-1</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333-255754</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May 4, 2021</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10.1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13"/>
              <w:spacing w:after="0"/>
              <w:rPr>
                <w:sz w:val="20"/>
                <w:szCs w:val="20"/>
                <w:color w:val="auto"/>
              </w:rPr>
            </w:pPr>
            <w:r>
              <w:rPr>
                <w:rFonts w:ascii="Arial" w:cs="Arial" w:eastAsia="Arial" w:hAnsi="Arial"/>
                <w:sz w:val="18"/>
                <w:szCs w:val="18"/>
                <w:color w:val="auto"/>
              </w:rPr>
              <w:t>10.2</w:t>
            </w:r>
          </w:p>
        </w:tc>
        <w:tc>
          <w:tcPr>
            <w:tcW w:w="400" w:type="dxa"/>
            <w:vAlign w:val="bottom"/>
          </w:tcPr>
          <w:p>
            <w:pPr>
              <w:spacing w:after="0"/>
              <w:rPr>
                <w:sz w:val="24"/>
                <w:szCs w:val="24"/>
                <w:color w:val="auto"/>
              </w:rPr>
            </w:pPr>
          </w:p>
        </w:tc>
        <w:tc>
          <w:tcPr>
            <w:tcW w:w="42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r:id="rId131">
              <w:r>
                <w:rPr>
                  <w:rFonts w:ascii="Arial" w:cs="Arial" w:eastAsia="Arial" w:hAnsi="Arial"/>
                  <w:sz w:val="18"/>
                  <w:szCs w:val="18"/>
                  <w:color w:val="0000EE"/>
                  <w:w w:val="90"/>
                </w:rPr>
                <w:t>2021 Equity Incentive Plan and forms of award agreements</w:t>
              </w:r>
            </w:hyperlink>
          </w:p>
        </w:tc>
        <w:tc>
          <w:tcPr>
            <w:tcW w:w="320" w:type="dxa"/>
            <w:vAlign w:val="bottom"/>
            <w:tcBorders>
              <w:top w:val="single" w:sz="8" w:color="0000EE"/>
            </w:tcBorders>
            <w:gridSpan w:val="4"/>
          </w:tcPr>
          <w:p>
            <w:pPr>
              <w:spacing w:after="0"/>
              <w:rPr>
                <w:sz w:val="24"/>
                <w:szCs w:val="24"/>
                <w:color w:val="auto"/>
              </w:rPr>
            </w:pPr>
          </w:p>
        </w:tc>
        <w:tc>
          <w:tcPr>
            <w:tcW w:w="640" w:type="dxa"/>
            <w:vAlign w:val="bottom"/>
            <w:gridSpan w:val="6"/>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40" w:type="dxa"/>
            <w:vAlign w:val="bottom"/>
            <w:gridSpan w:val="19"/>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thereunder.</w:t>
              </w:r>
            </w:hyperlink>
          </w:p>
        </w:tc>
        <w:tc>
          <w:tcPr>
            <w:tcW w:w="60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S-1</w:t>
            </w:r>
          </w:p>
        </w:tc>
        <w:tc>
          <w:tcPr>
            <w:tcW w:w="120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w w:val="95"/>
              </w:rPr>
              <w:t>333-255754</w:t>
            </w:r>
          </w:p>
        </w:tc>
        <w:tc>
          <w:tcPr>
            <w:tcW w:w="132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May 4, 2021</w:t>
            </w:r>
          </w:p>
        </w:tc>
        <w:tc>
          <w:tcPr>
            <w:tcW w:w="72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10.2</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3"/>
              <w:spacing w:after="0"/>
              <w:rPr>
                <w:sz w:val="20"/>
                <w:szCs w:val="20"/>
                <w:color w:val="auto"/>
              </w:rPr>
            </w:pPr>
            <w:r>
              <w:rPr>
                <w:rFonts w:ascii="Arial" w:cs="Arial" w:eastAsia="Arial" w:hAnsi="Arial"/>
                <w:sz w:val="18"/>
                <w:szCs w:val="18"/>
                <w:color w:val="auto"/>
              </w:rPr>
              <w:t>10.3</w:t>
            </w:r>
          </w:p>
        </w:tc>
        <w:tc>
          <w:tcPr>
            <w:tcW w:w="400" w:type="dxa"/>
            <w:vAlign w:val="bottom"/>
          </w:tcPr>
          <w:p>
            <w:pPr>
              <w:spacing w:after="0"/>
              <w:rPr>
                <w:sz w:val="24"/>
                <w:szCs w:val="24"/>
                <w:color w:val="auto"/>
              </w:rPr>
            </w:pPr>
          </w:p>
        </w:tc>
        <w:tc>
          <w:tcPr>
            <w:tcW w:w="5240" w:type="dxa"/>
            <w:vAlign w:val="bottom"/>
            <w:gridSpan w:val="19"/>
          </w:tcPr>
          <w:p>
            <w:pPr>
              <w:spacing w:after="0"/>
              <w:rPr>
                <w:rFonts w:ascii="Arial" w:cs="Arial" w:eastAsia="Arial" w:hAnsi="Arial"/>
                <w:sz w:val="18"/>
                <w:szCs w:val="18"/>
                <w:color w:val="0000EE"/>
                <w:w w:val="93"/>
              </w:rPr>
            </w:pPr>
            <w:hyperlink r:id="rId132">
              <w:r>
                <w:rPr>
                  <w:rFonts w:ascii="Arial" w:cs="Arial" w:eastAsia="Arial" w:hAnsi="Arial"/>
                  <w:sz w:val="18"/>
                  <w:szCs w:val="18"/>
                  <w:color w:val="0000EE"/>
                  <w:w w:val="93"/>
                </w:rPr>
                <w:t>2021 Employee Stock Purchase Plan and forms of award agreements</w:t>
              </w:r>
            </w:hyperlink>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9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thereunder.</w:t>
              </w:r>
            </w:hyperlink>
          </w:p>
        </w:tc>
        <w:tc>
          <w:tcPr>
            <w:tcW w:w="280" w:type="dxa"/>
            <w:vAlign w:val="bottom"/>
            <w:gridSpan w:val="3"/>
          </w:tcPr>
          <w:p>
            <w:pPr>
              <w:spacing w:after="0"/>
              <w:rPr>
                <w:sz w:val="17"/>
                <w:szCs w:val="17"/>
                <w:color w:val="auto"/>
              </w:rPr>
            </w:pPr>
          </w:p>
        </w:tc>
        <w:tc>
          <w:tcPr>
            <w:tcW w:w="60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S-1</w:t>
            </w:r>
          </w:p>
        </w:tc>
        <w:tc>
          <w:tcPr>
            <w:tcW w:w="120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w w:val="95"/>
              </w:rPr>
              <w:t>333-255754</w:t>
            </w:r>
          </w:p>
        </w:tc>
        <w:tc>
          <w:tcPr>
            <w:tcW w:w="132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May 4, 2021</w:t>
            </w:r>
          </w:p>
        </w:tc>
        <w:tc>
          <w:tcPr>
            <w:tcW w:w="72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10.3</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3"/>
              <w:spacing w:after="0"/>
              <w:rPr>
                <w:sz w:val="20"/>
                <w:szCs w:val="20"/>
                <w:color w:val="auto"/>
              </w:rPr>
            </w:pPr>
            <w:r>
              <w:rPr>
                <w:rFonts w:ascii="Arial" w:cs="Arial" w:eastAsia="Arial" w:hAnsi="Arial"/>
                <w:sz w:val="18"/>
                <w:szCs w:val="18"/>
                <w:color w:val="auto"/>
              </w:rPr>
              <w:t>10.8</w:t>
            </w:r>
          </w:p>
        </w:tc>
        <w:tc>
          <w:tcPr>
            <w:tcW w:w="400" w:type="dxa"/>
            <w:vAlign w:val="bottom"/>
          </w:tcPr>
          <w:p>
            <w:pPr>
              <w:spacing w:after="0"/>
              <w:rPr>
                <w:sz w:val="24"/>
                <w:szCs w:val="24"/>
                <w:color w:val="auto"/>
              </w:rPr>
            </w:pPr>
          </w:p>
        </w:tc>
        <w:tc>
          <w:tcPr>
            <w:tcW w:w="5020" w:type="dxa"/>
            <w:vAlign w:val="bottom"/>
            <w:tcBorders>
              <w:bottom w:val="single" w:sz="8" w:color="0000EE"/>
            </w:tcBorders>
            <w:gridSpan w:val="17"/>
          </w:tcPr>
          <w:p>
            <w:pPr>
              <w:spacing w:after="0"/>
              <w:rPr>
                <w:rFonts w:ascii="Arial" w:cs="Arial" w:eastAsia="Arial" w:hAnsi="Arial"/>
                <w:sz w:val="18"/>
                <w:szCs w:val="18"/>
                <w:color w:val="0000EE"/>
                <w:w w:val="89"/>
              </w:rPr>
            </w:pPr>
            <w:hyperlink r:id="rId133">
              <w:r>
                <w:rPr>
                  <w:rFonts w:ascii="Arial" w:cs="Arial" w:eastAsia="Arial" w:hAnsi="Arial"/>
                  <w:sz w:val="18"/>
                  <w:szCs w:val="18"/>
                  <w:color w:val="0000EE"/>
                  <w:w w:val="89"/>
                </w:rPr>
                <w:t>Stock Exchange Agreement, dated May 4, 2021, by and between Day</w:t>
              </w:r>
            </w:hyperlink>
          </w:p>
        </w:tc>
        <w:tc>
          <w:tcPr>
            <w:tcW w:w="22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40" w:type="dxa"/>
            <w:vAlign w:val="bottom"/>
            <w:gridSpan w:val="19"/>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One BioPharmaceuticals Holding Co., LLC and Millennium</w:t>
              </w:r>
            </w:hyperlink>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3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Pharmaceuticals, Inc.</w:t>
              </w:r>
            </w:hyperlink>
          </w:p>
        </w:tc>
        <w:tc>
          <w:tcPr>
            <w:tcW w:w="900" w:type="dxa"/>
            <w:vAlign w:val="bottom"/>
            <w:gridSpan w:val="9"/>
          </w:tcPr>
          <w:p>
            <w:pPr>
              <w:spacing w:after="0"/>
              <w:rPr>
                <w:sz w:val="17"/>
                <w:szCs w:val="17"/>
                <w:color w:val="auto"/>
              </w:rPr>
            </w:pPr>
          </w:p>
        </w:tc>
        <w:tc>
          <w:tcPr>
            <w:tcW w:w="60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S-1</w:t>
            </w:r>
          </w:p>
        </w:tc>
        <w:tc>
          <w:tcPr>
            <w:tcW w:w="120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w w:val="95"/>
              </w:rPr>
              <w:t>333-255754</w:t>
            </w:r>
          </w:p>
        </w:tc>
        <w:tc>
          <w:tcPr>
            <w:tcW w:w="132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May 4, 2021</w:t>
            </w:r>
          </w:p>
        </w:tc>
        <w:tc>
          <w:tcPr>
            <w:tcW w:w="72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10.8</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3"/>
              <w:spacing w:after="0"/>
              <w:rPr>
                <w:sz w:val="20"/>
                <w:szCs w:val="20"/>
                <w:color w:val="auto"/>
              </w:rPr>
            </w:pPr>
            <w:r>
              <w:rPr>
                <w:rFonts w:ascii="Arial" w:cs="Arial" w:eastAsia="Arial" w:hAnsi="Arial"/>
                <w:sz w:val="18"/>
                <w:szCs w:val="18"/>
                <w:color w:val="auto"/>
              </w:rPr>
              <w:t>31.1</w:t>
            </w:r>
          </w:p>
        </w:tc>
        <w:tc>
          <w:tcPr>
            <w:tcW w:w="400" w:type="dxa"/>
            <w:vAlign w:val="bottom"/>
          </w:tcPr>
          <w:p>
            <w:pPr>
              <w:spacing w:after="0"/>
              <w:rPr>
                <w:sz w:val="24"/>
                <w:szCs w:val="24"/>
                <w:color w:val="auto"/>
              </w:rPr>
            </w:pPr>
          </w:p>
        </w:tc>
        <w:tc>
          <w:tcPr>
            <w:tcW w:w="444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151">
              <w:r>
                <w:rPr>
                  <w:rFonts w:ascii="Arial" w:cs="Arial" w:eastAsia="Arial" w:hAnsi="Arial"/>
                  <w:sz w:val="18"/>
                  <w:szCs w:val="18"/>
                  <w:color w:val="0000EE"/>
                  <w:w w:val="92"/>
                </w:rPr>
                <w:t>Certification of Principal Executive Officer Pursuant to Rules</w:t>
              </w:r>
            </w:hyperlink>
          </w:p>
        </w:tc>
        <w:tc>
          <w:tcPr>
            <w:tcW w:w="800" w:type="dxa"/>
            <w:vAlign w:val="bottom"/>
            <w:gridSpan w:val="7"/>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94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151">
              <w:r>
                <w:rPr>
                  <w:rFonts w:ascii="Arial" w:cs="Arial" w:eastAsia="Arial" w:hAnsi="Arial"/>
                  <w:sz w:val="18"/>
                  <w:szCs w:val="18"/>
                  <w:color w:val="0000EE"/>
                  <w:w w:val="89"/>
                </w:rPr>
                <w:t>13a-14(a) and 15d-14(a) under the Securities Exchange Act of 1934,</w:t>
              </w:r>
            </w:hyperlink>
          </w:p>
        </w:tc>
        <w:tc>
          <w:tcPr>
            <w:tcW w:w="300" w:type="dxa"/>
            <w:vAlign w:val="bottom"/>
            <w:gridSpan w:val="4"/>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40" w:type="dxa"/>
            <w:vAlign w:val="bottom"/>
            <w:gridSpan w:val="19"/>
          </w:tcPr>
          <w:p>
            <w:pPr>
              <w:spacing w:after="0" w:line="196" w:lineRule="exact"/>
              <w:rPr>
                <w:rFonts w:ascii="Arial" w:cs="Arial" w:eastAsia="Arial" w:hAnsi="Arial"/>
                <w:sz w:val="18"/>
                <w:szCs w:val="18"/>
                <w:color w:val="0000EE"/>
                <w:w w:val="99"/>
              </w:rPr>
            </w:pPr>
            <w:hyperlink w:anchor="page151">
              <w:r>
                <w:rPr>
                  <w:rFonts w:ascii="Arial" w:cs="Arial" w:eastAsia="Arial" w:hAnsi="Arial"/>
                  <w:sz w:val="18"/>
                  <w:szCs w:val="18"/>
                  <w:color w:val="0000EE"/>
                  <w:w w:val="99"/>
                </w:rPr>
                <w:t>as Adopted Pursuant to Section 302 of the Sarbanes-Oxley Act of</w:t>
              </w:r>
            </w:hyperlink>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151">
              <w:r>
                <w:rPr>
                  <w:rFonts w:ascii="Arial" w:cs="Arial" w:eastAsia="Arial" w:hAnsi="Arial"/>
                  <w:sz w:val="18"/>
                  <w:szCs w:val="18"/>
                  <w:color w:val="0000EE"/>
                  <w:w w:val="88"/>
                </w:rPr>
                <w:t>2002.</w:t>
              </w:r>
            </w:hyperlink>
          </w:p>
        </w:tc>
        <w:tc>
          <w:tcPr>
            <w:tcW w:w="3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04"/>
        </w:trPr>
        <w:tc>
          <w:tcPr>
            <w:tcW w:w="500" w:type="dxa"/>
            <w:vAlign w:val="bottom"/>
          </w:tcPr>
          <w:p>
            <w:pPr>
              <w:jc w:val="right"/>
              <w:ind w:right="13"/>
              <w:spacing w:after="0"/>
              <w:rPr>
                <w:sz w:val="20"/>
                <w:szCs w:val="20"/>
                <w:color w:val="auto"/>
              </w:rPr>
            </w:pPr>
            <w:r>
              <w:rPr>
                <w:rFonts w:ascii="Arial" w:cs="Arial" w:eastAsia="Arial" w:hAnsi="Arial"/>
                <w:sz w:val="18"/>
                <w:szCs w:val="18"/>
                <w:color w:val="auto"/>
              </w:rPr>
              <w:t>31.2</w:t>
            </w:r>
          </w:p>
        </w:tc>
        <w:tc>
          <w:tcPr>
            <w:tcW w:w="400" w:type="dxa"/>
            <w:vAlign w:val="bottom"/>
          </w:tcPr>
          <w:p>
            <w:pPr>
              <w:spacing w:after="0"/>
              <w:rPr>
                <w:sz w:val="24"/>
                <w:szCs w:val="24"/>
                <w:color w:val="auto"/>
              </w:rPr>
            </w:pPr>
          </w:p>
        </w:tc>
        <w:tc>
          <w:tcPr>
            <w:tcW w:w="5240" w:type="dxa"/>
            <w:vAlign w:val="bottom"/>
            <w:gridSpan w:val="19"/>
          </w:tcPr>
          <w:p>
            <w:pPr>
              <w:spacing w:after="0"/>
              <w:rPr>
                <w:rFonts w:ascii="Arial" w:cs="Arial" w:eastAsia="Arial" w:hAnsi="Arial"/>
                <w:sz w:val="18"/>
                <w:szCs w:val="18"/>
                <w:color w:val="0000EE"/>
              </w:rPr>
            </w:pPr>
            <w:hyperlink w:anchor="page152">
              <w:r>
                <w:rPr>
                  <w:rFonts w:ascii="Arial" w:cs="Arial" w:eastAsia="Arial" w:hAnsi="Arial"/>
                  <w:sz w:val="18"/>
                  <w:szCs w:val="18"/>
                  <w:color w:val="0000EE"/>
                </w:rPr>
                <w:t>Certification of Principal Financial Officer Pursuant to Rules</w:t>
              </w:r>
            </w:hyperlink>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980" w:type="dxa"/>
            <w:vAlign w:val="bottom"/>
            <w:gridSpan w:val="9"/>
            <w:shd w:val="clear" w:color="auto" w:fill="0000EE"/>
          </w:tcPr>
          <w:p>
            <w:pPr>
              <w:spacing w:after="0" w:line="20" w:lineRule="exact"/>
              <w:rPr>
                <w:sz w:val="1"/>
                <w:szCs w:val="1"/>
                <w:color w:val="auto"/>
              </w:rPr>
            </w:pPr>
          </w:p>
        </w:tc>
        <w:tc>
          <w:tcPr>
            <w:tcW w:w="860" w:type="dxa"/>
            <w:vAlign w:val="bottom"/>
            <w:gridSpan w:val="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94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152">
              <w:r>
                <w:rPr>
                  <w:rFonts w:ascii="Arial" w:cs="Arial" w:eastAsia="Arial" w:hAnsi="Arial"/>
                  <w:sz w:val="18"/>
                  <w:szCs w:val="18"/>
                  <w:color w:val="0000EE"/>
                  <w:w w:val="89"/>
                </w:rPr>
                <w:t>13a-14(a) and 15d-14(a) under the Securities Exchange Act of 1934,</w:t>
              </w:r>
            </w:hyperlink>
          </w:p>
        </w:tc>
        <w:tc>
          <w:tcPr>
            <w:tcW w:w="300" w:type="dxa"/>
            <w:vAlign w:val="bottom"/>
            <w:gridSpan w:val="4"/>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40" w:type="dxa"/>
            <w:vAlign w:val="bottom"/>
            <w:gridSpan w:val="19"/>
          </w:tcPr>
          <w:p>
            <w:pPr>
              <w:spacing w:after="0" w:line="196" w:lineRule="exact"/>
              <w:rPr>
                <w:rFonts w:ascii="Arial" w:cs="Arial" w:eastAsia="Arial" w:hAnsi="Arial"/>
                <w:sz w:val="18"/>
                <w:szCs w:val="18"/>
                <w:color w:val="0000EE"/>
                <w:w w:val="99"/>
              </w:rPr>
            </w:pPr>
            <w:hyperlink w:anchor="page152">
              <w:r>
                <w:rPr>
                  <w:rFonts w:ascii="Arial" w:cs="Arial" w:eastAsia="Arial" w:hAnsi="Arial"/>
                  <w:sz w:val="18"/>
                  <w:szCs w:val="18"/>
                  <w:color w:val="0000EE"/>
                  <w:w w:val="99"/>
                </w:rPr>
                <w:t>as Adopted Pursuant to Section 302 of the Sarbanes-Oxley Act of</w:t>
              </w:r>
            </w:hyperlink>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Borders>
              <w:top w:val="single" w:sz="8" w:color="0000EE"/>
            </w:tcBorders>
            <w:gridSpan w:val="3"/>
          </w:tcPr>
          <w:p>
            <w:pPr>
              <w:spacing w:after="0" w:line="196" w:lineRule="exact"/>
              <w:rPr>
                <w:rFonts w:ascii="Arial" w:cs="Arial" w:eastAsia="Arial" w:hAnsi="Arial"/>
                <w:sz w:val="18"/>
                <w:szCs w:val="18"/>
                <w:color w:val="0000EE"/>
                <w:w w:val="88"/>
              </w:rPr>
            </w:pPr>
            <w:hyperlink w:anchor="page152">
              <w:r>
                <w:rPr>
                  <w:rFonts w:ascii="Arial" w:cs="Arial" w:eastAsia="Arial" w:hAnsi="Arial"/>
                  <w:sz w:val="18"/>
                  <w:szCs w:val="18"/>
                  <w:color w:val="0000EE"/>
                  <w:w w:val="88"/>
                </w:rPr>
                <w:t>2002.</w:t>
              </w:r>
            </w:hyperlink>
          </w:p>
        </w:tc>
        <w:tc>
          <w:tcPr>
            <w:tcW w:w="3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420" w:type="dxa"/>
            <w:vAlign w:val="bottom"/>
            <w:gridSpan w:val="2"/>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540" w:type="dxa"/>
            <w:vAlign w:val="bottom"/>
            <w:gridSpan w:val="13"/>
          </w:tcPr>
          <w:p>
            <w:pPr>
              <w:jc w:val="right"/>
              <w:ind w:right="200"/>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6" w:right="4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9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w w:val="99"/>
              </w:rPr>
              <w:t>Incorporated by Reference</w:t>
            </w:r>
          </w:p>
        </w:tc>
        <w:tc>
          <w:tcPr>
            <w:tcW w:w="4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Filed/Furnished</w:t>
            </w:r>
          </w:p>
        </w:tc>
        <w:tc>
          <w:tcPr>
            <w:tcW w:w="0" w:type="dxa"/>
            <w:vAlign w:val="bottom"/>
          </w:tcPr>
          <w:p>
            <w:pPr>
              <w:spacing w:after="0"/>
              <w:rPr>
                <w:sz w:val="1"/>
                <w:szCs w:val="1"/>
                <w:color w:val="auto"/>
              </w:rPr>
            </w:pPr>
          </w:p>
        </w:tc>
      </w:tr>
      <w:tr>
        <w:trPr>
          <w:trHeight w:val="128"/>
        </w:trPr>
        <w:tc>
          <w:tcPr>
            <w:tcW w:w="108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4740" w:type="dxa"/>
            <w:vAlign w:val="bottom"/>
            <w:gridSpan w:val="4"/>
            <w:vMerge w:val="restart"/>
          </w:tcPr>
          <w:p>
            <w:pPr>
              <w:ind w:left="1380"/>
              <w:spacing w:after="0"/>
              <w:rPr>
                <w:sz w:val="20"/>
                <w:szCs w:val="20"/>
                <w:color w:val="auto"/>
              </w:rPr>
            </w:pPr>
            <w:r>
              <w:rPr>
                <w:rFonts w:ascii="Arial" w:cs="Arial" w:eastAsia="Arial" w:hAnsi="Arial"/>
                <w:sz w:val="14"/>
                <w:szCs w:val="14"/>
                <w:b w:val="1"/>
                <w:bCs w:val="1"/>
                <w:color w:val="auto"/>
              </w:rPr>
              <w:t>Description</w:t>
            </w:r>
          </w:p>
        </w:tc>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97"/>
              </w:rPr>
              <w:t>Form</w:t>
            </w:r>
          </w:p>
        </w:tc>
        <w:tc>
          <w:tcPr>
            <w:tcW w:w="38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File No.</w:t>
            </w:r>
          </w:p>
        </w:tc>
        <w:tc>
          <w:tcPr>
            <w:tcW w:w="76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96"/>
              </w:rPr>
              <w:t>Filing</w:t>
            </w: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Number</w:t>
            </w:r>
          </w:p>
        </w:tc>
        <w:tc>
          <w:tcPr>
            <w:tcW w:w="920" w:type="dxa"/>
            <w:vAlign w:val="bottom"/>
          </w:tcPr>
          <w:p>
            <w:pPr>
              <w:spacing w:after="0"/>
              <w:rPr>
                <w:sz w:val="12"/>
                <w:szCs w:val="12"/>
                <w:color w:val="auto"/>
              </w:rPr>
            </w:pPr>
          </w:p>
        </w:tc>
        <w:tc>
          <w:tcPr>
            <w:tcW w:w="4740" w:type="dxa"/>
            <w:vAlign w:val="bottom"/>
            <w:gridSpan w:val="4"/>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76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8"/>
              </w:rPr>
              <w:t>Date</w:t>
            </w:r>
          </w:p>
        </w:tc>
        <w:tc>
          <w:tcPr>
            <w:tcW w:w="860" w:type="dxa"/>
            <w:vAlign w:val="bottom"/>
            <w:gridSpan w:val="2"/>
            <w:vMerge w:val="continue"/>
          </w:tcPr>
          <w:p>
            <w:pPr>
              <w:spacing w:after="0"/>
              <w:rPr>
                <w:sz w:val="12"/>
                <w:szCs w:val="12"/>
                <w:color w:val="auto"/>
              </w:rPr>
            </w:pPr>
          </w:p>
        </w:tc>
        <w:tc>
          <w:tcPr>
            <w:tcW w:w="980" w:type="dxa"/>
            <w:vAlign w:val="bottom"/>
          </w:tcPr>
          <w:p>
            <w:pPr>
              <w:jc w:val="right"/>
              <w:ind w:right="113"/>
              <w:spacing w:after="0" w:line="129" w:lineRule="exact"/>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00" w:type="dxa"/>
            <w:vAlign w:val="bottom"/>
          </w:tcPr>
          <w:p>
            <w:pPr>
              <w:ind w:left="80"/>
              <w:spacing w:after="0"/>
              <w:rPr>
                <w:sz w:val="20"/>
                <w:szCs w:val="20"/>
                <w:color w:val="auto"/>
              </w:rPr>
            </w:pPr>
            <w:r>
              <w:rPr>
                <w:rFonts w:ascii="Arial" w:cs="Arial" w:eastAsia="Arial" w:hAnsi="Arial"/>
                <w:sz w:val="18"/>
                <w:szCs w:val="18"/>
                <w:color w:val="auto"/>
                <w:w w:val="95"/>
              </w:rPr>
              <w:t>32.1*</w:t>
            </w:r>
          </w:p>
        </w:tc>
        <w:tc>
          <w:tcPr>
            <w:tcW w:w="580" w:type="dxa"/>
            <w:vAlign w:val="bottom"/>
          </w:tcPr>
          <w:p>
            <w:pPr>
              <w:spacing w:after="0"/>
              <w:rPr>
                <w:sz w:val="21"/>
                <w:szCs w:val="21"/>
                <w:color w:val="auto"/>
              </w:rPr>
            </w:pPr>
          </w:p>
        </w:tc>
        <w:tc>
          <w:tcPr>
            <w:tcW w:w="5660" w:type="dxa"/>
            <w:vAlign w:val="bottom"/>
            <w:gridSpan w:val="5"/>
          </w:tcPr>
          <w:p>
            <w:pPr>
              <w:spacing w:after="0"/>
              <w:rPr>
                <w:rFonts w:ascii="Arial" w:cs="Arial" w:eastAsia="Arial" w:hAnsi="Arial"/>
                <w:sz w:val="18"/>
                <w:szCs w:val="18"/>
                <w:color w:val="0000EE"/>
              </w:rPr>
            </w:pPr>
            <w:hyperlink w:anchor="page153">
              <w:r>
                <w:rPr>
                  <w:rFonts w:ascii="Arial" w:cs="Arial" w:eastAsia="Arial" w:hAnsi="Arial"/>
                  <w:sz w:val="18"/>
                  <w:szCs w:val="18"/>
                  <w:color w:val="0000EE"/>
                </w:rPr>
                <w:t>Certification of Principal Executive Officer Pursuant to 18 U.S.C.</w:t>
              </w:r>
            </w:hyperlink>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53">
              <w:r>
                <w:rPr>
                  <w:rFonts w:ascii="Arial" w:cs="Arial" w:eastAsia="Arial" w:hAnsi="Arial"/>
                  <w:sz w:val="18"/>
                  <w:szCs w:val="18"/>
                  <w:color w:val="0000EE"/>
                  <w:w w:val="89"/>
                </w:rPr>
                <w:t>Section 1350, as Adopted Pursuant to Section 906 of the Sarbanes-Oxley</w:t>
              </w:r>
            </w:hyperlink>
          </w:p>
        </w:tc>
        <w:tc>
          <w:tcPr>
            <w:tcW w:w="38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Borders>
              <w:bottom w:val="single" w:sz="8" w:color="0000EE"/>
            </w:tcBorders>
          </w:tcPr>
          <w:p>
            <w:pPr>
              <w:spacing w:after="0" w:line="196" w:lineRule="exact"/>
              <w:rPr>
                <w:rFonts w:ascii="Arial" w:cs="Arial" w:eastAsia="Arial" w:hAnsi="Arial"/>
                <w:sz w:val="18"/>
                <w:szCs w:val="18"/>
                <w:color w:val="0000EE"/>
                <w:w w:val="93"/>
              </w:rPr>
            </w:pPr>
            <w:hyperlink w:anchor="page153">
              <w:r>
                <w:rPr>
                  <w:rFonts w:ascii="Arial" w:cs="Arial" w:eastAsia="Arial" w:hAnsi="Arial"/>
                  <w:sz w:val="18"/>
                  <w:szCs w:val="18"/>
                  <w:color w:val="0000EE"/>
                  <w:w w:val="93"/>
                </w:rPr>
                <w:t>Act of 2002.</w:t>
              </w:r>
            </w:hyperlink>
          </w:p>
        </w:tc>
        <w:tc>
          <w:tcPr>
            <w:tcW w:w="4740" w:type="dxa"/>
            <w:vAlign w:val="bottom"/>
            <w:gridSpan w:val="4"/>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04"/>
        </w:trPr>
        <w:tc>
          <w:tcPr>
            <w:tcW w:w="500" w:type="dxa"/>
            <w:vAlign w:val="bottom"/>
          </w:tcPr>
          <w:p>
            <w:pPr>
              <w:ind w:left="80"/>
              <w:spacing w:after="0"/>
              <w:rPr>
                <w:sz w:val="20"/>
                <w:szCs w:val="20"/>
                <w:color w:val="auto"/>
              </w:rPr>
            </w:pPr>
            <w:r>
              <w:rPr>
                <w:rFonts w:ascii="Arial" w:cs="Arial" w:eastAsia="Arial" w:hAnsi="Arial"/>
                <w:sz w:val="18"/>
                <w:szCs w:val="18"/>
                <w:color w:val="auto"/>
                <w:w w:val="95"/>
              </w:rPr>
              <w:t>32.2*</w:t>
            </w:r>
          </w:p>
        </w:tc>
        <w:tc>
          <w:tcPr>
            <w:tcW w:w="580" w:type="dxa"/>
            <w:vAlign w:val="bottom"/>
          </w:tcPr>
          <w:p>
            <w:pPr>
              <w:spacing w:after="0"/>
              <w:rPr>
                <w:sz w:val="24"/>
                <w:szCs w:val="24"/>
                <w:color w:val="auto"/>
              </w:rPr>
            </w:pPr>
          </w:p>
        </w:tc>
        <w:tc>
          <w:tcPr>
            <w:tcW w:w="474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154">
              <w:r>
                <w:rPr>
                  <w:rFonts w:ascii="Arial" w:cs="Arial" w:eastAsia="Arial" w:hAnsi="Arial"/>
                  <w:sz w:val="18"/>
                  <w:szCs w:val="18"/>
                  <w:color w:val="0000EE"/>
                  <w:w w:val="93"/>
                </w:rPr>
                <w:t>Certification of Principal Financial Officer Pursuant to 18 U.S.C.</w:t>
              </w:r>
            </w:hyperlink>
          </w:p>
        </w:tc>
        <w:tc>
          <w:tcPr>
            <w:tcW w:w="920" w:type="dxa"/>
            <w:vAlign w:val="bottom"/>
            <w:gridSpan w:val="3"/>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54">
              <w:r>
                <w:rPr>
                  <w:rFonts w:ascii="Arial" w:cs="Arial" w:eastAsia="Arial" w:hAnsi="Arial"/>
                  <w:sz w:val="18"/>
                  <w:szCs w:val="18"/>
                  <w:color w:val="0000EE"/>
                  <w:w w:val="89"/>
                </w:rPr>
                <w:t>Section 1350, as Adopted Pursuant to Section 906 of the Sarbanes-Oxley</w:t>
              </w:r>
            </w:hyperlink>
          </w:p>
        </w:tc>
        <w:tc>
          <w:tcPr>
            <w:tcW w:w="38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Borders>
              <w:bottom w:val="single" w:sz="8" w:color="0000EE"/>
            </w:tcBorders>
          </w:tcPr>
          <w:p>
            <w:pPr>
              <w:spacing w:after="0" w:line="196" w:lineRule="exact"/>
              <w:rPr>
                <w:rFonts w:ascii="Arial" w:cs="Arial" w:eastAsia="Arial" w:hAnsi="Arial"/>
                <w:sz w:val="18"/>
                <w:szCs w:val="18"/>
                <w:color w:val="0000EE"/>
                <w:w w:val="93"/>
              </w:rPr>
            </w:pPr>
            <w:hyperlink w:anchor="page154">
              <w:r>
                <w:rPr>
                  <w:rFonts w:ascii="Arial" w:cs="Arial" w:eastAsia="Arial" w:hAnsi="Arial"/>
                  <w:sz w:val="18"/>
                  <w:szCs w:val="18"/>
                  <w:color w:val="0000EE"/>
                  <w:w w:val="93"/>
                </w:rPr>
                <w:t>Act of 2002.</w:t>
              </w:r>
            </w:hyperlink>
          </w:p>
        </w:tc>
        <w:tc>
          <w:tcPr>
            <w:tcW w:w="4740" w:type="dxa"/>
            <w:vAlign w:val="bottom"/>
            <w:gridSpan w:val="4"/>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30"/>
        </w:trPr>
        <w:tc>
          <w:tcPr>
            <w:tcW w:w="10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660" w:type="dxa"/>
            <w:vAlign w:val="bottom"/>
            <w:gridSpan w:val="5"/>
          </w:tcPr>
          <w:p>
            <w:pPr>
              <w:spacing w:after="0"/>
              <w:rPr>
                <w:sz w:val="20"/>
                <w:szCs w:val="20"/>
                <w:color w:val="auto"/>
              </w:rPr>
            </w:pPr>
            <w:r>
              <w:rPr>
                <w:rFonts w:ascii="Arial" w:cs="Arial" w:eastAsia="Arial" w:hAnsi="Arial"/>
                <w:sz w:val="18"/>
                <w:szCs w:val="18"/>
                <w:color w:val="auto"/>
                <w:w w:val="96"/>
              </w:rPr>
              <w:t>Inline XBRL Instance Document (the instance document does not appear</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60" w:type="dxa"/>
            <w:vAlign w:val="bottom"/>
            <w:gridSpan w:val="5"/>
          </w:tcPr>
          <w:p>
            <w:pPr>
              <w:spacing w:after="0"/>
              <w:rPr>
                <w:sz w:val="20"/>
                <w:szCs w:val="20"/>
                <w:color w:val="auto"/>
              </w:rPr>
            </w:pPr>
            <w:r>
              <w:rPr>
                <w:rFonts w:ascii="Arial" w:cs="Arial" w:eastAsia="Arial" w:hAnsi="Arial"/>
                <w:sz w:val="18"/>
                <w:szCs w:val="18"/>
                <w:color w:val="auto"/>
                <w:w w:val="99"/>
              </w:rPr>
              <w:t>in the Interactive Data File because its XBRL tags are embedded within</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60" w:type="dxa"/>
            <w:vAlign w:val="bottom"/>
            <w:gridSpan w:val="5"/>
          </w:tcPr>
          <w:p>
            <w:pPr>
              <w:spacing w:after="0"/>
              <w:rPr>
                <w:sz w:val="20"/>
                <w:szCs w:val="20"/>
                <w:color w:val="auto"/>
              </w:rPr>
            </w:pPr>
            <w:r>
              <w:rPr>
                <w:rFonts w:ascii="Arial" w:cs="Arial" w:eastAsia="Arial" w:hAnsi="Arial"/>
                <w:sz w:val="18"/>
                <w:szCs w:val="18"/>
                <w:color w:val="auto"/>
              </w:rPr>
              <w:t>the Inline XBRL document).</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10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66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10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66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10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66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10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66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10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66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80" w:type="dxa"/>
            <w:vAlign w:val="bottom"/>
          </w:tcPr>
          <w:p>
            <w:pPr>
              <w:spacing w:after="0"/>
              <w:rPr>
                <w:sz w:val="24"/>
                <w:szCs w:val="24"/>
                <w:color w:val="auto"/>
              </w:rPr>
            </w:pPr>
          </w:p>
        </w:tc>
        <w:tc>
          <w:tcPr>
            <w:tcW w:w="5660" w:type="dxa"/>
            <w:vAlign w:val="bottom"/>
            <w:gridSpan w:val="5"/>
          </w:tcPr>
          <w:p>
            <w:pPr>
              <w:spacing w:after="0"/>
              <w:rPr>
                <w:sz w:val="20"/>
                <w:szCs w:val="20"/>
                <w:color w:val="auto"/>
              </w:rPr>
            </w:pPr>
            <w:r>
              <w:rPr>
                <w:rFonts w:ascii="Arial" w:cs="Arial" w:eastAsia="Arial" w:hAnsi="Arial"/>
                <w:sz w:val="18"/>
                <w:szCs w:val="18"/>
                <w:color w:val="auto"/>
              </w:rPr>
              <w:t>Cover Page Interactive Data File (embedded within the Inline XBRL</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60" w:type="dxa"/>
            <w:vAlign w:val="bottom"/>
            <w:gridSpan w:val="5"/>
          </w:tcPr>
          <w:p>
            <w:pPr>
              <w:spacing w:after="0"/>
              <w:rPr>
                <w:sz w:val="20"/>
                <w:szCs w:val="20"/>
                <w:color w:val="auto"/>
              </w:rPr>
            </w:pPr>
            <w:r>
              <w:rPr>
                <w:rFonts w:ascii="Arial" w:cs="Arial" w:eastAsia="Arial" w:hAnsi="Arial"/>
                <w:sz w:val="18"/>
                <w:szCs w:val="18"/>
                <w:color w:val="auto"/>
              </w:rPr>
              <w:t>document)</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line="277" w:lineRule="auto"/>
        <w:tabs>
          <w:tab w:leader="none" w:pos="5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00"/>
          </w:cols>
          <w:pgMar w:left="320" w:top="486" w:right="4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7580" w:type="dxa"/>
            <w:vAlign w:val="bottom"/>
            <w:gridSpan w:val="2"/>
          </w:tcPr>
          <w:p>
            <w:pPr>
              <w:ind w:left="1840"/>
              <w:spacing w:after="0"/>
              <w:rPr>
                <w:sz w:val="20"/>
                <w:szCs w:val="20"/>
                <w:color w:val="auto"/>
              </w:rPr>
            </w:pPr>
            <w:r>
              <w:rPr>
                <w:rFonts w:ascii="Arial" w:cs="Arial" w:eastAsia="Arial" w:hAnsi="Arial"/>
                <w:sz w:val="18"/>
                <w:szCs w:val="18"/>
                <w:color w:val="auto"/>
              </w:rPr>
              <w:t>DAY ONE BIOPHARMACEUTICALS, INC.</w:t>
            </w:r>
          </w:p>
        </w:tc>
      </w:tr>
      <w:tr>
        <w:trPr>
          <w:trHeight w:val="446"/>
        </w:trPr>
        <w:tc>
          <w:tcPr>
            <w:tcW w:w="3440" w:type="dxa"/>
            <w:vAlign w:val="bottom"/>
          </w:tcPr>
          <w:p>
            <w:pPr>
              <w:spacing w:after="0"/>
              <w:rPr>
                <w:sz w:val="20"/>
                <w:szCs w:val="20"/>
                <w:color w:val="auto"/>
              </w:rPr>
            </w:pPr>
            <w:r>
              <w:rPr>
                <w:rFonts w:ascii="Arial" w:cs="Arial" w:eastAsia="Arial" w:hAnsi="Arial"/>
                <w:sz w:val="18"/>
                <w:szCs w:val="18"/>
                <w:color w:val="auto"/>
              </w:rPr>
              <w:t>Date: August 10, 2021</w:t>
            </w:r>
          </w:p>
        </w:tc>
        <w:tc>
          <w:tcPr>
            <w:tcW w:w="2260" w:type="dxa"/>
            <w:vAlign w:val="bottom"/>
          </w:tcPr>
          <w:p>
            <w:pPr>
              <w:ind w:left="1840"/>
              <w:spacing w:after="0"/>
              <w:rPr>
                <w:sz w:val="20"/>
                <w:szCs w:val="20"/>
                <w:color w:val="auto"/>
              </w:rPr>
            </w:pPr>
            <w:r>
              <w:rPr>
                <w:rFonts w:ascii="Arial" w:cs="Arial" w:eastAsia="Arial" w:hAnsi="Arial"/>
                <w:sz w:val="18"/>
                <w:szCs w:val="18"/>
                <w:color w:val="auto"/>
              </w:rPr>
              <w:t>By:</w:t>
            </w:r>
          </w:p>
        </w:tc>
        <w:tc>
          <w:tcPr>
            <w:tcW w:w="53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Jeremy Bender, Ph.D., M.B.A.</w:t>
            </w:r>
          </w:p>
        </w:tc>
      </w:tr>
      <w:tr>
        <w:trPr>
          <w:trHeight w:val="195"/>
        </w:trPr>
        <w:tc>
          <w:tcPr>
            <w:tcW w:w="34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320" w:type="dxa"/>
            <w:vAlign w:val="bottom"/>
          </w:tcPr>
          <w:p>
            <w:pPr>
              <w:ind w:left="140"/>
              <w:spacing w:after="0" w:line="195" w:lineRule="exact"/>
              <w:rPr>
                <w:sz w:val="20"/>
                <w:szCs w:val="20"/>
                <w:color w:val="auto"/>
              </w:rPr>
            </w:pPr>
            <w:r>
              <w:rPr>
                <w:rFonts w:ascii="Arial" w:cs="Arial" w:eastAsia="Arial" w:hAnsi="Arial"/>
                <w:sz w:val="18"/>
                <w:szCs w:val="18"/>
                <w:color w:val="auto"/>
              </w:rPr>
              <w:t>Jeremy Bender, Ph.D., M.B.A.</w:t>
            </w:r>
          </w:p>
        </w:tc>
      </w:tr>
      <w:tr>
        <w:trPr>
          <w:trHeight w:val="230"/>
        </w:trPr>
        <w:tc>
          <w:tcPr>
            <w:tcW w:w="34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Chief Executive Officer and President</w:t>
            </w:r>
          </w:p>
        </w:tc>
      </w:tr>
      <w:tr>
        <w:trPr>
          <w:trHeight w:val="446"/>
        </w:trPr>
        <w:tc>
          <w:tcPr>
            <w:tcW w:w="3440" w:type="dxa"/>
            <w:vAlign w:val="bottom"/>
          </w:tcPr>
          <w:p>
            <w:pPr>
              <w:spacing w:after="0"/>
              <w:rPr>
                <w:sz w:val="20"/>
                <w:szCs w:val="20"/>
                <w:color w:val="auto"/>
              </w:rPr>
            </w:pPr>
            <w:r>
              <w:rPr>
                <w:rFonts w:ascii="Arial" w:cs="Arial" w:eastAsia="Arial" w:hAnsi="Arial"/>
                <w:sz w:val="18"/>
                <w:szCs w:val="18"/>
                <w:color w:val="auto"/>
              </w:rPr>
              <w:t>Date: August 10, 2021</w:t>
            </w:r>
          </w:p>
        </w:tc>
        <w:tc>
          <w:tcPr>
            <w:tcW w:w="2260" w:type="dxa"/>
            <w:vAlign w:val="bottom"/>
          </w:tcPr>
          <w:p>
            <w:pPr>
              <w:ind w:left="1840"/>
              <w:spacing w:after="0"/>
              <w:rPr>
                <w:sz w:val="20"/>
                <w:szCs w:val="20"/>
                <w:color w:val="auto"/>
              </w:rPr>
            </w:pPr>
            <w:r>
              <w:rPr>
                <w:rFonts w:ascii="Arial" w:cs="Arial" w:eastAsia="Arial" w:hAnsi="Arial"/>
                <w:sz w:val="18"/>
                <w:szCs w:val="18"/>
                <w:color w:val="auto"/>
              </w:rPr>
              <w:t>By:</w:t>
            </w:r>
          </w:p>
        </w:tc>
        <w:tc>
          <w:tcPr>
            <w:tcW w:w="53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Charles N. York II, M.B.A.</w:t>
            </w:r>
          </w:p>
        </w:tc>
      </w:tr>
      <w:tr>
        <w:trPr>
          <w:trHeight w:val="195"/>
        </w:trPr>
        <w:tc>
          <w:tcPr>
            <w:tcW w:w="34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320" w:type="dxa"/>
            <w:vAlign w:val="bottom"/>
          </w:tcPr>
          <w:p>
            <w:pPr>
              <w:ind w:left="140"/>
              <w:spacing w:after="0" w:line="195" w:lineRule="exact"/>
              <w:rPr>
                <w:sz w:val="20"/>
                <w:szCs w:val="20"/>
                <w:color w:val="auto"/>
              </w:rPr>
            </w:pPr>
            <w:r>
              <w:rPr>
                <w:rFonts w:ascii="Arial" w:cs="Arial" w:eastAsia="Arial" w:hAnsi="Arial"/>
                <w:sz w:val="18"/>
                <w:szCs w:val="18"/>
                <w:color w:val="auto"/>
              </w:rPr>
              <w:t>Charles N. York II, M.B.A.</w:t>
            </w:r>
          </w:p>
        </w:tc>
      </w:tr>
      <w:tr>
        <w:trPr>
          <w:trHeight w:val="230"/>
        </w:trPr>
        <w:tc>
          <w:tcPr>
            <w:tcW w:w="34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Chief Operating Officer and Chief Financial Officer</w:t>
            </w:r>
          </w:p>
        </w:tc>
      </w:tr>
      <w:tr>
        <w:trPr>
          <w:trHeight w:val="364"/>
        </w:trPr>
        <w:tc>
          <w:tcPr>
            <w:tcW w:w="344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113</w:t>
            </w:r>
          </w:p>
        </w:tc>
        <w:tc>
          <w:tcPr>
            <w:tcW w:w="532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DAY ONE BIOPHARMACEUTICALS, INC.</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Day One Biopharmaceuticals, Inc., a Delaware corporation, hereby certifies as follows:</w:t>
      </w:r>
    </w:p>
    <w:p>
      <w:pPr>
        <w:spacing w:after="0" w:line="225" w:lineRule="exact"/>
        <w:rPr>
          <w:sz w:val="20"/>
          <w:szCs w:val="20"/>
          <w:color w:val="auto"/>
        </w:rPr>
      </w:pPr>
    </w:p>
    <w:p>
      <w:pPr>
        <w:ind w:right="100" w:firstLine="436"/>
        <w:spacing w:after="0" w:line="277" w:lineRule="auto"/>
        <w:tabs>
          <w:tab w:leader="none" w:pos="752"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name of this corporation is “Day One Biopharmaceuticals, Inc.” The date of the filing of its original Certificate of Incorporation with the Secretary of State of the State of Delaware was May 26, 2021 under the name Day One Biopharmaceuticals, Inc.</w:t>
      </w:r>
    </w:p>
    <w:p>
      <w:pPr>
        <w:spacing w:after="0" w:line="170" w:lineRule="exact"/>
        <w:rPr>
          <w:rFonts w:ascii="Arial" w:cs="Arial" w:eastAsia="Arial" w:hAnsi="Arial"/>
          <w:sz w:val="18"/>
          <w:szCs w:val="18"/>
          <w:color w:val="auto"/>
        </w:rPr>
      </w:pPr>
    </w:p>
    <w:p>
      <w:pPr>
        <w:ind w:right="20" w:firstLine="436"/>
        <w:spacing w:after="0" w:line="275" w:lineRule="auto"/>
        <w:tabs>
          <w:tab w:leader="none" w:pos="752"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The Restated Certificate of Incorporation of this corporation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which is incorporated herein by this reference, and which restates, integrates and further amends the provisions of the Certificate of Incorporation of this corporation as previously amended and/or restated, has been duly adopted by this corporation’s Board of Directors and by the stockholders in accordance with Sections 242 and 245 of the General Corporation Law of the State of Delaware, with the approval of this corporation’s stockholders having been given by written consent without a meeting in accordance with Section 228 of the General Corporation Law of the State of Delaware.</w:t>
      </w:r>
    </w:p>
    <w:p>
      <w:pPr>
        <w:spacing w:after="0" w:line="176"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IN WITNESS WHEREOF, this corporation has caused this Restated Certificate of Incorporation to be signed by its duly authorized officer and the foregoing facts stated herein are true and correct.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Dated: June 1, 2021</w:t>
            </w:r>
          </w:p>
        </w:tc>
        <w:tc>
          <w:tcPr>
            <w:tcW w:w="7580" w:type="dxa"/>
            <w:vAlign w:val="bottom"/>
            <w:gridSpan w:val="2"/>
          </w:tcPr>
          <w:p>
            <w:pPr>
              <w:ind w:left="2080"/>
              <w:spacing w:after="0"/>
              <w:rPr>
                <w:sz w:val="20"/>
                <w:szCs w:val="20"/>
                <w:color w:val="auto"/>
              </w:rPr>
            </w:pPr>
            <w:r>
              <w:rPr>
                <w:rFonts w:ascii="Arial" w:cs="Arial" w:eastAsia="Arial" w:hAnsi="Arial"/>
                <w:sz w:val="18"/>
                <w:szCs w:val="18"/>
                <w:color w:val="auto"/>
              </w:rPr>
              <w:t>DAY ONE BIOPHARMACEUTICALS, INC.</w:t>
            </w:r>
          </w:p>
        </w:tc>
      </w:tr>
      <w:tr>
        <w:trPr>
          <w:trHeight w:val="432"/>
        </w:trPr>
        <w:tc>
          <w:tcPr>
            <w:tcW w:w="3440" w:type="dxa"/>
            <w:vAlign w:val="bottom"/>
          </w:tcPr>
          <w:p>
            <w:pPr>
              <w:spacing w:after="0"/>
              <w:rPr>
                <w:sz w:val="24"/>
                <w:szCs w:val="24"/>
                <w:color w:val="auto"/>
              </w:rPr>
            </w:pPr>
          </w:p>
        </w:tc>
        <w:tc>
          <w:tcPr>
            <w:tcW w:w="2620" w:type="dxa"/>
            <w:vAlign w:val="bottom"/>
          </w:tcPr>
          <w:p>
            <w:pPr>
              <w:ind w:left="208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Jeremy Bender</w:t>
            </w:r>
          </w:p>
        </w:tc>
      </w:tr>
      <w:tr>
        <w:trPr>
          <w:trHeight w:val="195"/>
        </w:trPr>
        <w:tc>
          <w:tcPr>
            <w:tcW w:w="3440" w:type="dxa"/>
            <w:vAlign w:val="bottom"/>
          </w:tcPr>
          <w:p>
            <w:pPr>
              <w:spacing w:after="0"/>
              <w:rPr>
                <w:sz w:val="16"/>
                <w:szCs w:val="16"/>
                <w:color w:val="auto"/>
              </w:rPr>
            </w:pPr>
          </w:p>
        </w:tc>
        <w:tc>
          <w:tcPr>
            <w:tcW w:w="2620" w:type="dxa"/>
            <w:vAlign w:val="bottom"/>
          </w:tcPr>
          <w:p>
            <w:pPr>
              <w:ind w:left="2080"/>
              <w:spacing w:after="0" w:line="195" w:lineRule="exact"/>
              <w:rPr>
                <w:sz w:val="20"/>
                <w:szCs w:val="20"/>
                <w:color w:val="auto"/>
              </w:rPr>
            </w:pPr>
            <w:r>
              <w:rPr>
                <w:rFonts w:ascii="Arial" w:cs="Arial" w:eastAsia="Arial" w:hAnsi="Arial"/>
                <w:sz w:val="18"/>
                <w:szCs w:val="18"/>
                <w:color w:val="auto"/>
                <w:w w:val="98"/>
              </w:rPr>
              <w:t>Name:</w:t>
            </w: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Jeremy Bender</w:t>
            </w:r>
          </w:p>
        </w:tc>
      </w:tr>
      <w:tr>
        <w:trPr>
          <w:trHeight w:val="230"/>
        </w:trPr>
        <w:tc>
          <w:tcPr>
            <w:tcW w:w="3440" w:type="dxa"/>
            <w:vAlign w:val="bottom"/>
          </w:tcPr>
          <w:p>
            <w:pPr>
              <w:spacing w:after="0"/>
              <w:rPr>
                <w:sz w:val="20"/>
                <w:szCs w:val="20"/>
                <w:color w:val="auto"/>
              </w:rPr>
            </w:pPr>
          </w:p>
        </w:tc>
        <w:tc>
          <w:tcPr>
            <w:tcW w:w="2620" w:type="dxa"/>
            <w:vAlign w:val="bottom"/>
          </w:tcPr>
          <w:p>
            <w:pPr>
              <w:ind w:left="2080"/>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364"/>
        </w:trPr>
        <w:tc>
          <w:tcPr>
            <w:tcW w:w="3440" w:type="dxa"/>
            <w:vAlign w:val="bottom"/>
          </w:tcPr>
          <w:p>
            <w:pPr>
              <w:spacing w:after="0"/>
              <w:rPr>
                <w:sz w:val="24"/>
                <w:szCs w:val="24"/>
                <w:color w:val="auto"/>
              </w:rPr>
            </w:pPr>
          </w:p>
        </w:tc>
        <w:tc>
          <w:tcPr>
            <w:tcW w:w="2620" w:type="dxa"/>
            <w:vAlign w:val="bottom"/>
          </w:tcPr>
          <w:p>
            <w:pPr>
              <w:ind w:left="2020"/>
              <w:spacing w:after="0"/>
              <w:rPr>
                <w:sz w:val="20"/>
                <w:szCs w:val="20"/>
                <w:color w:val="auto"/>
              </w:rPr>
            </w:pPr>
            <w:r>
              <w:rPr>
                <w:rFonts w:ascii="Arial" w:cs="Arial" w:eastAsia="Arial" w:hAnsi="Arial"/>
                <w:sz w:val="18"/>
                <w:szCs w:val="18"/>
                <w:color w:val="auto"/>
              </w:rPr>
              <w:t>1</w:t>
            </w:r>
          </w:p>
        </w:tc>
        <w:tc>
          <w:tcPr>
            <w:tcW w:w="4960" w:type="dxa"/>
            <w:vAlign w:val="bottom"/>
          </w:tcPr>
          <w:p>
            <w:pPr>
              <w:spacing w:after="0"/>
              <w:rPr>
                <w:sz w:val="24"/>
                <w:szCs w:val="24"/>
                <w:color w:val="auto"/>
              </w:rPr>
            </w:pPr>
          </w:p>
        </w:tc>
      </w:tr>
    </w:tbl>
    <w:p>
      <w:pPr>
        <w:sectPr>
          <w:pgSz w:w="11900" w:h="16838" w:orient="portrait"/>
          <w:cols w:equalWidth="0" w:num="1">
            <w:col w:w="11020"/>
          </w:cols>
          <w:pgMar w:left="440" w:top="121" w:right="43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DAY ONE BIOPHARMACEUTICALS,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 NAME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of the corporation is Day One Biopharmaceuticals, Inc.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 AGENT FOR SERVICE OF PROCESS</w:t>
      </w:r>
    </w:p>
    <w:p>
      <w:pPr>
        <w:spacing w:after="0" w:line="229"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The address of the registered office of this Corporation in the State of Delaware is 251 Little Falls Drive in the City of Wilmington, County of New Castle, 19808, and the name of the registered agent of this Corporation in the State of Delaware at such address is Corporation Service Company.</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 PURPOSE</w:t>
      </w:r>
    </w:p>
    <w:p>
      <w:pPr>
        <w:spacing w:after="0" w:line="229"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the State of Delaware (the “</w:t>
      </w:r>
      <w:r>
        <w:rPr>
          <w:rFonts w:ascii="Arial" w:cs="Arial" w:eastAsia="Arial" w:hAnsi="Arial"/>
          <w:sz w:val="18"/>
          <w:szCs w:val="18"/>
          <w:b w:val="1"/>
          <w:bCs w:val="1"/>
          <w:i w:val="1"/>
          <w:iCs w:val="1"/>
          <w:color w:val="auto"/>
        </w:rPr>
        <w:t>General Corporation Law</w:t>
      </w:r>
      <w:r>
        <w:rPr>
          <w:rFonts w:ascii="Arial" w:cs="Arial" w:eastAsia="Arial" w:hAnsi="Arial"/>
          <w:sz w:val="18"/>
          <w:szCs w:val="18"/>
          <w:color w:val="auto"/>
        </w:rPr>
        <w: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 AUTHORIZED STOCK</w:t>
      </w:r>
    </w:p>
    <w:p>
      <w:pPr>
        <w:spacing w:after="0" w:line="225" w:lineRule="exact"/>
        <w:rPr>
          <w:sz w:val="20"/>
          <w:szCs w:val="20"/>
          <w:color w:val="auto"/>
        </w:rPr>
      </w:pPr>
    </w:p>
    <w:p>
      <w:pPr>
        <w:ind w:right="200" w:firstLine="436"/>
        <w:spacing w:after="0" w:line="266" w:lineRule="auto"/>
        <w:tabs>
          <w:tab w:leader="none" w:pos="755"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Total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The total number of shares of all classes of stock that the Corporation has authority to issue is 510,000,000 shares,</w:t>
      </w:r>
      <w:r>
        <w:rPr>
          <w:rFonts w:ascii="Arial" w:cs="Arial" w:eastAsia="Arial" w:hAnsi="Arial"/>
          <w:sz w:val="18"/>
          <w:szCs w:val="18"/>
          <w:b w:val="1"/>
          <w:bCs w:val="1"/>
          <w:color w:val="auto"/>
        </w:rPr>
        <w:t xml:space="preserve"> </w:t>
      </w:r>
      <w:r>
        <w:rPr>
          <w:rFonts w:ascii="Arial" w:cs="Arial" w:eastAsia="Arial" w:hAnsi="Arial"/>
          <w:sz w:val="18"/>
          <w:szCs w:val="18"/>
          <w:color w:val="auto"/>
        </w:rPr>
        <w:t>consisting of two classes: 500,000,000 shares of Common Stock, $0.0001 par value per share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and 10,000,000 shares of Preferred Stock, $0.0001 par value per share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w:t>
      </w:r>
    </w:p>
    <w:p>
      <w:pPr>
        <w:spacing w:after="0" w:line="175" w:lineRule="exact"/>
        <w:rPr>
          <w:rFonts w:ascii="Arial" w:cs="Arial" w:eastAsia="Arial" w:hAnsi="Arial"/>
          <w:sz w:val="18"/>
          <w:szCs w:val="18"/>
          <w:b w:val="1"/>
          <w:bCs w:val="1"/>
          <w:color w:val="auto"/>
        </w:rPr>
      </w:pPr>
    </w:p>
    <w:p>
      <w:pPr>
        <w:ind w:left="760" w:hanging="324"/>
        <w:spacing w:after="0"/>
        <w:tabs>
          <w:tab w:leader="none" w:pos="7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Designation of Additional Series</w:t>
      </w:r>
      <w:r>
        <w:rPr>
          <w:rFonts w:ascii="Arial" w:cs="Arial" w:eastAsia="Arial" w:hAnsi="Arial"/>
          <w:sz w:val="18"/>
          <w:szCs w:val="18"/>
          <w:b w:val="1"/>
          <w:bCs w:val="1"/>
          <w:color w:val="auto"/>
        </w:rPr>
        <w:t>.</w:t>
      </w:r>
    </w:p>
    <w:p>
      <w:pPr>
        <w:spacing w:after="0" w:line="229"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2.1. The Board of Directors of the Corporation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is authorized, subject to any limitations prescribed by the law of the State of Delaware, to provide for the issuance of the shares of Preferred Stock in one or more series, and, by filing a Certificate of Designation pursuant to the applicable law of the State of Delaware (“</w:t>
      </w:r>
      <w:r>
        <w:rPr>
          <w:rFonts w:ascii="Arial" w:cs="Arial" w:eastAsia="Arial" w:hAnsi="Arial"/>
          <w:sz w:val="17"/>
          <w:szCs w:val="17"/>
          <w:b w:val="1"/>
          <w:bCs w:val="1"/>
          <w:i w:val="1"/>
          <w:iCs w:val="1"/>
          <w:color w:val="auto"/>
        </w:rPr>
        <w:t>Certificate of Designation</w:t>
      </w:r>
      <w:r>
        <w:rPr>
          <w:rFonts w:ascii="Arial" w:cs="Arial" w:eastAsia="Arial" w:hAnsi="Arial"/>
          <w:sz w:val="17"/>
          <w:szCs w:val="17"/>
          <w:color w:val="auto"/>
        </w:rPr>
        <w:t>”), to establish from time to time the number of shares to be included in each such series, to fix the designation, vesting, powers (including voting powers), preferences and relative, participating, optional or other special rights, if any, of the shares of each such series and any qualifications, limitations or restrictions thereof, and, except where otherwise provided in the applicable Certificate of Designation, to thereafter increase (but not above the total number of authorized shares of the Preferred Stock) or decrease (but not below the number of shares of such series then outstanding) the number of shares of any such series. The number of authorized shares of Preferred Stock may also be increased or decreased (but not below the number of shares thereof then outstanding) by the affirmative vote of the holders of two-thirds of the voting power of all then-outstanding shares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116" w:name="page117"/>
    <w:bookmarkEnd w:id="116"/>
    <w:p>
      <w:pPr>
        <w:ind w:right="1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 capital stock of the Corporation entitled to vote thereon, voting together as a single class, without a separate vote of the holders of the Preferred Stock, irrespective of the provisions of Section 242(b)(2) of the General Corporation Law, unless a separate vote of the holders of one or more series is required pursuant to the terms of any Certificate of Designation;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if two-thirds of the Whole Board (as defined below) has approved such increase or decrease of the number of authorized shares of Preferred Stock, then only the affirmative vote of the holders of a majority of the voting power of all then-outstanding shares of the capital stock of the Corporation entitled to vote thereon, voting together as a single class, without a separate vote of the holders of the Preferred Stock, irrespective of the provisions of Section 242(b)(2) of the General Corporation Law, unless a separate vote of the holders of one or more series is required pursuant to the terms of any Certificate of Designation, shall be required to effect such increase or decrease. For purposes of this Restated Certificate of Incorporation (as the same may be amended and/or restated from time to time, including pursuant to the terms of any Certificate of Designation designating a series of Preferred Stock, this “</w:t>
      </w:r>
      <w:r>
        <w:rPr>
          <w:rFonts w:ascii="Arial" w:cs="Arial" w:eastAsia="Arial" w:hAnsi="Arial"/>
          <w:sz w:val="16"/>
          <w:szCs w:val="16"/>
          <w:b w:val="1"/>
          <w:bCs w:val="1"/>
          <w:i w:val="1"/>
          <w:iCs w:val="1"/>
          <w:color w:val="auto"/>
        </w:rPr>
        <w:t>Certificate of Incorporation</w:t>
      </w:r>
      <w:r>
        <w:rPr>
          <w:rFonts w:ascii="Arial" w:cs="Arial" w:eastAsia="Arial" w:hAnsi="Arial"/>
          <w:sz w:val="16"/>
          <w:szCs w:val="16"/>
          <w:color w:val="auto"/>
        </w:rPr>
        <w:t>”), the term “</w:t>
      </w:r>
      <w:r>
        <w:rPr>
          <w:rFonts w:ascii="Arial" w:cs="Arial" w:eastAsia="Arial" w:hAnsi="Arial"/>
          <w:sz w:val="16"/>
          <w:szCs w:val="16"/>
          <w:b w:val="1"/>
          <w:bCs w:val="1"/>
          <w:i w:val="1"/>
          <w:iCs w:val="1"/>
          <w:color w:val="auto"/>
        </w:rPr>
        <w:t>Whole Board</w:t>
      </w:r>
      <w:r>
        <w:rPr>
          <w:rFonts w:ascii="Arial" w:cs="Arial" w:eastAsia="Arial" w:hAnsi="Arial"/>
          <w:sz w:val="16"/>
          <w:szCs w:val="16"/>
          <w:color w:val="auto"/>
        </w:rPr>
        <w:t>” shall mean the total number of authorized directors whether or not there exist any vacancies in previously authorized directorships.</w:t>
      </w:r>
    </w:p>
    <w:p>
      <w:pPr>
        <w:spacing w:after="0" w:line="168" w:lineRule="exact"/>
        <w:rPr>
          <w:sz w:val="20"/>
          <w:szCs w:val="20"/>
          <w:color w:val="auto"/>
        </w:rPr>
      </w:pPr>
    </w:p>
    <w:p>
      <w:pPr>
        <w:ind w:right="160" w:firstLine="991"/>
        <w:spacing w:after="0" w:line="255" w:lineRule="auto"/>
        <w:rPr>
          <w:sz w:val="20"/>
          <w:szCs w:val="20"/>
          <w:color w:val="auto"/>
        </w:rPr>
      </w:pPr>
      <w:r>
        <w:rPr>
          <w:rFonts w:ascii="Arial" w:cs="Arial" w:eastAsia="Arial" w:hAnsi="Arial"/>
          <w:sz w:val="18"/>
          <w:szCs w:val="18"/>
          <w:color w:val="auto"/>
        </w:rPr>
        <w:t>2.2. Except as otherwise expressly provided in any Certificate of Designation designating any series of Preferred Stock pursuant to the foregoing provisions of this Article IV, any new series of Preferred Stock may be designated, fixed and determined as provided herein by the Board without approval of the holders of Common Stock or the holders of Preferred Stock, or any series thereof, and any such new series may have powers, preferences and rights, including, without limitation, voting powers, dividend rights, liquidation rights, redemption rights and conversion rights, senior to, junior to or pari passu with the rights of the Common Stock, any series of Preferred Stock or any future class or series of capital stock of the Corporation.</w:t>
      </w:r>
    </w:p>
    <w:p>
      <w:pPr>
        <w:spacing w:after="0" w:line="192"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2.3. Each outstanding share of Common Stock shall entitle the holder thereof to one vote on each matter properly submitted to the stockholders of the Corporation for their vote;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that</w:t>
      </w:r>
      <w:r>
        <w:rPr>
          <w:rFonts w:ascii="Arial" w:cs="Arial" w:eastAsia="Arial" w:hAnsi="Arial"/>
          <w:sz w:val="18"/>
          <w:szCs w:val="18"/>
          <w:color w:val="auto"/>
        </w:rPr>
        <w:t>, except as otherwise required by law, holders of Common Stock shall not be entitled to vote on any amendment to this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thereon pursuant to this Certificate of Incorporation (including any Certificate of Designation relating to any series of Preferred Stock).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 AMENDMENT OF BYLAWS</w:t>
      </w:r>
    </w:p>
    <w:p>
      <w:pPr>
        <w:spacing w:after="0" w:line="229"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The Board shall have the power to adopt, amend or repeal the Bylaws of the Corporation (as the same may be amended and/or restated from time to time, the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xml:space="preserve">”). Any adoption, amendment or repeal of the Bylaws by the Board shall require the approval of a majority of the Whole Board. The stockholders shall also have power to adopt, amend or repeal the Bylaws;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that</w:t>
      </w:r>
      <w:r>
        <w:rPr>
          <w:rFonts w:ascii="Arial" w:cs="Arial" w:eastAsia="Arial" w:hAnsi="Arial"/>
          <w:sz w:val="17"/>
          <w:szCs w:val="17"/>
          <w:color w:val="auto"/>
        </w:rPr>
        <w:t>, notwithstanding any other provision of this Certificate of Incorporation or any provision of law that might otherwise permit a lesser or no vote, but in addition to any vote of the holders of any class or series of stock of the Corporation required by applicable law or by this Certificate of Incorporation (including any Preferred Stock issued pursuant to a Certificate of Designation), the affirmative vote of the holders of at least two-thirds of the voting power of all</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17" w:name="page118"/>
    <w:bookmarkEnd w:id="117"/>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then-outstanding shares of the capital stock of the Corporation entitled to vote generally in the election of directors, voting together as a single class, shall be required for the stockholders to adopt, amend or repeal any provision of the Bylaws;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further</w:t>
      </w:r>
      <w:r>
        <w:rPr>
          <w:rFonts w:ascii="Arial" w:cs="Arial" w:eastAsia="Arial" w:hAnsi="Arial"/>
          <w:sz w:val="18"/>
          <w:szCs w:val="18"/>
          <w:color w:val="auto"/>
        </w:rPr>
        <w:t>, that, in the case of any proposed adoption, amendment or repeal of any provisions of the Bylaws that is approved by the Board and submitted to the stockholders for adoption thereby, if two-thirds of the Whole Board has approved such adoption, amendment or repeal of any provisions of the Bylaws, then only the affirmative vote of the holders of a majority of the voting power of all then-outstanding shares of the capital stock of the Corporation entitled to vote generally in the election of directors, voting together as a single class (in addition to any vote of the holders of any class or series of stock of the Corporation required by applicable law or by this Certificate of Incorporation (including any Preferred Stock issued pursuant to a Certificate of Designation)), shall be required to adopt, amend or repeal any provision of the Bylaws.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 MATTERS RELATING TO THE BOARD OF DIRECTORS</w:t>
      </w:r>
    </w:p>
    <w:p>
      <w:pPr>
        <w:spacing w:after="0" w:line="225" w:lineRule="exact"/>
        <w:rPr>
          <w:sz w:val="20"/>
          <w:szCs w:val="20"/>
          <w:color w:val="auto"/>
        </w:rPr>
      </w:pPr>
    </w:p>
    <w:p>
      <w:pPr>
        <w:ind w:right="640" w:firstLine="436"/>
        <w:spacing w:after="0" w:line="282" w:lineRule="auto"/>
        <w:tabs>
          <w:tab w:leader="none" w:pos="755"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Director Powers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provided by the General Corporation Law, the Bylaws of the Corporation or this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the business and affairs of the Corporation shall be managed by or under the direction of the Board.</w:t>
      </w:r>
    </w:p>
    <w:p>
      <w:pPr>
        <w:spacing w:after="0" w:line="161" w:lineRule="exact"/>
        <w:rPr>
          <w:rFonts w:ascii="Arial" w:cs="Arial" w:eastAsia="Arial" w:hAnsi="Arial"/>
          <w:sz w:val="18"/>
          <w:szCs w:val="18"/>
          <w:b w:val="1"/>
          <w:bCs w:val="1"/>
          <w:color w:val="auto"/>
        </w:rPr>
      </w:pPr>
    </w:p>
    <w:p>
      <w:pPr>
        <w:ind w:right="60" w:firstLine="436"/>
        <w:spacing w:after="0" w:line="266" w:lineRule="auto"/>
        <w:tabs>
          <w:tab w:leader="none" w:pos="755"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Number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special rights of the holders of any series of Preferred Stock to elect additional directors under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 the total number of directors constituting the Whole Board shall be fixed from time to time exclusively by resolution adopted by a majority of the Whole Board.</w:t>
      </w:r>
    </w:p>
    <w:p>
      <w:pPr>
        <w:spacing w:after="0" w:line="175" w:lineRule="exact"/>
        <w:rPr>
          <w:rFonts w:ascii="Arial" w:cs="Arial" w:eastAsia="Arial" w:hAnsi="Arial"/>
          <w:sz w:val="18"/>
          <w:szCs w:val="18"/>
          <w:b w:val="1"/>
          <w:bCs w:val="1"/>
          <w:color w:val="auto"/>
        </w:rPr>
      </w:pPr>
    </w:p>
    <w:p>
      <w:pPr>
        <w:ind w:right="80" w:firstLine="436"/>
        <w:spacing w:after="0" w:line="287" w:lineRule="auto"/>
        <w:tabs>
          <w:tab w:leader="none" w:pos="755" w:val="left"/>
        </w:tabs>
        <w:numPr>
          <w:ilvl w:val="0"/>
          <w:numId w:val="7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Classified Board</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special rights of the holders of one or more series of Preferred Stock to elect additional directors under</w:t>
      </w:r>
      <w:r>
        <w:rPr>
          <w:rFonts w:ascii="Arial" w:cs="Arial" w:eastAsia="Arial" w:hAnsi="Arial"/>
          <w:sz w:val="16"/>
          <w:szCs w:val="16"/>
          <w:b w:val="1"/>
          <w:bCs w:val="1"/>
          <w:color w:val="auto"/>
        </w:rPr>
        <w:t xml:space="preserve"> </w:t>
      </w:r>
      <w:r>
        <w:rPr>
          <w:rFonts w:ascii="Arial" w:cs="Arial" w:eastAsia="Arial" w:hAnsi="Arial"/>
          <w:sz w:val="16"/>
          <w:szCs w:val="16"/>
          <w:color w:val="auto"/>
        </w:rPr>
        <w:t>specified circumstances, the directors shall be divided, with respect to the time for which they severally hold office, into three classes designated as Class I, Class II and Class III, respectively (the “</w:t>
      </w:r>
      <w:r>
        <w:rPr>
          <w:rFonts w:ascii="Arial" w:cs="Arial" w:eastAsia="Arial" w:hAnsi="Arial"/>
          <w:sz w:val="16"/>
          <w:szCs w:val="16"/>
          <w:b w:val="1"/>
          <w:bCs w:val="1"/>
          <w:i w:val="1"/>
          <w:iCs w:val="1"/>
          <w:color w:val="auto"/>
        </w:rPr>
        <w:t>Classified Board</w:t>
      </w:r>
      <w:r>
        <w:rPr>
          <w:rFonts w:ascii="Arial" w:cs="Arial" w:eastAsia="Arial" w:hAnsi="Arial"/>
          <w:sz w:val="16"/>
          <w:szCs w:val="16"/>
          <w:color w:val="auto"/>
        </w:rPr>
        <w:t>”). The Board may assign members of the Board already in office to the Classified Board, which assignments shall become effective at the same time that the Classified Board becomes effective. Directors shall be assigned to each class in accordance with a resolution or resolutions adopted by the Board. The number of directors in each class shall be divided as nearly equal as is practicable. The initial term of office of the Class I directors shall expire at the Corporation’s first annual meeting of stockholders following the closing of the Corporation’s initial public offering pursuant to an effective registration statement under the Securities Act of 1933, as amended, relating to the offer and sale of Common Stock to the public (the “</w:t>
      </w:r>
      <w:r>
        <w:rPr>
          <w:rFonts w:ascii="Arial" w:cs="Arial" w:eastAsia="Arial" w:hAnsi="Arial"/>
          <w:sz w:val="16"/>
          <w:szCs w:val="16"/>
          <w:b w:val="1"/>
          <w:bCs w:val="1"/>
          <w:i w:val="1"/>
          <w:iCs w:val="1"/>
          <w:color w:val="auto"/>
        </w:rPr>
        <w:t>Initial Public Offering</w:t>
      </w:r>
      <w:r>
        <w:rPr>
          <w:rFonts w:ascii="Arial" w:cs="Arial" w:eastAsia="Arial" w:hAnsi="Arial"/>
          <w:sz w:val="16"/>
          <w:szCs w:val="16"/>
          <w:color w:val="auto"/>
        </w:rPr>
        <w:t>”), the initial term of office of the Class II directors shall expire at the Corporation’s second annual meeting of stockholders following the closing of the Initial Public Offering and the initial term of office of the Class III directors shall expire at the Corporation’s third annual meeting of stockholders following the closing of the Initial Public Offering. At each annual meeting of stockholders following the closing of the Initial Public Offering, directors elected to succeed those directors of the class whose terms then expire shall be elected for a term of office expiring at the third succeeding annual meeting of stockholders after their election.</w:t>
      </w:r>
    </w:p>
    <w:p>
      <w:pPr>
        <w:spacing w:after="0" w:line="167" w:lineRule="exact"/>
        <w:rPr>
          <w:rFonts w:ascii="Arial" w:cs="Arial" w:eastAsia="Arial" w:hAnsi="Arial"/>
          <w:sz w:val="16"/>
          <w:szCs w:val="16"/>
          <w:b w:val="1"/>
          <w:bCs w:val="1"/>
          <w:color w:val="auto"/>
        </w:rPr>
      </w:pPr>
    </w:p>
    <w:p>
      <w:pPr>
        <w:ind w:right="240" w:firstLine="436"/>
        <w:spacing w:after="0" w:line="312" w:lineRule="auto"/>
        <w:tabs>
          <w:tab w:leader="none" w:pos="755" w:val="left"/>
        </w:tabs>
        <w:numPr>
          <w:ilvl w:val="0"/>
          <w:numId w:val="7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 and Removal</w:t>
      </w:r>
      <w:r>
        <w:rPr>
          <w:rFonts w:ascii="Arial" w:cs="Arial" w:eastAsia="Arial" w:hAnsi="Arial"/>
          <w:sz w:val="17"/>
          <w:szCs w:val="17"/>
          <w:b w:val="1"/>
          <w:bCs w:val="1"/>
          <w:color w:val="auto"/>
        </w:rPr>
        <w:t xml:space="preserve">. </w:t>
      </w:r>
      <w:r>
        <w:rPr>
          <w:rFonts w:ascii="Arial" w:cs="Arial" w:eastAsia="Arial" w:hAnsi="Arial"/>
          <w:sz w:val="17"/>
          <w:szCs w:val="17"/>
          <w:color w:val="auto"/>
        </w:rPr>
        <w:t>Each director shall hold office until the annual meeting at which such director’s term expires and until such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successor is duly elected and qualified, or until such director’s earlier death, resignation, disqualification or removal. Any director may</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18" w:name="page119"/>
    <w:bookmarkEnd w:id="118"/>
    <w:p>
      <w:pPr>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resign at any time by delivering a resignation in writing or by electronic transmission to the Corporation at its principal office or to the Chairperson of the Board, the Chief Executive Officer or the Secretary. Subject to the special rights of the holders of any series of Preferred Stock, no director may be removed from the Board except for cause and only by the affirmative vote of the holders of at least two-thirds of the voting power of the then-outstanding shares of capital stock of the Corporation entitled to vote thereon, voting together as a single class. In the event of any increase or decrease in the authorized number of directors, (a) each director then serving as such shall nevertheless continue as a director of the class of which he or she is a member and (b) the newly created or eliminated directorships resulting from such increase or decrease shall be apportioned by the Board among the classes of directors so as to make all classes as nearly equal in number as is practicable, provided that no decrease in the number of directors constituting the Board shall shorten the term of any director.</w:t>
      </w:r>
    </w:p>
    <w:p>
      <w:pPr>
        <w:spacing w:after="0" w:line="174" w:lineRule="exact"/>
        <w:rPr>
          <w:sz w:val="20"/>
          <w:szCs w:val="20"/>
          <w:color w:val="auto"/>
        </w:rPr>
      </w:pPr>
    </w:p>
    <w:p>
      <w:pPr>
        <w:ind w:firstLine="436"/>
        <w:spacing w:after="0" w:line="292" w:lineRule="auto"/>
        <w:tabs>
          <w:tab w:leader="none" w:pos="755" w:val="left"/>
        </w:tabs>
        <w:numPr>
          <w:ilvl w:val="0"/>
          <w:numId w:val="7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Board Vacancies and Newly Created Directorships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special rights of the holders of any series of Preferred Stock, any</w:t>
      </w:r>
      <w:r>
        <w:rPr>
          <w:rFonts w:ascii="Arial" w:cs="Arial" w:eastAsia="Arial" w:hAnsi="Arial"/>
          <w:sz w:val="16"/>
          <w:szCs w:val="16"/>
          <w:b w:val="1"/>
          <w:bCs w:val="1"/>
          <w:color w:val="auto"/>
        </w:rPr>
        <w:t xml:space="preserve"> </w:t>
      </w:r>
      <w:r>
        <w:rPr>
          <w:rFonts w:ascii="Arial" w:cs="Arial" w:eastAsia="Arial" w:hAnsi="Arial"/>
          <w:sz w:val="16"/>
          <w:szCs w:val="16"/>
          <w:color w:val="auto"/>
        </w:rPr>
        <w:t>vacancy occurring in the Board for any cause, and any newly created directorship resulting from any increase in the authorized number of directors, shall, unless (a) the Board determines by resolution that any such vacancies or newly created directorships shall be filled by the stockholders or (b) as otherwise provided by law, be filled only by the affirmative vote of a majority of the directors then in office, even if less than a quorum, or by a sole remaining director, and shall not be filled by the stockholders. Any director elected in accordance with the preceding sentence shall hold office for a term expiring at the annual meeting of stockholders at which the term of office of the class to which the director has been assigned expires and until such director’s successor shall have been duly elected and qualified, or until such director’s earlier death, resignation, disqualification or removal.</w:t>
      </w:r>
    </w:p>
    <w:p>
      <w:pPr>
        <w:spacing w:after="0" w:line="161" w:lineRule="exact"/>
        <w:rPr>
          <w:rFonts w:ascii="Arial" w:cs="Arial" w:eastAsia="Arial" w:hAnsi="Arial"/>
          <w:sz w:val="16"/>
          <w:szCs w:val="16"/>
          <w:b w:val="1"/>
          <w:bCs w:val="1"/>
          <w:color w:val="auto"/>
        </w:rPr>
      </w:pPr>
    </w:p>
    <w:p>
      <w:pPr>
        <w:ind w:left="760" w:hanging="324"/>
        <w:spacing w:after="0"/>
        <w:tabs>
          <w:tab w:leader="none" w:pos="7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Vote by Ballot</w:t>
      </w:r>
      <w:r>
        <w:rPr>
          <w:rFonts w:ascii="Arial" w:cs="Arial" w:eastAsia="Arial" w:hAnsi="Arial"/>
          <w:sz w:val="18"/>
          <w:szCs w:val="18"/>
          <w:b w:val="1"/>
          <w:bCs w:val="1"/>
          <w:color w:val="auto"/>
        </w:rPr>
        <w:t xml:space="preserve">. </w:t>
      </w:r>
      <w:r>
        <w:rPr>
          <w:rFonts w:ascii="Arial" w:cs="Arial" w:eastAsia="Arial" w:hAnsi="Arial"/>
          <w:sz w:val="18"/>
          <w:szCs w:val="18"/>
          <w:color w:val="auto"/>
        </w:rPr>
        <w:t>Election of directors need not be by written ballot unless the Bylaws shall so provide.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 DIRECTOR LIABILITY</w:t>
      </w:r>
    </w:p>
    <w:p>
      <w:pPr>
        <w:spacing w:after="0" w:line="225" w:lineRule="exact"/>
        <w:rPr>
          <w:sz w:val="20"/>
          <w:szCs w:val="20"/>
          <w:color w:val="auto"/>
        </w:rPr>
      </w:pPr>
    </w:p>
    <w:p>
      <w:pPr>
        <w:ind w:right="40" w:firstLine="436"/>
        <w:spacing w:after="0" w:line="261" w:lineRule="auto"/>
        <w:tabs>
          <w:tab w:leader="none" w:pos="755"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 of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To the fullest extent permitted by law, no director of the Corporation shall be personally liable for monetary damages</w:t>
      </w:r>
      <w:r>
        <w:rPr>
          <w:rFonts w:ascii="Arial" w:cs="Arial" w:eastAsia="Arial" w:hAnsi="Arial"/>
          <w:sz w:val="18"/>
          <w:szCs w:val="18"/>
          <w:b w:val="1"/>
          <w:bCs w:val="1"/>
          <w:color w:val="auto"/>
        </w:rPr>
        <w:t xml:space="preserve"> </w:t>
      </w:r>
      <w:r>
        <w:rPr>
          <w:rFonts w:ascii="Arial" w:cs="Arial" w:eastAsia="Arial" w:hAnsi="Arial"/>
          <w:sz w:val="18"/>
          <w:szCs w:val="18"/>
          <w:color w:val="auto"/>
        </w:rPr>
        <w:t>for breach of fiduciary duty as a director. Without limiting the effect of the preceding sentence, if the General Corporation Law is hereafter amended to authorize the further elimination or limitation of the liability of a director, then the liability of a director of the Corporation shall be eliminated or limited to the fullest extent permitted by the General Corporation Law, as so amended.</w:t>
      </w:r>
    </w:p>
    <w:p>
      <w:pPr>
        <w:spacing w:after="0" w:line="179" w:lineRule="exact"/>
        <w:rPr>
          <w:rFonts w:ascii="Arial" w:cs="Arial" w:eastAsia="Arial" w:hAnsi="Arial"/>
          <w:sz w:val="18"/>
          <w:szCs w:val="18"/>
          <w:b w:val="1"/>
          <w:bCs w:val="1"/>
          <w:color w:val="auto"/>
        </w:rPr>
      </w:pPr>
    </w:p>
    <w:p>
      <w:pPr>
        <w:ind w:right="60" w:firstLine="436"/>
        <w:spacing w:after="0" w:line="266" w:lineRule="auto"/>
        <w:tabs>
          <w:tab w:leader="none" w:pos="755"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 in Rights</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any amendment nor repeal of this Article VII, nor the adoption of any provision of this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inconsistent with this Article VII, shall eliminate, reduce or otherwise adversely affect any limitation on the personal liability of a director of the Corporation existing at the time of such amendment, repeal or adoption of such an inconsistent provision.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VIII: MATTERS RELATING TO STOCKHOLDERS</w:t>
      </w:r>
    </w:p>
    <w:p>
      <w:pPr>
        <w:spacing w:after="0" w:line="225" w:lineRule="exact"/>
        <w:rPr>
          <w:sz w:val="20"/>
          <w:szCs w:val="20"/>
          <w:color w:val="auto"/>
        </w:rPr>
      </w:pPr>
    </w:p>
    <w:p>
      <w:pPr>
        <w:ind w:right="220" w:firstLine="436"/>
        <w:spacing w:after="0" w:line="266" w:lineRule="auto"/>
        <w:tabs>
          <w:tab w:leader="none" w:pos="755"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Action by Written Consent of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rights of any series of Preferred Stock then outstanding, no action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taken by the stockholders of the Corporation except at a duly called annual or special meeting of stockholders and no action shall be taken by the stockholders of the Corporation by written consent in lieu of a meeting.</w:t>
      </w:r>
    </w:p>
    <w:p>
      <w:pPr>
        <w:spacing w:after="0" w:line="175" w:lineRule="exact"/>
        <w:rPr>
          <w:rFonts w:ascii="Arial" w:cs="Arial" w:eastAsia="Arial" w:hAnsi="Arial"/>
          <w:sz w:val="18"/>
          <w:szCs w:val="18"/>
          <w:b w:val="1"/>
          <w:bCs w:val="1"/>
          <w:color w:val="auto"/>
        </w:rPr>
      </w:pPr>
    </w:p>
    <w:p>
      <w:pPr>
        <w:ind w:right="80" w:firstLine="436"/>
        <w:spacing w:after="0" w:line="289" w:lineRule="auto"/>
        <w:tabs>
          <w:tab w:leader="none" w:pos="755" w:val="left"/>
        </w:tabs>
        <w:numPr>
          <w:ilvl w:val="0"/>
          <w:numId w:val="8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Special Meeting of Stockholders</w:t>
      </w:r>
      <w:r>
        <w:rPr>
          <w:rFonts w:ascii="Arial" w:cs="Arial" w:eastAsia="Arial" w:hAnsi="Arial"/>
          <w:sz w:val="17"/>
          <w:szCs w:val="17"/>
          <w:b w:val="1"/>
          <w:bCs w:val="1"/>
          <w:color w:val="auto"/>
        </w:rPr>
        <w:t xml:space="preserve">. </w:t>
      </w:r>
      <w:r>
        <w:rPr>
          <w:rFonts w:ascii="Arial" w:cs="Arial" w:eastAsia="Arial" w:hAnsi="Arial"/>
          <w:sz w:val="17"/>
          <w:szCs w:val="17"/>
          <w:color w:val="auto"/>
        </w:rPr>
        <w:t>Special meetings of the stockholders of the Corporation may be called only by the Chairperson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Board, the Chief Executive Officer, the Lead Independent Director (as defined in the Bylaws), the President or the Board acting pursuant to a resolution adopted by a majority of the Whole Board and may not be called by the stockholders or any other person or persons.</w:t>
      </w:r>
    </w:p>
    <w:p>
      <w:pPr>
        <w:spacing w:after="0" w:line="157" w:lineRule="exact"/>
        <w:rPr>
          <w:rFonts w:ascii="Arial" w:cs="Arial" w:eastAsia="Arial" w:hAnsi="Arial"/>
          <w:sz w:val="17"/>
          <w:szCs w:val="17"/>
          <w:b w:val="1"/>
          <w:bCs w:val="1"/>
          <w:color w:val="auto"/>
        </w:rPr>
      </w:pPr>
    </w:p>
    <w:p>
      <w:pPr>
        <w:ind w:firstLine="436"/>
        <w:spacing w:after="0" w:line="261" w:lineRule="auto"/>
        <w:tabs>
          <w:tab w:leader="none" w:pos="755"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Advance Notice of Stockholder Nominations and Business Transacted at Special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notice of stockholder nominations</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election of directors of the Corporation and of business to be brought by stockholders before any meeting of stockholders of the Corporation shall be given in the manner provided in the Bylaws. Business transacted at special meetings of stockholders shall be limited to the purpose or purposes stated in the notice of meeting.</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 CHOICE OF FORUM</w:t>
      </w:r>
    </w:p>
    <w:p>
      <w:pPr>
        <w:spacing w:after="0" w:line="229"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Unless the Corporation consents in writing to the selection of an alternative forum, the Court of Chancery of the State of Delaware shall, to the fullest extent permitted by law, be the sole and exclusive forum for: (a) any derivative action or proceeding brought on behalf of the Corporation; (b) any action asserting a claim of breach of a fiduciary duty owed by, or other wrongdoing by, any director, officer, stockholder, employee or agent of the Corporation to the Corporation or the Corporation’s stockholders; (c) any action asserting a claim against the Corporation or any director, officer, stockholder, employee or agent of the Corporation arising pursuant to any provision of the General Corporation Law, this Certificate of Incorporation or the Bylaws or as to which the General Corporation Law confers jurisdiction on the Court of Chancery of the State of Delaware; (d) any action to interpret, apply, enforce or determine the validity of this Certificate of Incorporation or the Bylaws; or (e) any action asserting a claim against the Corporation or any director, officer, stockholder, employee or agent of the Corporation governed by the internal affairs doctrine, provided that, for the avoidance of doubt, nothing in this Article IX shall preclude the filing of claims in the federal district courts of the United States of America under the Exchange Act, or any successor thereto. Any person or entity purchasing or otherwise acquiring or holding any interest in shares of capital stock of the Corporation shall be deemed to have notice of and to have consented to the provisions of this Article IX.</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 AMENDMENT OF CERTIFICATE OF INCORPORATION</w:t>
      </w:r>
    </w:p>
    <w:p>
      <w:pPr>
        <w:spacing w:after="0" w:line="229"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If any provision of this Certificate of Incorporation shall be held to be invalid, illegal or unenforceable, then such provision shall nonetheless be enforced to the maximum extent possible consistent with such holding and the remaining provisions of this Certificate of Incorporation (including, without limitation, all portions of any section of this Certificate of Incorporation containing any such provision held to be invalid, illegal or unenforceable, which is not invalid, illegal or unenforceable) shall remain in full force and effect.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120" w:name="page121"/>
    <w:bookmarkEnd w:id="120"/>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Corporation reserves the right to amend or repeal any provision contained in this Certificate of Incorporation in the manner prescribed by the laws of the State of Delaware and all rights conferred upon stockholders are granted subject to this reservation;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xml:space="preserve">, that, notwithstanding any other provision of this Certificate of Incorporation or any provision of law that might otherwise permit a lesser vote or no vote (but subject to the rights of any series of Preferred Stock set forth in any Certificate of Designation), but in addition to any vote of the holders of any class or series of the stock of the Corporation required by law or by this Certificate of Incorporation, the affirmative vote of the holders of at least two-thirds of the voting power of all then-outstanding shares of the capital stock of the Corporation entitled to vote generally in the election of directors, voting together as a single class, shall be required to amend or repeal this Article X or Article V, Article VI, Article VII or Article VIII;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further</w:t>
      </w:r>
      <w:r>
        <w:rPr>
          <w:rFonts w:ascii="Arial" w:cs="Arial" w:eastAsia="Arial" w:hAnsi="Arial"/>
          <w:sz w:val="17"/>
          <w:szCs w:val="17"/>
          <w:color w:val="auto"/>
        </w:rPr>
        <w:t>, that if two-thirds of the Whole Board has approved such amendment or repeal of any provisions of this Certificate of Incorporation, then only the affirmative vote of the holders of a majority of the voting power of all then-outstanding shares of capital stock of the Corporation entitled to vote generally in the election of directors, voting together as a single class (in addition to any other vote of the holders of any class or series of stock of the Corporation required by law or by this Certificate of Incorporation or any Certificate of Designation), shall be required to amend or repeal such provisions of this Certificate of Incorporation.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 * * *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205740</wp:posOffset>
            </wp:positionV>
            <wp:extent cx="699516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248920</wp:posOffset>
            </wp:positionV>
            <wp:extent cx="699516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DAY ONE BIOPHARMACEUTICALS, INC.</w:t>
      </w:r>
    </w:p>
    <w:p>
      <w:pPr>
        <w:spacing w:after="0" w:line="12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3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RESTATED BYLAWS</w:t>
      </w:r>
    </w:p>
    <w:p>
      <w:pPr>
        <w:spacing w:after="0" w:line="200" w:lineRule="exact"/>
        <w:rPr>
          <w:sz w:val="20"/>
          <w:szCs w:val="20"/>
          <w:color w:val="auto"/>
        </w:rPr>
      </w:pPr>
    </w:p>
    <w:p>
      <w:pPr>
        <w:spacing w:after="0" w:line="24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As Adopted May 26, 2021 and</w:t>
      </w:r>
    </w:p>
    <w:p>
      <w:pPr>
        <w:spacing w:after="0" w:line="200" w:lineRule="exact"/>
        <w:rPr>
          <w:sz w:val="20"/>
          <w:szCs w:val="20"/>
          <w:color w:val="auto"/>
        </w:rPr>
      </w:pPr>
    </w:p>
    <w:p>
      <w:pPr>
        <w:spacing w:after="0" w:line="241"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As Effective June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366395</wp:posOffset>
            </wp:positionV>
            <wp:extent cx="6995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408940</wp:posOffset>
            </wp:positionV>
            <wp:extent cx="6995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34"/>
        </w:trPr>
        <w:tc>
          <w:tcPr>
            <w:tcW w:w="1560" w:type="dxa"/>
            <w:vAlign w:val="bottom"/>
          </w:tcPr>
          <w:p>
            <w:pPr>
              <w:spacing w:after="0"/>
              <w:rPr>
                <w:sz w:val="20"/>
                <w:szCs w:val="20"/>
                <w:color w:val="auto"/>
              </w:rPr>
            </w:pPr>
          </w:p>
        </w:tc>
        <w:tc>
          <w:tcPr>
            <w:tcW w:w="7400" w:type="dxa"/>
            <w:vAlign w:val="bottom"/>
          </w:tcPr>
          <w:p>
            <w:pPr>
              <w:jc w:val="center"/>
              <w:ind w:left="410"/>
              <w:spacing w:after="0"/>
              <w:rPr>
                <w:sz w:val="20"/>
                <w:szCs w:val="20"/>
                <w:color w:val="auto"/>
              </w:rPr>
            </w:pPr>
            <w:r>
              <w:rPr>
                <w:rFonts w:ascii="Arial" w:cs="Arial" w:eastAsia="Arial" w:hAnsi="Arial"/>
                <w:sz w:val="18"/>
                <w:szCs w:val="18"/>
                <w:b w:val="1"/>
                <w:bCs w:val="1"/>
                <w:color w:val="auto"/>
              </w:rPr>
              <w:t>DAY ONE BIOPHARMACEUTICALS, INC.</w:t>
            </w:r>
          </w:p>
        </w:tc>
        <w:tc>
          <w:tcPr>
            <w:tcW w:w="2000" w:type="dxa"/>
            <w:vAlign w:val="bottom"/>
          </w:tcPr>
          <w:p>
            <w:pPr>
              <w:spacing w:after="0"/>
              <w:rPr>
                <w:sz w:val="20"/>
                <w:szCs w:val="20"/>
                <w:color w:val="auto"/>
              </w:rPr>
            </w:pPr>
          </w:p>
        </w:tc>
      </w:tr>
      <w:tr>
        <w:trPr>
          <w:trHeight w:val="324"/>
        </w:trPr>
        <w:tc>
          <w:tcPr>
            <w:tcW w:w="1560" w:type="dxa"/>
            <w:vAlign w:val="bottom"/>
          </w:tcPr>
          <w:p>
            <w:pPr>
              <w:spacing w:after="0"/>
              <w:rPr>
                <w:sz w:val="24"/>
                <w:szCs w:val="24"/>
                <w:color w:val="auto"/>
              </w:rPr>
            </w:pPr>
          </w:p>
        </w:tc>
        <w:tc>
          <w:tcPr>
            <w:tcW w:w="7400" w:type="dxa"/>
            <w:vAlign w:val="bottom"/>
          </w:tcPr>
          <w:p>
            <w:pPr>
              <w:jc w:val="center"/>
              <w:ind w:left="390"/>
              <w:spacing w:after="0"/>
              <w:rPr>
                <w:sz w:val="20"/>
                <w:szCs w:val="20"/>
                <w:color w:val="auto"/>
              </w:rPr>
            </w:pPr>
            <w:r>
              <w:rPr>
                <w:rFonts w:ascii="Arial" w:cs="Arial" w:eastAsia="Arial" w:hAnsi="Arial"/>
                <w:sz w:val="18"/>
                <w:szCs w:val="18"/>
                <w:color w:val="auto"/>
                <w:w w:val="90"/>
              </w:rPr>
              <w:t>(a Delaware corporation)</w:t>
            </w:r>
          </w:p>
        </w:tc>
        <w:tc>
          <w:tcPr>
            <w:tcW w:w="2000" w:type="dxa"/>
            <w:vAlign w:val="bottom"/>
          </w:tcPr>
          <w:p>
            <w:pPr>
              <w:spacing w:after="0"/>
              <w:rPr>
                <w:sz w:val="24"/>
                <w:szCs w:val="24"/>
                <w:color w:val="auto"/>
              </w:rPr>
            </w:pPr>
          </w:p>
        </w:tc>
      </w:tr>
      <w:tr>
        <w:trPr>
          <w:trHeight w:val="432"/>
        </w:trPr>
        <w:tc>
          <w:tcPr>
            <w:tcW w:w="1560" w:type="dxa"/>
            <w:vAlign w:val="bottom"/>
          </w:tcPr>
          <w:p>
            <w:pPr>
              <w:spacing w:after="0"/>
              <w:rPr>
                <w:sz w:val="24"/>
                <w:szCs w:val="24"/>
                <w:color w:val="auto"/>
              </w:rPr>
            </w:pPr>
          </w:p>
        </w:tc>
        <w:tc>
          <w:tcPr>
            <w:tcW w:w="7400" w:type="dxa"/>
            <w:vAlign w:val="bottom"/>
          </w:tcPr>
          <w:p>
            <w:pPr>
              <w:jc w:val="center"/>
              <w:ind w:left="390"/>
              <w:spacing w:after="0"/>
              <w:rPr>
                <w:sz w:val="20"/>
                <w:szCs w:val="20"/>
                <w:color w:val="auto"/>
              </w:rPr>
            </w:pPr>
            <w:r>
              <w:rPr>
                <w:rFonts w:ascii="Arial" w:cs="Arial" w:eastAsia="Arial" w:hAnsi="Arial"/>
                <w:sz w:val="18"/>
                <w:szCs w:val="18"/>
                <w:b w:val="1"/>
                <w:bCs w:val="1"/>
                <w:color w:val="auto"/>
                <w:w w:val="97"/>
              </w:rPr>
              <w:t>RESTATED BYLAWS</w:t>
            </w:r>
          </w:p>
        </w:tc>
        <w:tc>
          <w:tcPr>
            <w:tcW w:w="2000" w:type="dxa"/>
            <w:vAlign w:val="bottom"/>
          </w:tcPr>
          <w:p>
            <w:pPr>
              <w:spacing w:after="0"/>
              <w:rPr>
                <w:sz w:val="24"/>
                <w:szCs w:val="24"/>
                <w:color w:val="auto"/>
              </w:rPr>
            </w:pPr>
          </w:p>
        </w:tc>
      </w:tr>
      <w:tr>
        <w:trPr>
          <w:trHeight w:val="432"/>
        </w:trPr>
        <w:tc>
          <w:tcPr>
            <w:tcW w:w="1560" w:type="dxa"/>
            <w:vAlign w:val="bottom"/>
          </w:tcPr>
          <w:p>
            <w:pPr>
              <w:spacing w:after="0"/>
              <w:rPr>
                <w:sz w:val="24"/>
                <w:szCs w:val="24"/>
                <w:color w:val="auto"/>
              </w:rPr>
            </w:pPr>
          </w:p>
        </w:tc>
        <w:tc>
          <w:tcPr>
            <w:tcW w:w="7400" w:type="dxa"/>
            <w:vAlign w:val="bottom"/>
          </w:tcPr>
          <w:p>
            <w:pPr>
              <w:jc w:val="center"/>
              <w:ind w:left="390"/>
              <w:spacing w:after="0"/>
              <w:rPr>
                <w:sz w:val="20"/>
                <w:szCs w:val="20"/>
                <w:color w:val="auto"/>
              </w:rPr>
            </w:pPr>
            <w:r>
              <w:rPr>
                <w:rFonts w:ascii="Arial" w:cs="Arial" w:eastAsia="Arial" w:hAnsi="Arial"/>
                <w:sz w:val="18"/>
                <w:szCs w:val="18"/>
                <w:b w:val="1"/>
                <w:bCs w:val="1"/>
                <w:color w:val="auto"/>
                <w:w w:val="98"/>
              </w:rPr>
              <w:t>TABLE OF CONTENTS</w:t>
            </w:r>
          </w:p>
        </w:tc>
        <w:tc>
          <w:tcPr>
            <w:tcW w:w="2000" w:type="dxa"/>
            <w:vAlign w:val="bottom"/>
          </w:tcPr>
          <w:p>
            <w:pPr>
              <w:spacing w:after="0"/>
              <w:rPr>
                <w:sz w:val="24"/>
                <w:szCs w:val="24"/>
                <w:color w:val="auto"/>
              </w:rPr>
            </w:pPr>
          </w:p>
        </w:tc>
      </w:tr>
      <w:tr>
        <w:trPr>
          <w:trHeight w:val="406"/>
        </w:trPr>
        <w:tc>
          <w:tcPr>
            <w:tcW w:w="156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91"/>
        </w:trPr>
        <w:tc>
          <w:tcPr>
            <w:tcW w:w="89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 </w:t>
            </w:r>
            <w:r>
              <w:rPr>
                <w:rFonts w:ascii="Arial" w:cs="Arial" w:eastAsia="Arial" w:hAnsi="Arial"/>
                <w:sz w:val="18"/>
                <w:szCs w:val="18"/>
                <w:color w:val="auto"/>
              </w:rPr>
              <w:t>STOCKHOLDERS</w:t>
            </w:r>
          </w:p>
        </w:tc>
        <w:tc>
          <w:tcPr>
            <w:tcW w:w="2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b w:val="1"/>
                <w:bCs w:val="1"/>
                <w:color w:val="auto"/>
              </w:rPr>
              <w:t>Section 1.1:</w:t>
            </w:r>
          </w:p>
        </w:tc>
        <w:tc>
          <w:tcPr>
            <w:tcW w:w="7400" w:type="dxa"/>
            <w:vAlign w:val="bottom"/>
          </w:tcPr>
          <w:p>
            <w:pPr>
              <w:ind w:left="240"/>
              <w:spacing w:after="0"/>
              <w:rPr>
                <w:sz w:val="20"/>
                <w:szCs w:val="20"/>
                <w:color w:val="auto"/>
              </w:rPr>
            </w:pPr>
            <w:r>
              <w:rPr>
                <w:rFonts w:ascii="Arial" w:cs="Arial" w:eastAsia="Arial" w:hAnsi="Arial"/>
                <w:sz w:val="18"/>
                <w:szCs w:val="18"/>
                <w:color w:val="auto"/>
              </w:rPr>
              <w:t>Annual Meetings</w:t>
            </w:r>
          </w:p>
        </w:tc>
        <w:tc>
          <w:tcPr>
            <w:tcW w:w="2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b w:val="1"/>
                <w:bCs w:val="1"/>
                <w:color w:val="auto"/>
              </w:rPr>
              <w:t>Section 1.2:</w:t>
            </w:r>
          </w:p>
        </w:tc>
        <w:tc>
          <w:tcPr>
            <w:tcW w:w="7400" w:type="dxa"/>
            <w:vAlign w:val="bottom"/>
          </w:tcPr>
          <w:p>
            <w:pPr>
              <w:ind w:left="240"/>
              <w:spacing w:after="0"/>
              <w:rPr>
                <w:sz w:val="20"/>
                <w:szCs w:val="20"/>
                <w:color w:val="auto"/>
              </w:rPr>
            </w:pPr>
            <w:r>
              <w:rPr>
                <w:rFonts w:ascii="Arial" w:cs="Arial" w:eastAsia="Arial" w:hAnsi="Arial"/>
                <w:sz w:val="18"/>
                <w:szCs w:val="18"/>
                <w:color w:val="auto"/>
              </w:rPr>
              <w:t>Special Meetings</w:t>
            </w:r>
          </w:p>
        </w:tc>
        <w:tc>
          <w:tcPr>
            <w:tcW w:w="2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b w:val="1"/>
                <w:bCs w:val="1"/>
                <w:color w:val="auto"/>
              </w:rPr>
              <w:t>Section 1.3:</w:t>
            </w:r>
          </w:p>
        </w:tc>
        <w:tc>
          <w:tcPr>
            <w:tcW w:w="7400" w:type="dxa"/>
            <w:vAlign w:val="bottom"/>
          </w:tcPr>
          <w:p>
            <w:pPr>
              <w:ind w:left="240"/>
              <w:spacing w:after="0"/>
              <w:rPr>
                <w:sz w:val="20"/>
                <w:szCs w:val="20"/>
                <w:color w:val="auto"/>
              </w:rPr>
            </w:pPr>
            <w:r>
              <w:rPr>
                <w:rFonts w:ascii="Arial" w:cs="Arial" w:eastAsia="Arial" w:hAnsi="Arial"/>
                <w:sz w:val="18"/>
                <w:szCs w:val="18"/>
                <w:color w:val="auto"/>
              </w:rPr>
              <w:t>Notice of Meetings</w:t>
            </w:r>
          </w:p>
        </w:tc>
        <w:tc>
          <w:tcPr>
            <w:tcW w:w="2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b w:val="1"/>
                <w:bCs w:val="1"/>
                <w:color w:val="auto"/>
              </w:rPr>
              <w:t>Section 1.4:</w:t>
            </w:r>
          </w:p>
        </w:tc>
        <w:tc>
          <w:tcPr>
            <w:tcW w:w="7400" w:type="dxa"/>
            <w:vAlign w:val="bottom"/>
          </w:tcPr>
          <w:p>
            <w:pPr>
              <w:ind w:left="240"/>
              <w:spacing w:after="0"/>
              <w:rPr>
                <w:sz w:val="20"/>
                <w:szCs w:val="20"/>
                <w:color w:val="auto"/>
              </w:rPr>
            </w:pPr>
            <w:r>
              <w:rPr>
                <w:rFonts w:ascii="Arial" w:cs="Arial" w:eastAsia="Arial" w:hAnsi="Arial"/>
                <w:sz w:val="18"/>
                <w:szCs w:val="18"/>
                <w:color w:val="auto"/>
              </w:rPr>
              <w:t>Adjournments</w:t>
            </w:r>
          </w:p>
        </w:tc>
        <w:tc>
          <w:tcPr>
            <w:tcW w:w="2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b w:val="1"/>
                <w:bCs w:val="1"/>
                <w:color w:val="auto"/>
              </w:rPr>
              <w:t>Section 1.5:</w:t>
            </w:r>
          </w:p>
        </w:tc>
        <w:tc>
          <w:tcPr>
            <w:tcW w:w="7400" w:type="dxa"/>
            <w:vAlign w:val="bottom"/>
          </w:tcPr>
          <w:p>
            <w:pPr>
              <w:ind w:left="240"/>
              <w:spacing w:after="0"/>
              <w:rPr>
                <w:sz w:val="20"/>
                <w:szCs w:val="20"/>
                <w:color w:val="auto"/>
              </w:rPr>
            </w:pPr>
            <w:r>
              <w:rPr>
                <w:rFonts w:ascii="Arial" w:cs="Arial" w:eastAsia="Arial" w:hAnsi="Arial"/>
                <w:sz w:val="18"/>
                <w:szCs w:val="18"/>
                <w:color w:val="auto"/>
              </w:rPr>
              <w:t>Quorum</w:t>
            </w:r>
          </w:p>
        </w:tc>
        <w:tc>
          <w:tcPr>
            <w:tcW w:w="2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b w:val="1"/>
                <w:bCs w:val="1"/>
                <w:color w:val="auto"/>
              </w:rPr>
              <w:t>Section 1.6:</w:t>
            </w:r>
          </w:p>
        </w:tc>
        <w:tc>
          <w:tcPr>
            <w:tcW w:w="7400" w:type="dxa"/>
            <w:vAlign w:val="bottom"/>
          </w:tcPr>
          <w:p>
            <w:pPr>
              <w:ind w:left="240"/>
              <w:spacing w:after="0"/>
              <w:rPr>
                <w:sz w:val="20"/>
                <w:szCs w:val="20"/>
                <w:color w:val="auto"/>
              </w:rPr>
            </w:pPr>
            <w:r>
              <w:rPr>
                <w:rFonts w:ascii="Arial" w:cs="Arial" w:eastAsia="Arial" w:hAnsi="Arial"/>
                <w:sz w:val="18"/>
                <w:szCs w:val="18"/>
                <w:color w:val="auto"/>
              </w:rPr>
              <w:t>Organization</w:t>
            </w:r>
          </w:p>
        </w:tc>
        <w:tc>
          <w:tcPr>
            <w:tcW w:w="2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b w:val="1"/>
                <w:bCs w:val="1"/>
                <w:color w:val="auto"/>
              </w:rPr>
              <w:t>Section 1.7:</w:t>
            </w:r>
          </w:p>
        </w:tc>
        <w:tc>
          <w:tcPr>
            <w:tcW w:w="7400" w:type="dxa"/>
            <w:vAlign w:val="bottom"/>
          </w:tcPr>
          <w:p>
            <w:pPr>
              <w:ind w:left="240"/>
              <w:spacing w:after="0"/>
              <w:rPr>
                <w:sz w:val="20"/>
                <w:szCs w:val="20"/>
                <w:color w:val="auto"/>
              </w:rPr>
            </w:pPr>
            <w:r>
              <w:rPr>
                <w:rFonts w:ascii="Arial" w:cs="Arial" w:eastAsia="Arial" w:hAnsi="Arial"/>
                <w:sz w:val="18"/>
                <w:szCs w:val="18"/>
                <w:color w:val="auto"/>
              </w:rPr>
              <w:t>Voting; Proxies</w:t>
            </w:r>
          </w:p>
        </w:tc>
        <w:tc>
          <w:tcPr>
            <w:tcW w:w="2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b w:val="1"/>
                <w:bCs w:val="1"/>
                <w:color w:val="auto"/>
              </w:rPr>
              <w:t>Section 1.8:</w:t>
            </w:r>
          </w:p>
        </w:tc>
        <w:tc>
          <w:tcPr>
            <w:tcW w:w="7400" w:type="dxa"/>
            <w:vAlign w:val="bottom"/>
          </w:tcPr>
          <w:p>
            <w:pPr>
              <w:ind w:left="240"/>
              <w:spacing w:after="0"/>
              <w:rPr>
                <w:sz w:val="20"/>
                <w:szCs w:val="20"/>
                <w:color w:val="auto"/>
              </w:rPr>
            </w:pPr>
            <w:r>
              <w:rPr>
                <w:rFonts w:ascii="Arial" w:cs="Arial" w:eastAsia="Arial" w:hAnsi="Arial"/>
                <w:sz w:val="18"/>
                <w:szCs w:val="18"/>
                <w:color w:val="auto"/>
              </w:rPr>
              <w:t>Fixing Date for Determination of Stockholders of Record</w:t>
            </w:r>
          </w:p>
        </w:tc>
        <w:tc>
          <w:tcPr>
            <w:tcW w:w="2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b w:val="1"/>
                <w:bCs w:val="1"/>
                <w:color w:val="auto"/>
              </w:rPr>
              <w:t>Section 1.9:</w:t>
            </w:r>
          </w:p>
        </w:tc>
        <w:tc>
          <w:tcPr>
            <w:tcW w:w="7400" w:type="dxa"/>
            <w:vAlign w:val="bottom"/>
          </w:tcPr>
          <w:p>
            <w:pPr>
              <w:ind w:left="240"/>
              <w:spacing w:after="0"/>
              <w:rPr>
                <w:sz w:val="20"/>
                <w:szCs w:val="20"/>
                <w:color w:val="auto"/>
              </w:rPr>
            </w:pPr>
            <w:r>
              <w:rPr>
                <w:rFonts w:ascii="Arial" w:cs="Arial" w:eastAsia="Arial" w:hAnsi="Arial"/>
                <w:sz w:val="18"/>
                <w:szCs w:val="18"/>
                <w:color w:val="auto"/>
              </w:rPr>
              <w:t>List of Stockholders Entitled to Vote</w:t>
            </w:r>
          </w:p>
        </w:tc>
        <w:tc>
          <w:tcPr>
            <w:tcW w:w="2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b w:val="1"/>
                <w:bCs w:val="1"/>
                <w:color w:val="auto"/>
              </w:rPr>
              <w:t>Section 1.10:</w:t>
            </w:r>
          </w:p>
        </w:tc>
        <w:tc>
          <w:tcPr>
            <w:tcW w:w="7400" w:type="dxa"/>
            <w:vAlign w:val="bottom"/>
          </w:tcPr>
          <w:p>
            <w:pPr>
              <w:ind w:left="240"/>
              <w:spacing w:after="0"/>
              <w:rPr>
                <w:sz w:val="20"/>
                <w:szCs w:val="20"/>
                <w:color w:val="auto"/>
              </w:rPr>
            </w:pPr>
            <w:r>
              <w:rPr>
                <w:rFonts w:ascii="Arial" w:cs="Arial" w:eastAsia="Arial" w:hAnsi="Arial"/>
                <w:sz w:val="18"/>
                <w:szCs w:val="18"/>
                <w:color w:val="auto"/>
              </w:rPr>
              <w:t>Inspectors of Elections</w:t>
            </w:r>
          </w:p>
        </w:tc>
        <w:tc>
          <w:tcPr>
            <w:tcW w:w="20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b w:val="1"/>
                <w:bCs w:val="1"/>
                <w:color w:val="auto"/>
              </w:rPr>
              <w:t>Section 1.11:</w:t>
            </w:r>
          </w:p>
        </w:tc>
        <w:tc>
          <w:tcPr>
            <w:tcW w:w="7400" w:type="dxa"/>
            <w:vAlign w:val="bottom"/>
          </w:tcPr>
          <w:p>
            <w:pPr>
              <w:ind w:left="240"/>
              <w:spacing w:after="0"/>
              <w:rPr>
                <w:sz w:val="20"/>
                <w:szCs w:val="20"/>
                <w:color w:val="auto"/>
              </w:rPr>
            </w:pPr>
            <w:r>
              <w:rPr>
                <w:rFonts w:ascii="Arial" w:cs="Arial" w:eastAsia="Arial" w:hAnsi="Arial"/>
                <w:sz w:val="18"/>
                <w:szCs w:val="18"/>
                <w:color w:val="auto"/>
              </w:rPr>
              <w:t>Conduct of Meetings</w:t>
            </w:r>
          </w:p>
        </w:tc>
        <w:tc>
          <w:tcPr>
            <w:tcW w:w="20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4"/>
        </w:trPr>
        <w:tc>
          <w:tcPr>
            <w:tcW w:w="1560" w:type="dxa"/>
            <w:vAlign w:val="bottom"/>
          </w:tcPr>
          <w:p>
            <w:pPr>
              <w:ind w:left="360"/>
              <w:spacing w:after="0"/>
              <w:rPr>
                <w:sz w:val="20"/>
                <w:szCs w:val="20"/>
                <w:color w:val="auto"/>
              </w:rPr>
            </w:pPr>
            <w:r>
              <w:rPr>
                <w:rFonts w:ascii="Arial" w:cs="Arial" w:eastAsia="Arial" w:hAnsi="Arial"/>
                <w:sz w:val="18"/>
                <w:szCs w:val="18"/>
                <w:b w:val="1"/>
                <w:bCs w:val="1"/>
                <w:color w:val="auto"/>
              </w:rPr>
              <w:t>Section 1.12:</w:t>
            </w:r>
          </w:p>
        </w:tc>
        <w:tc>
          <w:tcPr>
            <w:tcW w:w="7400" w:type="dxa"/>
            <w:vAlign w:val="bottom"/>
          </w:tcPr>
          <w:p>
            <w:pPr>
              <w:ind w:left="240"/>
              <w:spacing w:after="0"/>
              <w:rPr>
                <w:sz w:val="20"/>
                <w:szCs w:val="20"/>
                <w:color w:val="auto"/>
              </w:rPr>
            </w:pPr>
            <w:r>
              <w:rPr>
                <w:rFonts w:ascii="Arial" w:cs="Arial" w:eastAsia="Arial" w:hAnsi="Arial"/>
                <w:sz w:val="18"/>
                <w:szCs w:val="18"/>
                <w:color w:val="auto"/>
              </w:rPr>
              <w:t>Notice of Stockholder Business; Nominations</w:t>
            </w:r>
          </w:p>
        </w:tc>
        <w:tc>
          <w:tcPr>
            <w:tcW w:w="20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6"/>
        </w:trPr>
        <w:tc>
          <w:tcPr>
            <w:tcW w:w="89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II: </w:t>
            </w:r>
            <w:r>
              <w:rPr>
                <w:rFonts w:ascii="Arial" w:cs="Arial" w:eastAsia="Arial" w:hAnsi="Arial"/>
                <w:sz w:val="18"/>
                <w:szCs w:val="18"/>
                <w:color w:val="auto"/>
              </w:rPr>
              <w:t>BOARD OF DIRECTORS</w:t>
            </w:r>
          </w:p>
        </w:tc>
        <w:tc>
          <w:tcPr>
            <w:tcW w:w="20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b w:val="1"/>
                <w:bCs w:val="1"/>
                <w:color w:val="auto"/>
              </w:rPr>
              <w:t>Section 2.1:</w:t>
            </w:r>
          </w:p>
        </w:tc>
        <w:tc>
          <w:tcPr>
            <w:tcW w:w="7400" w:type="dxa"/>
            <w:vAlign w:val="bottom"/>
          </w:tcPr>
          <w:p>
            <w:pPr>
              <w:ind w:left="240"/>
              <w:spacing w:after="0"/>
              <w:rPr>
                <w:sz w:val="20"/>
                <w:szCs w:val="20"/>
                <w:color w:val="auto"/>
              </w:rPr>
            </w:pPr>
            <w:r>
              <w:rPr>
                <w:rFonts w:ascii="Arial" w:cs="Arial" w:eastAsia="Arial" w:hAnsi="Arial"/>
                <w:sz w:val="18"/>
                <w:szCs w:val="18"/>
                <w:color w:val="auto"/>
              </w:rPr>
              <w:t>Number; Qualifications</w:t>
            </w:r>
          </w:p>
        </w:tc>
        <w:tc>
          <w:tcPr>
            <w:tcW w:w="20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b w:val="1"/>
                <w:bCs w:val="1"/>
                <w:color w:val="auto"/>
              </w:rPr>
              <w:t>Section 2.2:</w:t>
            </w:r>
          </w:p>
        </w:tc>
        <w:tc>
          <w:tcPr>
            <w:tcW w:w="7400" w:type="dxa"/>
            <w:vAlign w:val="bottom"/>
          </w:tcPr>
          <w:p>
            <w:pPr>
              <w:ind w:left="240"/>
              <w:spacing w:after="0"/>
              <w:rPr>
                <w:sz w:val="20"/>
                <w:szCs w:val="20"/>
                <w:color w:val="auto"/>
              </w:rPr>
            </w:pPr>
            <w:r>
              <w:rPr>
                <w:rFonts w:ascii="Arial" w:cs="Arial" w:eastAsia="Arial" w:hAnsi="Arial"/>
                <w:sz w:val="18"/>
                <w:szCs w:val="18"/>
                <w:color w:val="auto"/>
              </w:rPr>
              <w:t>Election; Resignation; Removal; Vacancies</w:t>
            </w:r>
          </w:p>
        </w:tc>
        <w:tc>
          <w:tcPr>
            <w:tcW w:w="20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b w:val="1"/>
                <w:bCs w:val="1"/>
                <w:color w:val="auto"/>
              </w:rPr>
              <w:t>Section 2.3:</w:t>
            </w:r>
          </w:p>
        </w:tc>
        <w:tc>
          <w:tcPr>
            <w:tcW w:w="7400" w:type="dxa"/>
            <w:vAlign w:val="bottom"/>
          </w:tcPr>
          <w:p>
            <w:pPr>
              <w:ind w:left="240"/>
              <w:spacing w:after="0"/>
              <w:rPr>
                <w:sz w:val="20"/>
                <w:szCs w:val="20"/>
                <w:color w:val="auto"/>
              </w:rPr>
            </w:pPr>
            <w:r>
              <w:rPr>
                <w:rFonts w:ascii="Arial" w:cs="Arial" w:eastAsia="Arial" w:hAnsi="Arial"/>
                <w:sz w:val="18"/>
                <w:szCs w:val="18"/>
                <w:color w:val="auto"/>
              </w:rPr>
              <w:t>Regular Meetings</w:t>
            </w:r>
          </w:p>
        </w:tc>
        <w:tc>
          <w:tcPr>
            <w:tcW w:w="20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b w:val="1"/>
                <w:bCs w:val="1"/>
                <w:color w:val="auto"/>
              </w:rPr>
              <w:t>Section 2.4:</w:t>
            </w:r>
          </w:p>
        </w:tc>
        <w:tc>
          <w:tcPr>
            <w:tcW w:w="7400" w:type="dxa"/>
            <w:vAlign w:val="bottom"/>
          </w:tcPr>
          <w:p>
            <w:pPr>
              <w:ind w:left="240"/>
              <w:spacing w:after="0"/>
              <w:rPr>
                <w:sz w:val="20"/>
                <w:szCs w:val="20"/>
                <w:color w:val="auto"/>
              </w:rPr>
            </w:pPr>
            <w:r>
              <w:rPr>
                <w:rFonts w:ascii="Arial" w:cs="Arial" w:eastAsia="Arial" w:hAnsi="Arial"/>
                <w:sz w:val="18"/>
                <w:szCs w:val="18"/>
                <w:color w:val="auto"/>
              </w:rPr>
              <w:t>Special Meetings</w:t>
            </w:r>
          </w:p>
        </w:tc>
        <w:tc>
          <w:tcPr>
            <w:tcW w:w="20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b w:val="1"/>
                <w:bCs w:val="1"/>
                <w:color w:val="auto"/>
              </w:rPr>
              <w:t>Section 2.5:</w:t>
            </w:r>
          </w:p>
        </w:tc>
        <w:tc>
          <w:tcPr>
            <w:tcW w:w="7400" w:type="dxa"/>
            <w:vAlign w:val="bottom"/>
          </w:tcPr>
          <w:p>
            <w:pPr>
              <w:ind w:left="240"/>
              <w:spacing w:after="0"/>
              <w:rPr>
                <w:sz w:val="20"/>
                <w:szCs w:val="20"/>
                <w:color w:val="auto"/>
              </w:rPr>
            </w:pPr>
            <w:r>
              <w:rPr>
                <w:rFonts w:ascii="Arial" w:cs="Arial" w:eastAsia="Arial" w:hAnsi="Arial"/>
                <w:sz w:val="18"/>
                <w:szCs w:val="18"/>
                <w:color w:val="auto"/>
              </w:rPr>
              <w:t>Remote Meetings Permitted</w:t>
            </w:r>
          </w:p>
        </w:tc>
        <w:tc>
          <w:tcPr>
            <w:tcW w:w="20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b w:val="1"/>
                <w:bCs w:val="1"/>
                <w:color w:val="auto"/>
              </w:rPr>
              <w:t>Section 2.6:</w:t>
            </w:r>
          </w:p>
        </w:tc>
        <w:tc>
          <w:tcPr>
            <w:tcW w:w="7400" w:type="dxa"/>
            <w:vAlign w:val="bottom"/>
          </w:tcPr>
          <w:p>
            <w:pPr>
              <w:ind w:left="240"/>
              <w:spacing w:after="0"/>
              <w:rPr>
                <w:sz w:val="20"/>
                <w:szCs w:val="20"/>
                <w:color w:val="auto"/>
              </w:rPr>
            </w:pPr>
            <w:r>
              <w:rPr>
                <w:rFonts w:ascii="Arial" w:cs="Arial" w:eastAsia="Arial" w:hAnsi="Arial"/>
                <w:sz w:val="18"/>
                <w:szCs w:val="18"/>
                <w:color w:val="auto"/>
              </w:rPr>
              <w:t>Quorum; Vote Required for Action</w:t>
            </w:r>
          </w:p>
        </w:tc>
        <w:tc>
          <w:tcPr>
            <w:tcW w:w="20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b w:val="1"/>
                <w:bCs w:val="1"/>
                <w:color w:val="auto"/>
              </w:rPr>
              <w:t>Section 2.7:</w:t>
            </w:r>
          </w:p>
        </w:tc>
        <w:tc>
          <w:tcPr>
            <w:tcW w:w="7400" w:type="dxa"/>
            <w:vAlign w:val="bottom"/>
          </w:tcPr>
          <w:p>
            <w:pPr>
              <w:ind w:left="240"/>
              <w:spacing w:after="0"/>
              <w:rPr>
                <w:sz w:val="20"/>
                <w:szCs w:val="20"/>
                <w:color w:val="auto"/>
              </w:rPr>
            </w:pPr>
            <w:r>
              <w:rPr>
                <w:rFonts w:ascii="Arial" w:cs="Arial" w:eastAsia="Arial" w:hAnsi="Arial"/>
                <w:sz w:val="18"/>
                <w:szCs w:val="18"/>
                <w:color w:val="auto"/>
              </w:rPr>
              <w:t>Organization</w:t>
            </w:r>
          </w:p>
        </w:tc>
        <w:tc>
          <w:tcPr>
            <w:tcW w:w="20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b w:val="1"/>
                <w:bCs w:val="1"/>
                <w:color w:val="auto"/>
              </w:rPr>
              <w:t>Section 2.8:</w:t>
            </w:r>
          </w:p>
        </w:tc>
        <w:tc>
          <w:tcPr>
            <w:tcW w:w="7400" w:type="dxa"/>
            <w:vAlign w:val="bottom"/>
          </w:tcPr>
          <w:p>
            <w:pPr>
              <w:ind w:left="240"/>
              <w:spacing w:after="0"/>
              <w:rPr>
                <w:sz w:val="20"/>
                <w:szCs w:val="20"/>
                <w:color w:val="auto"/>
              </w:rPr>
            </w:pPr>
            <w:r>
              <w:rPr>
                <w:rFonts w:ascii="Arial" w:cs="Arial" w:eastAsia="Arial" w:hAnsi="Arial"/>
                <w:sz w:val="18"/>
                <w:szCs w:val="18"/>
                <w:color w:val="auto"/>
              </w:rPr>
              <w:t>Unanimous Action by Directors in Lieu of a Meeting</w:t>
            </w:r>
          </w:p>
        </w:tc>
        <w:tc>
          <w:tcPr>
            <w:tcW w:w="20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b w:val="1"/>
                <w:bCs w:val="1"/>
                <w:color w:val="auto"/>
              </w:rPr>
              <w:t>Section 2.9:</w:t>
            </w:r>
          </w:p>
        </w:tc>
        <w:tc>
          <w:tcPr>
            <w:tcW w:w="7400" w:type="dxa"/>
            <w:vAlign w:val="bottom"/>
          </w:tcPr>
          <w:p>
            <w:pPr>
              <w:ind w:left="240"/>
              <w:spacing w:after="0"/>
              <w:rPr>
                <w:sz w:val="20"/>
                <w:szCs w:val="20"/>
                <w:color w:val="auto"/>
              </w:rPr>
            </w:pPr>
            <w:r>
              <w:rPr>
                <w:rFonts w:ascii="Arial" w:cs="Arial" w:eastAsia="Arial" w:hAnsi="Arial"/>
                <w:sz w:val="18"/>
                <w:szCs w:val="18"/>
                <w:color w:val="auto"/>
              </w:rPr>
              <w:t>Powers</w:t>
            </w:r>
          </w:p>
        </w:tc>
        <w:tc>
          <w:tcPr>
            <w:tcW w:w="20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b w:val="1"/>
                <w:bCs w:val="1"/>
                <w:color w:val="auto"/>
              </w:rPr>
              <w:t>Section 2.10:</w:t>
            </w:r>
          </w:p>
        </w:tc>
        <w:tc>
          <w:tcPr>
            <w:tcW w:w="7400" w:type="dxa"/>
            <w:vAlign w:val="bottom"/>
          </w:tcPr>
          <w:p>
            <w:pPr>
              <w:ind w:left="240"/>
              <w:spacing w:after="0"/>
              <w:rPr>
                <w:sz w:val="20"/>
                <w:szCs w:val="20"/>
                <w:color w:val="auto"/>
              </w:rPr>
            </w:pPr>
            <w:r>
              <w:rPr>
                <w:rFonts w:ascii="Arial" w:cs="Arial" w:eastAsia="Arial" w:hAnsi="Arial"/>
                <w:sz w:val="18"/>
                <w:szCs w:val="18"/>
                <w:color w:val="auto"/>
              </w:rPr>
              <w:t>Compensation of Directors</w:t>
            </w:r>
          </w:p>
        </w:tc>
        <w:tc>
          <w:tcPr>
            <w:tcW w:w="20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4"/>
        </w:trPr>
        <w:tc>
          <w:tcPr>
            <w:tcW w:w="1560" w:type="dxa"/>
            <w:vAlign w:val="bottom"/>
          </w:tcPr>
          <w:p>
            <w:pPr>
              <w:ind w:left="360"/>
              <w:spacing w:after="0"/>
              <w:rPr>
                <w:sz w:val="20"/>
                <w:szCs w:val="20"/>
                <w:color w:val="auto"/>
              </w:rPr>
            </w:pPr>
            <w:r>
              <w:rPr>
                <w:rFonts w:ascii="Arial" w:cs="Arial" w:eastAsia="Arial" w:hAnsi="Arial"/>
                <w:sz w:val="18"/>
                <w:szCs w:val="18"/>
                <w:b w:val="1"/>
                <w:bCs w:val="1"/>
                <w:color w:val="auto"/>
              </w:rPr>
              <w:t>Section 2.11:</w:t>
            </w:r>
          </w:p>
        </w:tc>
        <w:tc>
          <w:tcPr>
            <w:tcW w:w="7400" w:type="dxa"/>
            <w:vAlign w:val="bottom"/>
          </w:tcPr>
          <w:p>
            <w:pPr>
              <w:ind w:left="240"/>
              <w:spacing w:after="0"/>
              <w:rPr>
                <w:sz w:val="20"/>
                <w:szCs w:val="20"/>
                <w:color w:val="auto"/>
              </w:rPr>
            </w:pPr>
            <w:r>
              <w:rPr>
                <w:rFonts w:ascii="Arial" w:cs="Arial" w:eastAsia="Arial" w:hAnsi="Arial"/>
                <w:sz w:val="18"/>
                <w:szCs w:val="18"/>
                <w:color w:val="auto"/>
              </w:rPr>
              <w:t>Confidentiality</w:t>
            </w:r>
          </w:p>
        </w:tc>
        <w:tc>
          <w:tcPr>
            <w:tcW w:w="20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06"/>
        </w:trPr>
        <w:tc>
          <w:tcPr>
            <w:tcW w:w="89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III: </w:t>
            </w:r>
            <w:r>
              <w:rPr>
                <w:rFonts w:ascii="Arial" w:cs="Arial" w:eastAsia="Arial" w:hAnsi="Arial"/>
                <w:sz w:val="18"/>
                <w:szCs w:val="18"/>
                <w:color w:val="auto"/>
              </w:rPr>
              <w:t>COMMITTEES</w:t>
            </w:r>
          </w:p>
        </w:tc>
        <w:tc>
          <w:tcPr>
            <w:tcW w:w="20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b w:val="1"/>
                <w:bCs w:val="1"/>
                <w:color w:val="auto"/>
              </w:rPr>
              <w:t>Section 3.1:</w:t>
            </w:r>
          </w:p>
        </w:tc>
        <w:tc>
          <w:tcPr>
            <w:tcW w:w="7400" w:type="dxa"/>
            <w:vAlign w:val="bottom"/>
          </w:tcPr>
          <w:p>
            <w:pPr>
              <w:ind w:left="240"/>
              <w:spacing w:after="0"/>
              <w:rPr>
                <w:sz w:val="20"/>
                <w:szCs w:val="20"/>
                <w:color w:val="auto"/>
              </w:rPr>
            </w:pPr>
            <w:r>
              <w:rPr>
                <w:rFonts w:ascii="Arial" w:cs="Arial" w:eastAsia="Arial" w:hAnsi="Arial"/>
                <w:sz w:val="18"/>
                <w:szCs w:val="18"/>
                <w:color w:val="auto"/>
              </w:rPr>
              <w:t>Committees</w:t>
            </w:r>
          </w:p>
        </w:tc>
        <w:tc>
          <w:tcPr>
            <w:tcW w:w="20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4"/>
        </w:trPr>
        <w:tc>
          <w:tcPr>
            <w:tcW w:w="1560" w:type="dxa"/>
            <w:vAlign w:val="bottom"/>
          </w:tcPr>
          <w:p>
            <w:pPr>
              <w:ind w:left="360"/>
              <w:spacing w:after="0"/>
              <w:rPr>
                <w:sz w:val="20"/>
                <w:szCs w:val="20"/>
                <w:color w:val="auto"/>
              </w:rPr>
            </w:pPr>
            <w:r>
              <w:rPr>
                <w:rFonts w:ascii="Arial" w:cs="Arial" w:eastAsia="Arial" w:hAnsi="Arial"/>
                <w:sz w:val="18"/>
                <w:szCs w:val="18"/>
                <w:b w:val="1"/>
                <w:bCs w:val="1"/>
                <w:color w:val="auto"/>
              </w:rPr>
              <w:t>Section 3.2:</w:t>
            </w:r>
          </w:p>
        </w:tc>
        <w:tc>
          <w:tcPr>
            <w:tcW w:w="7400" w:type="dxa"/>
            <w:vAlign w:val="bottom"/>
          </w:tcPr>
          <w:p>
            <w:pPr>
              <w:ind w:left="240"/>
              <w:spacing w:after="0"/>
              <w:rPr>
                <w:sz w:val="20"/>
                <w:szCs w:val="20"/>
                <w:color w:val="auto"/>
              </w:rPr>
            </w:pPr>
            <w:r>
              <w:rPr>
                <w:rFonts w:ascii="Arial" w:cs="Arial" w:eastAsia="Arial" w:hAnsi="Arial"/>
                <w:sz w:val="18"/>
                <w:szCs w:val="18"/>
                <w:color w:val="auto"/>
              </w:rPr>
              <w:t>Committee Rules</w:t>
            </w:r>
          </w:p>
        </w:tc>
        <w:tc>
          <w:tcPr>
            <w:tcW w:w="20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6"/>
        </w:trPr>
        <w:tc>
          <w:tcPr>
            <w:tcW w:w="89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IV: </w:t>
            </w:r>
            <w:r>
              <w:rPr>
                <w:rFonts w:ascii="Arial" w:cs="Arial" w:eastAsia="Arial" w:hAnsi="Arial"/>
                <w:sz w:val="18"/>
                <w:szCs w:val="18"/>
                <w:color w:val="auto"/>
              </w:rPr>
              <w:t>OFFICERS; CHAIRPERSON; LEAD INDEPENDENT DIRECTOR</w:t>
            </w:r>
          </w:p>
        </w:tc>
        <w:tc>
          <w:tcPr>
            <w:tcW w:w="20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b w:val="1"/>
                <w:bCs w:val="1"/>
                <w:color w:val="auto"/>
              </w:rPr>
              <w:t>Section 4.1:</w:t>
            </w:r>
          </w:p>
        </w:tc>
        <w:tc>
          <w:tcPr>
            <w:tcW w:w="7400" w:type="dxa"/>
            <w:vAlign w:val="bottom"/>
          </w:tcPr>
          <w:p>
            <w:pPr>
              <w:ind w:left="240"/>
              <w:spacing w:after="0"/>
              <w:rPr>
                <w:sz w:val="20"/>
                <w:szCs w:val="20"/>
                <w:color w:val="auto"/>
              </w:rPr>
            </w:pPr>
            <w:r>
              <w:rPr>
                <w:rFonts w:ascii="Arial" w:cs="Arial" w:eastAsia="Arial" w:hAnsi="Arial"/>
                <w:sz w:val="18"/>
                <w:szCs w:val="18"/>
                <w:color w:val="auto"/>
              </w:rPr>
              <w:t>Generally</w:t>
            </w:r>
          </w:p>
        </w:tc>
        <w:tc>
          <w:tcPr>
            <w:tcW w:w="20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b w:val="1"/>
                <w:bCs w:val="1"/>
                <w:color w:val="auto"/>
              </w:rPr>
              <w:t>Section 4.2:</w:t>
            </w:r>
          </w:p>
        </w:tc>
        <w:tc>
          <w:tcPr>
            <w:tcW w:w="7400" w:type="dxa"/>
            <w:vAlign w:val="bottom"/>
          </w:tcPr>
          <w:p>
            <w:pPr>
              <w:ind w:left="240"/>
              <w:spacing w:after="0"/>
              <w:rPr>
                <w:sz w:val="20"/>
                <w:szCs w:val="20"/>
                <w:color w:val="auto"/>
              </w:rPr>
            </w:pPr>
            <w:r>
              <w:rPr>
                <w:rFonts w:ascii="Arial" w:cs="Arial" w:eastAsia="Arial" w:hAnsi="Arial"/>
                <w:sz w:val="18"/>
                <w:szCs w:val="18"/>
                <w:color w:val="auto"/>
              </w:rPr>
              <w:t>Chief Executive Officer</w:t>
            </w:r>
          </w:p>
        </w:tc>
        <w:tc>
          <w:tcPr>
            <w:tcW w:w="20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b w:val="1"/>
                <w:bCs w:val="1"/>
                <w:color w:val="auto"/>
              </w:rPr>
              <w:t>Section 4.3:</w:t>
            </w:r>
          </w:p>
        </w:tc>
        <w:tc>
          <w:tcPr>
            <w:tcW w:w="7400" w:type="dxa"/>
            <w:vAlign w:val="bottom"/>
          </w:tcPr>
          <w:p>
            <w:pPr>
              <w:ind w:left="240"/>
              <w:spacing w:after="0"/>
              <w:rPr>
                <w:sz w:val="20"/>
                <w:szCs w:val="20"/>
                <w:color w:val="auto"/>
              </w:rPr>
            </w:pPr>
            <w:r>
              <w:rPr>
                <w:rFonts w:ascii="Arial" w:cs="Arial" w:eastAsia="Arial" w:hAnsi="Arial"/>
                <w:sz w:val="18"/>
                <w:szCs w:val="18"/>
                <w:color w:val="auto"/>
              </w:rPr>
              <w:t>Chairperson of the Board</w:t>
            </w:r>
          </w:p>
        </w:tc>
        <w:tc>
          <w:tcPr>
            <w:tcW w:w="20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b w:val="1"/>
                <w:bCs w:val="1"/>
                <w:color w:val="auto"/>
              </w:rPr>
              <w:t>Section 4.4:</w:t>
            </w:r>
          </w:p>
        </w:tc>
        <w:tc>
          <w:tcPr>
            <w:tcW w:w="7400" w:type="dxa"/>
            <w:vAlign w:val="bottom"/>
          </w:tcPr>
          <w:p>
            <w:pPr>
              <w:ind w:left="240"/>
              <w:spacing w:after="0"/>
              <w:rPr>
                <w:sz w:val="20"/>
                <w:szCs w:val="20"/>
                <w:color w:val="auto"/>
              </w:rPr>
            </w:pPr>
            <w:r>
              <w:rPr>
                <w:rFonts w:ascii="Arial" w:cs="Arial" w:eastAsia="Arial" w:hAnsi="Arial"/>
                <w:sz w:val="18"/>
                <w:szCs w:val="18"/>
                <w:color w:val="auto"/>
              </w:rPr>
              <w:t>Lead Independent Director</w:t>
            </w:r>
          </w:p>
        </w:tc>
        <w:tc>
          <w:tcPr>
            <w:tcW w:w="20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b w:val="1"/>
                <w:bCs w:val="1"/>
                <w:color w:val="auto"/>
              </w:rPr>
              <w:t>Section 4.5:</w:t>
            </w:r>
          </w:p>
        </w:tc>
        <w:tc>
          <w:tcPr>
            <w:tcW w:w="7400" w:type="dxa"/>
            <w:vAlign w:val="bottom"/>
          </w:tcPr>
          <w:p>
            <w:pPr>
              <w:ind w:left="240"/>
              <w:spacing w:after="0"/>
              <w:rPr>
                <w:sz w:val="20"/>
                <w:szCs w:val="20"/>
                <w:color w:val="auto"/>
              </w:rPr>
            </w:pPr>
            <w:r>
              <w:rPr>
                <w:rFonts w:ascii="Arial" w:cs="Arial" w:eastAsia="Arial" w:hAnsi="Arial"/>
                <w:sz w:val="18"/>
                <w:szCs w:val="18"/>
                <w:color w:val="auto"/>
              </w:rPr>
              <w:t>President</w:t>
            </w:r>
          </w:p>
        </w:tc>
        <w:tc>
          <w:tcPr>
            <w:tcW w:w="20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b w:val="1"/>
                <w:bCs w:val="1"/>
                <w:color w:val="auto"/>
              </w:rPr>
              <w:t>Section 4.6:</w:t>
            </w:r>
          </w:p>
        </w:tc>
        <w:tc>
          <w:tcPr>
            <w:tcW w:w="7400" w:type="dxa"/>
            <w:vAlign w:val="bottom"/>
          </w:tcPr>
          <w:p>
            <w:pPr>
              <w:ind w:left="240"/>
              <w:spacing w:after="0"/>
              <w:rPr>
                <w:sz w:val="20"/>
                <w:szCs w:val="20"/>
                <w:color w:val="auto"/>
              </w:rPr>
            </w:pPr>
            <w:r>
              <w:rPr>
                <w:rFonts w:ascii="Arial" w:cs="Arial" w:eastAsia="Arial" w:hAnsi="Arial"/>
                <w:sz w:val="18"/>
                <w:szCs w:val="18"/>
                <w:color w:val="auto"/>
              </w:rPr>
              <w:t>Chief Financial Officer</w:t>
            </w:r>
          </w:p>
        </w:tc>
        <w:tc>
          <w:tcPr>
            <w:tcW w:w="20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4"/>
        </w:trPr>
        <w:tc>
          <w:tcPr>
            <w:tcW w:w="1560" w:type="dxa"/>
            <w:vAlign w:val="bottom"/>
          </w:tcPr>
          <w:p>
            <w:pPr>
              <w:ind w:left="360"/>
              <w:spacing w:after="0"/>
              <w:rPr>
                <w:sz w:val="20"/>
                <w:szCs w:val="20"/>
                <w:color w:val="auto"/>
              </w:rPr>
            </w:pPr>
            <w:r>
              <w:rPr>
                <w:rFonts w:ascii="Arial" w:cs="Arial" w:eastAsia="Arial" w:hAnsi="Arial"/>
                <w:sz w:val="18"/>
                <w:szCs w:val="18"/>
                <w:b w:val="1"/>
                <w:bCs w:val="1"/>
                <w:color w:val="auto"/>
              </w:rPr>
              <w:t>Section 4.7:</w:t>
            </w:r>
          </w:p>
        </w:tc>
        <w:tc>
          <w:tcPr>
            <w:tcW w:w="7400" w:type="dxa"/>
            <w:vAlign w:val="bottom"/>
          </w:tcPr>
          <w:p>
            <w:pPr>
              <w:ind w:left="240"/>
              <w:spacing w:after="0"/>
              <w:rPr>
                <w:sz w:val="20"/>
                <w:szCs w:val="20"/>
                <w:color w:val="auto"/>
              </w:rPr>
            </w:pPr>
            <w:r>
              <w:rPr>
                <w:rFonts w:ascii="Arial" w:cs="Arial" w:eastAsia="Arial" w:hAnsi="Arial"/>
                <w:sz w:val="18"/>
                <w:szCs w:val="18"/>
                <w:color w:val="auto"/>
              </w:rPr>
              <w:t>Treasurer</w:t>
            </w:r>
          </w:p>
        </w:tc>
        <w:tc>
          <w:tcPr>
            <w:tcW w:w="200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16"/>
        </w:trPr>
        <w:tc>
          <w:tcPr>
            <w:tcW w:w="1760" w:type="dxa"/>
            <w:vAlign w:val="bottom"/>
          </w:tcPr>
          <w:p>
            <w:pPr>
              <w:ind w:left="360"/>
              <w:spacing w:after="0"/>
              <w:rPr>
                <w:sz w:val="20"/>
                <w:szCs w:val="20"/>
                <w:color w:val="auto"/>
              </w:rPr>
            </w:pPr>
            <w:r>
              <w:rPr>
                <w:rFonts w:ascii="Arial" w:cs="Arial" w:eastAsia="Arial" w:hAnsi="Arial"/>
                <w:sz w:val="18"/>
                <w:szCs w:val="18"/>
                <w:b w:val="1"/>
                <w:bCs w:val="1"/>
                <w:color w:val="auto"/>
              </w:rPr>
              <w:t>Section 4.8:</w:t>
            </w:r>
          </w:p>
        </w:tc>
        <w:tc>
          <w:tcPr>
            <w:tcW w:w="8100" w:type="dxa"/>
            <w:vAlign w:val="bottom"/>
          </w:tcPr>
          <w:p>
            <w:pPr>
              <w:ind w:left="40"/>
              <w:spacing w:after="0"/>
              <w:rPr>
                <w:sz w:val="20"/>
                <w:szCs w:val="20"/>
                <w:color w:val="auto"/>
              </w:rPr>
            </w:pPr>
            <w:r>
              <w:rPr>
                <w:rFonts w:ascii="Arial" w:cs="Arial" w:eastAsia="Arial" w:hAnsi="Arial"/>
                <w:sz w:val="18"/>
                <w:szCs w:val="18"/>
                <w:color w:val="auto"/>
              </w:rPr>
              <w:t>Vice President</w:t>
            </w: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b w:val="1"/>
                <w:bCs w:val="1"/>
                <w:color w:val="auto"/>
              </w:rPr>
              <w:t>Section 4.9:</w:t>
            </w:r>
          </w:p>
        </w:tc>
        <w:tc>
          <w:tcPr>
            <w:tcW w:w="8100" w:type="dxa"/>
            <w:vAlign w:val="bottom"/>
          </w:tcPr>
          <w:p>
            <w:pPr>
              <w:ind w:left="40"/>
              <w:spacing w:after="0"/>
              <w:rPr>
                <w:sz w:val="20"/>
                <w:szCs w:val="20"/>
                <w:color w:val="auto"/>
              </w:rPr>
            </w:pPr>
            <w:r>
              <w:rPr>
                <w:rFonts w:ascii="Arial" w:cs="Arial" w:eastAsia="Arial" w:hAnsi="Arial"/>
                <w:sz w:val="18"/>
                <w:szCs w:val="18"/>
                <w:color w:val="auto"/>
              </w:rPr>
              <w:t>Secretary</w:t>
            </w: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b w:val="1"/>
                <w:bCs w:val="1"/>
                <w:color w:val="auto"/>
              </w:rPr>
              <w:t>Section 4.10:</w:t>
            </w:r>
          </w:p>
        </w:tc>
        <w:tc>
          <w:tcPr>
            <w:tcW w:w="8100" w:type="dxa"/>
            <w:vAlign w:val="bottom"/>
          </w:tcPr>
          <w:p>
            <w:pPr>
              <w:ind w:left="40"/>
              <w:spacing w:after="0"/>
              <w:rPr>
                <w:sz w:val="20"/>
                <w:szCs w:val="20"/>
                <w:color w:val="auto"/>
              </w:rPr>
            </w:pPr>
            <w:r>
              <w:rPr>
                <w:rFonts w:ascii="Arial" w:cs="Arial" w:eastAsia="Arial" w:hAnsi="Arial"/>
                <w:sz w:val="18"/>
                <w:szCs w:val="18"/>
                <w:color w:val="auto"/>
              </w:rPr>
              <w:t>Delegation of Authority</w:t>
            </w: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4"/>
        </w:trPr>
        <w:tc>
          <w:tcPr>
            <w:tcW w:w="1760" w:type="dxa"/>
            <w:vAlign w:val="bottom"/>
          </w:tcPr>
          <w:p>
            <w:pPr>
              <w:ind w:left="360"/>
              <w:spacing w:after="0"/>
              <w:rPr>
                <w:sz w:val="20"/>
                <w:szCs w:val="20"/>
                <w:color w:val="auto"/>
              </w:rPr>
            </w:pPr>
            <w:r>
              <w:rPr>
                <w:rFonts w:ascii="Arial" w:cs="Arial" w:eastAsia="Arial" w:hAnsi="Arial"/>
                <w:sz w:val="18"/>
                <w:szCs w:val="18"/>
                <w:b w:val="1"/>
                <w:bCs w:val="1"/>
                <w:color w:val="auto"/>
              </w:rPr>
              <w:t>Section 4.11:</w:t>
            </w:r>
          </w:p>
        </w:tc>
        <w:tc>
          <w:tcPr>
            <w:tcW w:w="8100" w:type="dxa"/>
            <w:vAlign w:val="bottom"/>
          </w:tcPr>
          <w:p>
            <w:pPr>
              <w:ind w:left="40"/>
              <w:spacing w:after="0"/>
              <w:rPr>
                <w:sz w:val="20"/>
                <w:szCs w:val="20"/>
                <w:color w:val="auto"/>
              </w:rPr>
            </w:pPr>
            <w:r>
              <w:rPr>
                <w:rFonts w:ascii="Arial" w:cs="Arial" w:eastAsia="Arial" w:hAnsi="Arial"/>
                <w:sz w:val="18"/>
                <w:szCs w:val="18"/>
                <w:color w:val="auto"/>
              </w:rPr>
              <w:t>Removal</w:t>
            </w: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6"/>
        </w:trPr>
        <w:tc>
          <w:tcPr>
            <w:tcW w:w="1760" w:type="dxa"/>
            <w:vAlign w:val="bottom"/>
          </w:tcPr>
          <w:p>
            <w:pPr>
              <w:spacing w:after="0"/>
              <w:rPr>
                <w:sz w:val="20"/>
                <w:szCs w:val="20"/>
                <w:color w:val="auto"/>
              </w:rPr>
            </w:pPr>
            <w:r>
              <w:rPr>
                <w:rFonts w:ascii="Arial" w:cs="Arial" w:eastAsia="Arial" w:hAnsi="Arial"/>
                <w:sz w:val="18"/>
                <w:szCs w:val="18"/>
                <w:b w:val="1"/>
                <w:bCs w:val="1"/>
                <w:color w:val="auto"/>
              </w:rPr>
              <w:t xml:space="preserve">Article V: </w:t>
            </w:r>
            <w:r>
              <w:rPr>
                <w:rFonts w:ascii="Arial" w:cs="Arial" w:eastAsia="Arial" w:hAnsi="Arial"/>
                <w:sz w:val="18"/>
                <w:szCs w:val="18"/>
                <w:color w:val="auto"/>
              </w:rPr>
              <w:t>STOCK</w:t>
            </w:r>
          </w:p>
        </w:tc>
        <w:tc>
          <w:tcPr>
            <w:tcW w:w="8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b w:val="1"/>
                <w:bCs w:val="1"/>
                <w:color w:val="auto"/>
              </w:rPr>
              <w:t>Section 5.1:</w:t>
            </w:r>
          </w:p>
        </w:tc>
        <w:tc>
          <w:tcPr>
            <w:tcW w:w="8100" w:type="dxa"/>
            <w:vAlign w:val="bottom"/>
          </w:tcPr>
          <w:p>
            <w:pPr>
              <w:ind w:left="40"/>
              <w:spacing w:after="0"/>
              <w:rPr>
                <w:sz w:val="20"/>
                <w:szCs w:val="20"/>
                <w:color w:val="auto"/>
              </w:rPr>
            </w:pPr>
            <w:r>
              <w:rPr>
                <w:rFonts w:ascii="Arial" w:cs="Arial" w:eastAsia="Arial" w:hAnsi="Arial"/>
                <w:sz w:val="18"/>
                <w:szCs w:val="18"/>
                <w:color w:val="auto"/>
              </w:rPr>
              <w:t>Certificates; Uncertificated Shares</w:t>
            </w: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b w:val="1"/>
                <w:bCs w:val="1"/>
                <w:color w:val="auto"/>
              </w:rPr>
              <w:t>Section 5.2:</w:t>
            </w:r>
          </w:p>
        </w:tc>
        <w:tc>
          <w:tcPr>
            <w:tcW w:w="8100" w:type="dxa"/>
            <w:vAlign w:val="bottom"/>
          </w:tcPr>
          <w:p>
            <w:pPr>
              <w:ind w:left="40"/>
              <w:spacing w:after="0"/>
              <w:rPr>
                <w:sz w:val="20"/>
                <w:szCs w:val="20"/>
                <w:color w:val="auto"/>
              </w:rPr>
            </w:pPr>
            <w:r>
              <w:rPr>
                <w:rFonts w:ascii="Arial" w:cs="Arial" w:eastAsia="Arial" w:hAnsi="Arial"/>
                <w:sz w:val="18"/>
                <w:szCs w:val="18"/>
                <w:color w:val="auto"/>
              </w:rPr>
              <w:t>Lost, Stolen or Destroyed Stock Certificates; Issuance of New Certificates or Uncertificated Shares</w:t>
            </w: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4"/>
        </w:trPr>
        <w:tc>
          <w:tcPr>
            <w:tcW w:w="1760" w:type="dxa"/>
            <w:vAlign w:val="bottom"/>
          </w:tcPr>
          <w:p>
            <w:pPr>
              <w:ind w:left="360"/>
              <w:spacing w:after="0"/>
              <w:rPr>
                <w:sz w:val="20"/>
                <w:szCs w:val="20"/>
                <w:color w:val="auto"/>
              </w:rPr>
            </w:pPr>
            <w:r>
              <w:rPr>
                <w:rFonts w:ascii="Arial" w:cs="Arial" w:eastAsia="Arial" w:hAnsi="Arial"/>
                <w:sz w:val="18"/>
                <w:szCs w:val="18"/>
                <w:b w:val="1"/>
                <w:bCs w:val="1"/>
                <w:color w:val="auto"/>
              </w:rPr>
              <w:t>Section 5.3:</w:t>
            </w:r>
          </w:p>
        </w:tc>
        <w:tc>
          <w:tcPr>
            <w:tcW w:w="8100" w:type="dxa"/>
            <w:vAlign w:val="bottom"/>
          </w:tcPr>
          <w:p>
            <w:pPr>
              <w:ind w:left="40"/>
              <w:spacing w:after="0"/>
              <w:rPr>
                <w:sz w:val="20"/>
                <w:szCs w:val="20"/>
                <w:color w:val="auto"/>
              </w:rPr>
            </w:pPr>
            <w:r>
              <w:rPr>
                <w:rFonts w:ascii="Arial" w:cs="Arial" w:eastAsia="Arial" w:hAnsi="Arial"/>
                <w:sz w:val="18"/>
                <w:szCs w:val="18"/>
                <w:color w:val="auto"/>
              </w:rPr>
              <w:t>Other Regulations</w:t>
            </w: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6"/>
        </w:trPr>
        <w:tc>
          <w:tcPr>
            <w:tcW w:w="98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VI: </w:t>
            </w:r>
            <w:r>
              <w:rPr>
                <w:rFonts w:ascii="Arial" w:cs="Arial" w:eastAsia="Arial" w:hAnsi="Arial"/>
                <w:sz w:val="18"/>
                <w:szCs w:val="18"/>
                <w:color w:val="auto"/>
              </w:rPr>
              <w:t>INDEMNIFICATION</w:t>
            </w: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b w:val="1"/>
                <w:bCs w:val="1"/>
                <w:color w:val="auto"/>
              </w:rPr>
              <w:t>Section 6.1:</w:t>
            </w:r>
          </w:p>
        </w:tc>
        <w:tc>
          <w:tcPr>
            <w:tcW w:w="8100" w:type="dxa"/>
            <w:vAlign w:val="bottom"/>
          </w:tcPr>
          <w:p>
            <w:pPr>
              <w:ind w:left="40"/>
              <w:spacing w:after="0"/>
              <w:rPr>
                <w:sz w:val="20"/>
                <w:szCs w:val="20"/>
                <w:color w:val="auto"/>
              </w:rPr>
            </w:pPr>
            <w:r>
              <w:rPr>
                <w:rFonts w:ascii="Arial" w:cs="Arial" w:eastAsia="Arial" w:hAnsi="Arial"/>
                <w:sz w:val="18"/>
                <w:szCs w:val="18"/>
                <w:color w:val="auto"/>
              </w:rPr>
              <w:t>Indemnification of Officers and Directors</w:t>
            </w: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b w:val="1"/>
                <w:bCs w:val="1"/>
                <w:color w:val="auto"/>
              </w:rPr>
              <w:t>Section 6.2:</w:t>
            </w:r>
          </w:p>
        </w:tc>
        <w:tc>
          <w:tcPr>
            <w:tcW w:w="8100" w:type="dxa"/>
            <w:vAlign w:val="bottom"/>
          </w:tcPr>
          <w:p>
            <w:pPr>
              <w:ind w:left="40"/>
              <w:spacing w:after="0"/>
              <w:rPr>
                <w:sz w:val="20"/>
                <w:szCs w:val="20"/>
                <w:color w:val="auto"/>
              </w:rPr>
            </w:pPr>
            <w:r>
              <w:rPr>
                <w:rFonts w:ascii="Arial" w:cs="Arial" w:eastAsia="Arial" w:hAnsi="Arial"/>
                <w:sz w:val="18"/>
                <w:szCs w:val="18"/>
                <w:color w:val="auto"/>
              </w:rPr>
              <w:t>Advancement of Expenses</w:t>
            </w: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b w:val="1"/>
                <w:bCs w:val="1"/>
                <w:color w:val="auto"/>
              </w:rPr>
              <w:t>Section 6.3:</w:t>
            </w:r>
          </w:p>
        </w:tc>
        <w:tc>
          <w:tcPr>
            <w:tcW w:w="8100" w:type="dxa"/>
            <w:vAlign w:val="bottom"/>
          </w:tcPr>
          <w:p>
            <w:pPr>
              <w:ind w:left="40"/>
              <w:spacing w:after="0"/>
              <w:rPr>
                <w:sz w:val="20"/>
                <w:szCs w:val="20"/>
                <w:color w:val="auto"/>
              </w:rPr>
            </w:pPr>
            <w:r>
              <w:rPr>
                <w:rFonts w:ascii="Arial" w:cs="Arial" w:eastAsia="Arial" w:hAnsi="Arial"/>
                <w:sz w:val="18"/>
                <w:szCs w:val="18"/>
                <w:color w:val="auto"/>
              </w:rPr>
              <w:t>Non-Exclusivity of Rights</w:t>
            </w: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b w:val="1"/>
                <w:bCs w:val="1"/>
                <w:color w:val="auto"/>
              </w:rPr>
              <w:t>Section 6.4:</w:t>
            </w:r>
          </w:p>
        </w:tc>
        <w:tc>
          <w:tcPr>
            <w:tcW w:w="8100" w:type="dxa"/>
            <w:vAlign w:val="bottom"/>
          </w:tcPr>
          <w:p>
            <w:pPr>
              <w:ind w:left="40"/>
              <w:spacing w:after="0"/>
              <w:rPr>
                <w:sz w:val="20"/>
                <w:szCs w:val="20"/>
                <w:color w:val="auto"/>
              </w:rPr>
            </w:pPr>
            <w:r>
              <w:rPr>
                <w:rFonts w:ascii="Arial" w:cs="Arial" w:eastAsia="Arial" w:hAnsi="Arial"/>
                <w:sz w:val="18"/>
                <w:szCs w:val="18"/>
                <w:color w:val="auto"/>
              </w:rPr>
              <w:t>Indemnification Contracts</w:t>
            </w: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b w:val="1"/>
                <w:bCs w:val="1"/>
                <w:color w:val="auto"/>
              </w:rPr>
              <w:t>Section 6.5:</w:t>
            </w:r>
          </w:p>
        </w:tc>
        <w:tc>
          <w:tcPr>
            <w:tcW w:w="8100" w:type="dxa"/>
            <w:vAlign w:val="bottom"/>
          </w:tcPr>
          <w:p>
            <w:pPr>
              <w:ind w:left="40"/>
              <w:spacing w:after="0"/>
              <w:rPr>
                <w:sz w:val="20"/>
                <w:szCs w:val="20"/>
                <w:color w:val="auto"/>
              </w:rPr>
            </w:pPr>
            <w:r>
              <w:rPr>
                <w:rFonts w:ascii="Arial" w:cs="Arial" w:eastAsia="Arial" w:hAnsi="Arial"/>
                <w:sz w:val="18"/>
                <w:szCs w:val="18"/>
                <w:color w:val="auto"/>
              </w:rPr>
              <w:t>Right of Indemnitee to Bring Suit</w:t>
            </w: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b w:val="1"/>
                <w:bCs w:val="1"/>
                <w:color w:val="auto"/>
              </w:rPr>
              <w:t>Section 6.6:</w:t>
            </w:r>
          </w:p>
        </w:tc>
        <w:tc>
          <w:tcPr>
            <w:tcW w:w="8100" w:type="dxa"/>
            <w:vAlign w:val="bottom"/>
          </w:tcPr>
          <w:p>
            <w:pPr>
              <w:ind w:left="40"/>
              <w:spacing w:after="0"/>
              <w:rPr>
                <w:sz w:val="20"/>
                <w:szCs w:val="20"/>
                <w:color w:val="auto"/>
              </w:rPr>
            </w:pPr>
            <w:r>
              <w:rPr>
                <w:rFonts w:ascii="Arial" w:cs="Arial" w:eastAsia="Arial" w:hAnsi="Arial"/>
                <w:sz w:val="18"/>
                <w:szCs w:val="18"/>
                <w:color w:val="auto"/>
              </w:rPr>
              <w:t>Nature of Rights</w:t>
            </w: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b w:val="1"/>
                <w:bCs w:val="1"/>
                <w:color w:val="auto"/>
              </w:rPr>
              <w:t>Section 6.7:</w:t>
            </w:r>
          </w:p>
        </w:tc>
        <w:tc>
          <w:tcPr>
            <w:tcW w:w="8100" w:type="dxa"/>
            <w:vAlign w:val="bottom"/>
          </w:tcPr>
          <w:p>
            <w:pPr>
              <w:ind w:left="40"/>
              <w:spacing w:after="0"/>
              <w:rPr>
                <w:sz w:val="20"/>
                <w:szCs w:val="20"/>
                <w:color w:val="auto"/>
              </w:rPr>
            </w:pPr>
            <w:r>
              <w:rPr>
                <w:rFonts w:ascii="Arial" w:cs="Arial" w:eastAsia="Arial" w:hAnsi="Arial"/>
                <w:sz w:val="18"/>
                <w:szCs w:val="18"/>
                <w:color w:val="auto"/>
              </w:rPr>
              <w:t>Amendment or Repeal</w:t>
            </w: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4"/>
        </w:trPr>
        <w:tc>
          <w:tcPr>
            <w:tcW w:w="1760" w:type="dxa"/>
            <w:vAlign w:val="bottom"/>
          </w:tcPr>
          <w:p>
            <w:pPr>
              <w:ind w:left="360"/>
              <w:spacing w:after="0"/>
              <w:rPr>
                <w:sz w:val="20"/>
                <w:szCs w:val="20"/>
                <w:color w:val="auto"/>
              </w:rPr>
            </w:pPr>
            <w:r>
              <w:rPr>
                <w:rFonts w:ascii="Arial" w:cs="Arial" w:eastAsia="Arial" w:hAnsi="Arial"/>
                <w:sz w:val="18"/>
                <w:szCs w:val="18"/>
                <w:b w:val="1"/>
                <w:bCs w:val="1"/>
                <w:color w:val="auto"/>
              </w:rPr>
              <w:t>Section 6.8:</w:t>
            </w:r>
          </w:p>
        </w:tc>
        <w:tc>
          <w:tcPr>
            <w:tcW w:w="8100" w:type="dxa"/>
            <w:vAlign w:val="bottom"/>
          </w:tcPr>
          <w:p>
            <w:pPr>
              <w:ind w:left="40"/>
              <w:spacing w:after="0"/>
              <w:rPr>
                <w:sz w:val="20"/>
                <w:szCs w:val="20"/>
                <w:color w:val="auto"/>
              </w:rPr>
            </w:pPr>
            <w:r>
              <w:rPr>
                <w:rFonts w:ascii="Arial" w:cs="Arial" w:eastAsia="Arial" w:hAnsi="Arial"/>
                <w:sz w:val="18"/>
                <w:szCs w:val="18"/>
                <w:color w:val="auto"/>
              </w:rPr>
              <w:t>Insurance</w:t>
            </w: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6"/>
        </w:trPr>
        <w:tc>
          <w:tcPr>
            <w:tcW w:w="1760" w:type="dxa"/>
            <w:vAlign w:val="bottom"/>
          </w:tcPr>
          <w:p>
            <w:pPr>
              <w:spacing w:after="0"/>
              <w:rPr>
                <w:sz w:val="20"/>
                <w:szCs w:val="20"/>
                <w:color w:val="auto"/>
              </w:rPr>
            </w:pPr>
            <w:r>
              <w:rPr>
                <w:rFonts w:ascii="Arial" w:cs="Arial" w:eastAsia="Arial" w:hAnsi="Arial"/>
                <w:sz w:val="18"/>
                <w:szCs w:val="18"/>
                <w:b w:val="1"/>
                <w:bCs w:val="1"/>
                <w:color w:val="auto"/>
                <w:w w:val="99"/>
              </w:rPr>
              <w:t xml:space="preserve">Article VII: </w:t>
            </w:r>
            <w:r>
              <w:rPr>
                <w:rFonts w:ascii="Arial" w:cs="Arial" w:eastAsia="Arial" w:hAnsi="Arial"/>
                <w:sz w:val="18"/>
                <w:szCs w:val="18"/>
                <w:color w:val="auto"/>
                <w:w w:val="99"/>
              </w:rPr>
              <w:t>NOTICES</w:t>
            </w:r>
          </w:p>
        </w:tc>
        <w:tc>
          <w:tcPr>
            <w:tcW w:w="8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b w:val="1"/>
                <w:bCs w:val="1"/>
                <w:color w:val="auto"/>
              </w:rPr>
              <w:t>Section 7.1:</w:t>
            </w:r>
          </w:p>
        </w:tc>
        <w:tc>
          <w:tcPr>
            <w:tcW w:w="8100" w:type="dxa"/>
            <w:vAlign w:val="bottom"/>
          </w:tcPr>
          <w:p>
            <w:pPr>
              <w:ind w:left="40"/>
              <w:spacing w:after="0"/>
              <w:rPr>
                <w:sz w:val="20"/>
                <w:szCs w:val="20"/>
                <w:color w:val="auto"/>
              </w:rPr>
            </w:pPr>
            <w:r>
              <w:rPr>
                <w:rFonts w:ascii="Arial" w:cs="Arial" w:eastAsia="Arial" w:hAnsi="Arial"/>
                <w:sz w:val="18"/>
                <w:szCs w:val="18"/>
                <w:color w:val="auto"/>
              </w:rPr>
              <w:t>Notice</w:t>
            </w: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4"/>
        </w:trPr>
        <w:tc>
          <w:tcPr>
            <w:tcW w:w="1760" w:type="dxa"/>
            <w:vAlign w:val="bottom"/>
          </w:tcPr>
          <w:p>
            <w:pPr>
              <w:ind w:left="360"/>
              <w:spacing w:after="0"/>
              <w:rPr>
                <w:sz w:val="20"/>
                <w:szCs w:val="20"/>
                <w:color w:val="auto"/>
              </w:rPr>
            </w:pPr>
            <w:r>
              <w:rPr>
                <w:rFonts w:ascii="Arial" w:cs="Arial" w:eastAsia="Arial" w:hAnsi="Arial"/>
                <w:sz w:val="18"/>
                <w:szCs w:val="18"/>
                <w:b w:val="1"/>
                <w:bCs w:val="1"/>
                <w:color w:val="auto"/>
              </w:rPr>
              <w:t>Section 7.2:</w:t>
            </w:r>
          </w:p>
        </w:tc>
        <w:tc>
          <w:tcPr>
            <w:tcW w:w="8100" w:type="dxa"/>
            <w:vAlign w:val="bottom"/>
          </w:tcPr>
          <w:p>
            <w:pPr>
              <w:ind w:left="40"/>
              <w:spacing w:after="0"/>
              <w:rPr>
                <w:sz w:val="20"/>
                <w:szCs w:val="20"/>
                <w:color w:val="auto"/>
              </w:rPr>
            </w:pPr>
            <w:r>
              <w:rPr>
                <w:rFonts w:ascii="Arial" w:cs="Arial" w:eastAsia="Arial" w:hAnsi="Arial"/>
                <w:sz w:val="18"/>
                <w:szCs w:val="18"/>
                <w:color w:val="auto"/>
              </w:rPr>
              <w:t>Waiver of Notice</w:t>
            </w: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6"/>
        </w:trPr>
        <w:tc>
          <w:tcPr>
            <w:tcW w:w="98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VIII: </w:t>
            </w:r>
            <w:r>
              <w:rPr>
                <w:rFonts w:ascii="Arial" w:cs="Arial" w:eastAsia="Arial" w:hAnsi="Arial"/>
                <w:sz w:val="18"/>
                <w:szCs w:val="18"/>
                <w:color w:val="auto"/>
              </w:rPr>
              <w:t>INTERESTED DIRECTORS</w:t>
            </w: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b w:val="1"/>
                <w:bCs w:val="1"/>
                <w:color w:val="auto"/>
              </w:rPr>
              <w:t>Section 8.1:</w:t>
            </w:r>
          </w:p>
        </w:tc>
        <w:tc>
          <w:tcPr>
            <w:tcW w:w="8100" w:type="dxa"/>
            <w:vAlign w:val="bottom"/>
          </w:tcPr>
          <w:p>
            <w:pPr>
              <w:ind w:left="40"/>
              <w:spacing w:after="0"/>
              <w:rPr>
                <w:sz w:val="20"/>
                <w:szCs w:val="20"/>
                <w:color w:val="auto"/>
              </w:rPr>
            </w:pPr>
            <w:r>
              <w:rPr>
                <w:rFonts w:ascii="Arial" w:cs="Arial" w:eastAsia="Arial" w:hAnsi="Arial"/>
                <w:sz w:val="18"/>
                <w:szCs w:val="18"/>
                <w:color w:val="auto"/>
              </w:rPr>
              <w:t>Interested Directors</w:t>
            </w: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4"/>
        </w:trPr>
        <w:tc>
          <w:tcPr>
            <w:tcW w:w="1760" w:type="dxa"/>
            <w:vAlign w:val="bottom"/>
          </w:tcPr>
          <w:p>
            <w:pPr>
              <w:ind w:left="360"/>
              <w:spacing w:after="0"/>
              <w:rPr>
                <w:sz w:val="20"/>
                <w:szCs w:val="20"/>
                <w:color w:val="auto"/>
              </w:rPr>
            </w:pPr>
            <w:r>
              <w:rPr>
                <w:rFonts w:ascii="Arial" w:cs="Arial" w:eastAsia="Arial" w:hAnsi="Arial"/>
                <w:sz w:val="18"/>
                <w:szCs w:val="18"/>
                <w:b w:val="1"/>
                <w:bCs w:val="1"/>
                <w:color w:val="auto"/>
              </w:rPr>
              <w:t>Section 8.2:</w:t>
            </w:r>
          </w:p>
        </w:tc>
        <w:tc>
          <w:tcPr>
            <w:tcW w:w="8100" w:type="dxa"/>
            <w:vAlign w:val="bottom"/>
          </w:tcPr>
          <w:p>
            <w:pPr>
              <w:ind w:left="40"/>
              <w:spacing w:after="0"/>
              <w:rPr>
                <w:sz w:val="20"/>
                <w:szCs w:val="20"/>
                <w:color w:val="auto"/>
              </w:rPr>
            </w:pPr>
            <w:r>
              <w:rPr>
                <w:rFonts w:ascii="Arial" w:cs="Arial" w:eastAsia="Arial" w:hAnsi="Arial"/>
                <w:sz w:val="18"/>
                <w:szCs w:val="18"/>
                <w:color w:val="auto"/>
              </w:rPr>
              <w:t>Quorum</w:t>
            </w: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6"/>
        </w:trPr>
        <w:tc>
          <w:tcPr>
            <w:tcW w:w="98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IX: </w:t>
            </w:r>
            <w:r>
              <w:rPr>
                <w:rFonts w:ascii="Arial" w:cs="Arial" w:eastAsia="Arial" w:hAnsi="Arial"/>
                <w:sz w:val="18"/>
                <w:szCs w:val="18"/>
                <w:color w:val="auto"/>
              </w:rPr>
              <w:t>MISCELLANEOUS</w:t>
            </w: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b w:val="1"/>
                <w:bCs w:val="1"/>
                <w:color w:val="auto"/>
              </w:rPr>
              <w:t>Section 9.1:</w:t>
            </w:r>
          </w:p>
        </w:tc>
        <w:tc>
          <w:tcPr>
            <w:tcW w:w="8100" w:type="dxa"/>
            <w:vAlign w:val="bottom"/>
          </w:tcPr>
          <w:p>
            <w:pPr>
              <w:ind w:left="40"/>
              <w:spacing w:after="0"/>
              <w:rPr>
                <w:sz w:val="20"/>
                <w:szCs w:val="20"/>
                <w:color w:val="auto"/>
              </w:rPr>
            </w:pPr>
            <w:r>
              <w:rPr>
                <w:rFonts w:ascii="Arial" w:cs="Arial" w:eastAsia="Arial" w:hAnsi="Arial"/>
                <w:sz w:val="18"/>
                <w:szCs w:val="18"/>
                <w:color w:val="auto"/>
              </w:rPr>
              <w:t>Fiscal Year</w:t>
            </w: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b w:val="1"/>
                <w:bCs w:val="1"/>
                <w:color w:val="auto"/>
              </w:rPr>
              <w:t>Section 9.2:</w:t>
            </w:r>
          </w:p>
        </w:tc>
        <w:tc>
          <w:tcPr>
            <w:tcW w:w="8100" w:type="dxa"/>
            <w:vAlign w:val="bottom"/>
          </w:tcPr>
          <w:p>
            <w:pPr>
              <w:ind w:left="40"/>
              <w:spacing w:after="0"/>
              <w:rPr>
                <w:sz w:val="20"/>
                <w:szCs w:val="20"/>
                <w:color w:val="auto"/>
              </w:rPr>
            </w:pPr>
            <w:r>
              <w:rPr>
                <w:rFonts w:ascii="Arial" w:cs="Arial" w:eastAsia="Arial" w:hAnsi="Arial"/>
                <w:sz w:val="18"/>
                <w:szCs w:val="18"/>
                <w:color w:val="auto"/>
              </w:rPr>
              <w:t>Seal</w:t>
            </w: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b w:val="1"/>
                <w:bCs w:val="1"/>
                <w:color w:val="auto"/>
              </w:rPr>
              <w:t>Section 9.3:</w:t>
            </w:r>
          </w:p>
        </w:tc>
        <w:tc>
          <w:tcPr>
            <w:tcW w:w="8100" w:type="dxa"/>
            <w:vAlign w:val="bottom"/>
          </w:tcPr>
          <w:p>
            <w:pPr>
              <w:ind w:left="40"/>
              <w:spacing w:after="0"/>
              <w:rPr>
                <w:sz w:val="20"/>
                <w:szCs w:val="20"/>
                <w:color w:val="auto"/>
              </w:rPr>
            </w:pPr>
            <w:r>
              <w:rPr>
                <w:rFonts w:ascii="Arial" w:cs="Arial" w:eastAsia="Arial" w:hAnsi="Arial"/>
                <w:sz w:val="18"/>
                <w:szCs w:val="18"/>
                <w:color w:val="auto"/>
              </w:rPr>
              <w:t>Form of Records</w:t>
            </w: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b w:val="1"/>
                <w:bCs w:val="1"/>
                <w:color w:val="auto"/>
              </w:rPr>
              <w:t>Section 9.4:</w:t>
            </w:r>
          </w:p>
        </w:tc>
        <w:tc>
          <w:tcPr>
            <w:tcW w:w="8100" w:type="dxa"/>
            <w:vAlign w:val="bottom"/>
          </w:tcPr>
          <w:p>
            <w:pPr>
              <w:ind w:left="40"/>
              <w:spacing w:after="0"/>
              <w:rPr>
                <w:sz w:val="20"/>
                <w:szCs w:val="20"/>
                <w:color w:val="auto"/>
              </w:rPr>
            </w:pPr>
            <w:r>
              <w:rPr>
                <w:rFonts w:ascii="Arial" w:cs="Arial" w:eastAsia="Arial" w:hAnsi="Arial"/>
                <w:sz w:val="18"/>
                <w:szCs w:val="18"/>
                <w:color w:val="auto"/>
              </w:rPr>
              <w:t>Reliance Upon Books and Records</w:t>
            </w: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b w:val="1"/>
                <w:bCs w:val="1"/>
                <w:color w:val="auto"/>
              </w:rPr>
              <w:t>Section 9.5:</w:t>
            </w:r>
          </w:p>
        </w:tc>
        <w:tc>
          <w:tcPr>
            <w:tcW w:w="8100" w:type="dxa"/>
            <w:vAlign w:val="bottom"/>
          </w:tcPr>
          <w:p>
            <w:pPr>
              <w:ind w:left="40"/>
              <w:spacing w:after="0"/>
              <w:rPr>
                <w:sz w:val="20"/>
                <w:szCs w:val="20"/>
                <w:color w:val="auto"/>
              </w:rPr>
            </w:pPr>
            <w:r>
              <w:rPr>
                <w:rFonts w:ascii="Arial" w:cs="Arial" w:eastAsia="Arial" w:hAnsi="Arial"/>
                <w:sz w:val="18"/>
                <w:szCs w:val="18"/>
                <w:color w:val="auto"/>
              </w:rPr>
              <w:t>Certificate of Incorporation Governs</w:t>
            </w: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b w:val="1"/>
                <w:bCs w:val="1"/>
                <w:color w:val="auto"/>
              </w:rPr>
              <w:t>Section 9.6:</w:t>
            </w:r>
          </w:p>
        </w:tc>
        <w:tc>
          <w:tcPr>
            <w:tcW w:w="8100" w:type="dxa"/>
            <w:vAlign w:val="bottom"/>
          </w:tcPr>
          <w:p>
            <w:pPr>
              <w:ind w:left="40"/>
              <w:spacing w:after="0"/>
              <w:rPr>
                <w:sz w:val="20"/>
                <w:szCs w:val="20"/>
                <w:color w:val="auto"/>
              </w:rPr>
            </w:pPr>
            <w:r>
              <w:rPr>
                <w:rFonts w:ascii="Arial" w:cs="Arial" w:eastAsia="Arial" w:hAnsi="Arial"/>
                <w:sz w:val="18"/>
                <w:szCs w:val="18"/>
                <w:color w:val="auto"/>
              </w:rPr>
              <w:t>Severability</w:t>
            </w: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4"/>
        </w:trPr>
        <w:tc>
          <w:tcPr>
            <w:tcW w:w="1760" w:type="dxa"/>
            <w:vAlign w:val="bottom"/>
          </w:tcPr>
          <w:p>
            <w:pPr>
              <w:ind w:left="360"/>
              <w:spacing w:after="0"/>
              <w:rPr>
                <w:sz w:val="20"/>
                <w:szCs w:val="20"/>
                <w:color w:val="auto"/>
              </w:rPr>
            </w:pPr>
            <w:r>
              <w:rPr>
                <w:rFonts w:ascii="Arial" w:cs="Arial" w:eastAsia="Arial" w:hAnsi="Arial"/>
                <w:sz w:val="18"/>
                <w:szCs w:val="18"/>
                <w:b w:val="1"/>
                <w:bCs w:val="1"/>
                <w:color w:val="auto"/>
              </w:rPr>
              <w:t>Section 9.7:</w:t>
            </w:r>
          </w:p>
        </w:tc>
        <w:tc>
          <w:tcPr>
            <w:tcW w:w="8100" w:type="dxa"/>
            <w:vAlign w:val="bottom"/>
          </w:tcPr>
          <w:p>
            <w:pPr>
              <w:ind w:left="40"/>
              <w:spacing w:after="0"/>
              <w:rPr>
                <w:sz w:val="20"/>
                <w:szCs w:val="20"/>
                <w:color w:val="auto"/>
              </w:rPr>
            </w:pPr>
            <w:r>
              <w:rPr>
                <w:rFonts w:ascii="Arial" w:cs="Arial" w:eastAsia="Arial" w:hAnsi="Arial"/>
                <w:sz w:val="18"/>
                <w:szCs w:val="18"/>
                <w:color w:val="auto"/>
              </w:rPr>
              <w:t>Time Periods</w:t>
            </w: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r>
              <w:rPr>
                <w:rFonts w:ascii="Arial" w:cs="Arial" w:eastAsia="Arial" w:hAnsi="Arial"/>
                <w:sz w:val="18"/>
                <w:szCs w:val="18"/>
                <w:b w:val="1"/>
                <w:bCs w:val="1"/>
                <w:color w:val="auto"/>
              </w:rPr>
              <w:t xml:space="preserve">Article X: </w:t>
            </w:r>
            <w:r>
              <w:rPr>
                <w:rFonts w:ascii="Arial" w:cs="Arial" w:eastAsia="Arial" w:hAnsi="Arial"/>
                <w:sz w:val="18"/>
                <w:szCs w:val="18"/>
                <w:color w:val="auto"/>
              </w:rPr>
              <w:t>AMENDMENT</w:t>
            </w:r>
          </w:p>
        </w:tc>
        <w:tc>
          <w:tcPr>
            <w:tcW w:w="69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4000" w:type="dxa"/>
            <w:vAlign w:val="bottom"/>
          </w:tcPr>
          <w:p>
            <w:pPr>
              <w:spacing w:after="0"/>
              <w:rPr>
                <w:sz w:val="20"/>
                <w:szCs w:val="20"/>
                <w:color w:val="auto"/>
              </w:rPr>
            </w:pPr>
            <w:r>
              <w:rPr>
                <w:rFonts w:ascii="Arial" w:cs="Arial" w:eastAsia="Arial" w:hAnsi="Arial"/>
                <w:sz w:val="18"/>
                <w:szCs w:val="18"/>
                <w:b w:val="1"/>
                <w:bCs w:val="1"/>
                <w:color w:val="auto"/>
              </w:rPr>
              <w:t xml:space="preserve">Article XI: </w:t>
            </w:r>
            <w:r>
              <w:rPr>
                <w:rFonts w:ascii="Arial" w:cs="Arial" w:eastAsia="Arial" w:hAnsi="Arial"/>
                <w:sz w:val="18"/>
                <w:szCs w:val="18"/>
                <w:color w:val="auto"/>
              </w:rPr>
              <w:t>EXCLUSIVE FORUM</w:t>
            </w:r>
          </w:p>
        </w:tc>
        <w:tc>
          <w:tcPr>
            <w:tcW w:w="69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65"/>
        </w:trPr>
        <w:tc>
          <w:tcPr>
            <w:tcW w:w="4000" w:type="dxa"/>
            <w:vAlign w:val="bottom"/>
          </w:tcPr>
          <w:p>
            <w:pPr>
              <w:spacing w:after="0"/>
              <w:rPr>
                <w:sz w:val="24"/>
                <w:szCs w:val="24"/>
                <w:color w:val="auto"/>
              </w:rPr>
            </w:pPr>
          </w:p>
        </w:tc>
        <w:tc>
          <w:tcPr>
            <w:tcW w:w="6960" w:type="dxa"/>
            <w:vAlign w:val="bottom"/>
          </w:tcPr>
          <w:p>
            <w:pPr>
              <w:jc w:val="right"/>
              <w:ind w:right="5310"/>
              <w:spacing w:after="0"/>
              <w:rPr>
                <w:sz w:val="20"/>
                <w:szCs w:val="20"/>
                <w:color w:val="auto"/>
              </w:rPr>
            </w:pPr>
            <w:r>
              <w:rPr>
                <w:rFonts w:ascii="Arial" w:cs="Arial" w:eastAsia="Arial" w:hAnsi="Arial"/>
                <w:sz w:val="18"/>
                <w:szCs w:val="18"/>
                <w:color w:val="auto"/>
              </w:rPr>
              <w:t>ii</w:t>
            </w:r>
          </w:p>
        </w:tc>
      </w:tr>
    </w:tbl>
    <w:p>
      <w:pPr>
        <w:sectPr>
          <w:pgSz w:w="11900" w:h="16838" w:orient="portrait"/>
          <w:cols w:equalWidth="0" w:num="1">
            <w:col w:w="10960"/>
          </w:cols>
          <w:pgMar w:left="440" w:top="270" w:right="499" w:bottom="1440" w:gutter="0" w:footer="0" w:header="0"/>
        </w:sectPr>
      </w:pPr>
    </w:p>
    <w:bookmarkStart w:id="124" w:name="page125"/>
    <w:bookmarkEnd w:id="12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DAY ONE BIOPHARMACEUTICALS, INC.</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Delaware corporation)</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RESTATED BYLAWS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Adopted May 26, 2021 and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Effective June 1, 2021</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 STOCKHOLDERS</w:t>
      </w:r>
    </w:p>
    <w:p>
      <w:pPr>
        <w:spacing w:after="0" w:line="225" w:lineRule="exact"/>
        <w:rPr>
          <w:sz w:val="20"/>
          <w:szCs w:val="20"/>
          <w:color w:val="auto"/>
        </w:rPr>
      </w:pPr>
    </w:p>
    <w:p>
      <w:pPr>
        <w:ind w:right="180" w:firstLine="440"/>
        <w:spacing w:after="0" w:line="303" w:lineRule="auto"/>
        <w:rPr>
          <w:sz w:val="20"/>
          <w:szCs w:val="20"/>
          <w:color w:val="auto"/>
        </w:rPr>
      </w:pPr>
      <w:r>
        <w:rPr>
          <w:rFonts w:ascii="Arial" w:cs="Arial" w:eastAsia="Arial" w:hAnsi="Arial"/>
          <w:sz w:val="16"/>
          <w:szCs w:val="16"/>
          <w:b w:val="1"/>
          <w:bCs w:val="1"/>
          <w:color w:val="auto"/>
        </w:rPr>
        <w:t xml:space="preserve">Section 1.1: </w:t>
      </w:r>
      <w:r>
        <w:rPr>
          <w:rFonts w:ascii="Arial" w:cs="Arial" w:eastAsia="Arial" w:hAnsi="Arial"/>
          <w:sz w:val="16"/>
          <w:szCs w:val="16"/>
          <w:b w:val="1"/>
          <w:bCs w:val="1"/>
          <w:u w:val="single" w:color="auto"/>
          <w:color w:val="auto"/>
        </w:rPr>
        <w:t>Annual Meetings</w:t>
      </w:r>
      <w:r>
        <w:rPr>
          <w:rFonts w:ascii="Arial" w:cs="Arial" w:eastAsia="Arial" w:hAnsi="Arial"/>
          <w:sz w:val="16"/>
          <w:szCs w:val="16"/>
          <w:b w:val="1"/>
          <w:bCs w:val="1"/>
          <w:color w:val="auto"/>
        </w:rPr>
        <w:t xml:space="preserve">. </w:t>
      </w:r>
      <w:r>
        <w:rPr>
          <w:rFonts w:ascii="Arial" w:cs="Arial" w:eastAsia="Arial" w:hAnsi="Arial"/>
          <w:sz w:val="16"/>
          <w:szCs w:val="16"/>
          <w:color w:val="auto"/>
        </w:rPr>
        <w:t>If required by applicable law, an annual meeting of stockholders shall be held for the election of directors at</w:t>
      </w:r>
      <w:r>
        <w:rPr>
          <w:rFonts w:ascii="Arial" w:cs="Arial" w:eastAsia="Arial" w:hAnsi="Arial"/>
          <w:sz w:val="16"/>
          <w:szCs w:val="16"/>
          <w:b w:val="1"/>
          <w:bCs w:val="1"/>
          <w:color w:val="auto"/>
        </w:rPr>
        <w:t xml:space="preserve"> </w:t>
      </w:r>
      <w:r>
        <w:rPr>
          <w:rFonts w:ascii="Arial" w:cs="Arial" w:eastAsia="Arial" w:hAnsi="Arial"/>
          <w:sz w:val="16"/>
          <w:szCs w:val="16"/>
          <w:color w:val="auto"/>
        </w:rPr>
        <w:t>such date and time as the Board of Directors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of Day One Biopharmaceuticals, Inc. (the “</w:t>
      </w:r>
      <w:r>
        <w:rPr>
          <w:rFonts w:ascii="Arial" w:cs="Arial" w:eastAsia="Arial" w:hAnsi="Arial"/>
          <w:sz w:val="16"/>
          <w:szCs w:val="16"/>
          <w:b w:val="1"/>
          <w:bCs w:val="1"/>
          <w:i w:val="1"/>
          <w:iCs w:val="1"/>
          <w:color w:val="auto"/>
        </w:rPr>
        <w:t>Corporation</w:t>
      </w:r>
      <w:r>
        <w:rPr>
          <w:rFonts w:ascii="Arial" w:cs="Arial" w:eastAsia="Arial" w:hAnsi="Arial"/>
          <w:sz w:val="16"/>
          <w:szCs w:val="16"/>
          <w:color w:val="auto"/>
        </w:rPr>
        <w:t>”) shall each year fix. The meeting may be held either at a place, within or without the State of Delaware as permitted by the Delaware General Corporation Law (the “</w:t>
      </w:r>
      <w:r>
        <w:rPr>
          <w:rFonts w:ascii="Arial" w:cs="Arial" w:eastAsia="Arial" w:hAnsi="Arial"/>
          <w:sz w:val="16"/>
          <w:szCs w:val="16"/>
          <w:b w:val="1"/>
          <w:bCs w:val="1"/>
          <w:i w:val="1"/>
          <w:iCs w:val="1"/>
          <w:color w:val="auto"/>
        </w:rPr>
        <w:t>DGCL</w:t>
      </w:r>
      <w:r>
        <w:rPr>
          <w:rFonts w:ascii="Arial" w:cs="Arial" w:eastAsia="Arial" w:hAnsi="Arial"/>
          <w:sz w:val="16"/>
          <w:szCs w:val="16"/>
          <w:color w:val="auto"/>
        </w:rPr>
        <w:t>”), or by means of remote communication as the Board in its sole discretion may determine. Any proper business may be transacted at the annual meeting.</w:t>
      </w:r>
    </w:p>
    <w:p>
      <w:pPr>
        <w:spacing w:after="0" w:line="151" w:lineRule="exact"/>
        <w:rPr>
          <w:sz w:val="20"/>
          <w:szCs w:val="20"/>
          <w:color w:val="auto"/>
        </w:rPr>
      </w:pPr>
    </w:p>
    <w:p>
      <w:pPr>
        <w:ind w:right="180" w:firstLine="440"/>
        <w:spacing w:after="0" w:line="258" w:lineRule="auto"/>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b w:val="1"/>
          <w:bCs w:val="1"/>
          <w:u w:val="single" w:color="auto"/>
          <w:color w:val="auto"/>
        </w:rPr>
        <w:t>Special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Special meetings of stockholders for any purpose or purposes shall be called in the manner set forth in the</w:t>
      </w:r>
      <w:r>
        <w:rPr>
          <w:rFonts w:ascii="Arial" w:cs="Arial" w:eastAsia="Arial" w:hAnsi="Arial"/>
          <w:sz w:val="18"/>
          <w:szCs w:val="18"/>
          <w:b w:val="1"/>
          <w:bCs w:val="1"/>
          <w:color w:val="auto"/>
        </w:rPr>
        <w:t xml:space="preserve"> </w:t>
      </w:r>
      <w:r>
        <w:rPr>
          <w:rFonts w:ascii="Arial" w:cs="Arial" w:eastAsia="Arial" w:hAnsi="Arial"/>
          <w:sz w:val="18"/>
          <w:szCs w:val="18"/>
          <w:color w:val="auto"/>
        </w:rPr>
        <w:t>Restated Certificate of Incorporation of the Corporation (as the same may be amended and/or restated from time to time, the “</w:t>
      </w:r>
      <w:r>
        <w:rPr>
          <w:rFonts w:ascii="Arial" w:cs="Arial" w:eastAsia="Arial" w:hAnsi="Arial"/>
          <w:sz w:val="18"/>
          <w:szCs w:val="18"/>
          <w:b w:val="1"/>
          <w:bCs w:val="1"/>
          <w:i w:val="1"/>
          <w:iCs w:val="1"/>
          <w:color w:val="auto"/>
        </w:rPr>
        <w:t>Certificate of</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Incorporation</w:t>
      </w:r>
      <w:r>
        <w:rPr>
          <w:rFonts w:ascii="Arial" w:cs="Arial" w:eastAsia="Arial" w:hAnsi="Arial"/>
          <w:sz w:val="18"/>
          <w:szCs w:val="18"/>
          <w:color w:val="auto"/>
        </w:rPr>
        <w:t>”). The special meeting may be held either at a place, within or without the State of Delaware, or by means of remote communication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in its sole discretion may determine. Business transacted at any special meeting of stockholders shall be limited to matters relating to the purpose or purposes stated in the notice of the meeting.</w:t>
      </w:r>
    </w:p>
    <w:p>
      <w:pPr>
        <w:spacing w:after="0" w:line="183"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b w:val="1"/>
          <w:bCs w:val="1"/>
          <w:color w:val="auto"/>
        </w:rPr>
        <w:t xml:space="preserve">Section 1.3: </w:t>
      </w:r>
      <w:r>
        <w:rPr>
          <w:rFonts w:ascii="Arial" w:cs="Arial" w:eastAsia="Arial" w:hAnsi="Arial"/>
          <w:sz w:val="17"/>
          <w:szCs w:val="17"/>
          <w:b w:val="1"/>
          <w:bCs w:val="1"/>
          <w:u w:val="single" w:color="auto"/>
          <w:color w:val="auto"/>
        </w:rPr>
        <w:t>Notice of Meetings</w:t>
      </w:r>
      <w:r>
        <w:rPr>
          <w:rFonts w:ascii="Arial" w:cs="Arial" w:eastAsia="Arial" w:hAnsi="Arial"/>
          <w:sz w:val="17"/>
          <w:szCs w:val="17"/>
          <w:b w:val="1"/>
          <w:bCs w:val="1"/>
          <w:color w:val="auto"/>
        </w:rPr>
        <w:t xml:space="preserve">. </w:t>
      </w:r>
      <w:r>
        <w:rPr>
          <w:rFonts w:ascii="Arial" w:cs="Arial" w:eastAsia="Arial" w:hAnsi="Arial"/>
          <w:sz w:val="17"/>
          <w:szCs w:val="17"/>
          <w:color w:val="auto"/>
        </w:rPr>
        <w:t>Notice of all meetings of stockholders shall be given in writing or by electronic transmission in the manner</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by applicable law (including, without limitation, as set forth in Section 7.1.1 of these Bylaws) stating the date, time and place, (if any) of the meeting, the means of remote communication (if any) by which stockholders and proxy holders may be deemed to be present in person and vote at such meeting, and the record date for determining the stockholders entitled to vote at the meeting (if such date is different from the record date for stockholders entitled to notice of the meeting). In the case of a special meeting, such notice shall also set forth the purpose or purposes for which the meeting is called. Unless otherwise required by applicable law or the Certificate of Incorporation, notice of any meeting of stockholders shall be given not less than ten (10), nor more than sixty (60), days before the date of the meeting to each stockholder of record entitled to vote at such meeting as of the record date for determining the stockholders entitled to notice of the meeting.</w:t>
      </w:r>
    </w:p>
    <w:p>
      <w:pPr>
        <w:spacing w:after="0" w:line="172"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 xml:space="preserve">Section 1.4: </w:t>
      </w:r>
      <w:r>
        <w:rPr>
          <w:rFonts w:ascii="Arial" w:cs="Arial" w:eastAsia="Arial" w:hAnsi="Arial"/>
          <w:sz w:val="18"/>
          <w:szCs w:val="18"/>
          <w:b w:val="1"/>
          <w:bCs w:val="1"/>
          <w:u w:val="single" w:color="auto"/>
          <w:color w:val="auto"/>
        </w:rPr>
        <w:t>Adjournments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Section 1.5 of these Bylaws, the chairperson of the meeting shall have the power to adjourn the</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to another time, date and place (if any), regardless of whether a quorum is present, at any time and for any reason. Any meeting of stockholders, annual or special, may be adjourned from time to time, and notice need not be given of any such adjourned meeting if the time, date and place (if any) thereof and the means of remote communication (if any) by which stockholders and proxy holders may be deemed to be present in person and vote at such adjourned meeting are announced at the meeting at which</w:t>
      </w:r>
    </w:p>
    <w:p>
      <w:pPr>
        <w:sectPr>
          <w:pgSz w:w="11900" w:h="16838" w:orient="portrait"/>
          <w:cols w:equalWidth="0" w:num="1">
            <w:col w:w="11000"/>
          </w:cols>
          <w:pgMar w:left="440" w:top="270" w:right="459" w:bottom="1440" w:gutter="0" w:footer="0" w:header="0"/>
        </w:sectPr>
      </w:pPr>
    </w:p>
    <w:bookmarkStart w:id="125" w:name="page126"/>
    <w:bookmarkEnd w:id="125"/>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adjournment is taken;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 At the adjourned meeting, the Corporation may transact any business that might have been transacted at the original meeting. If a quorum is present at the original meeting, it shall also be deemed present at the adjourned meeting. To the fullest extent permitted by law, the Board may postpone, reschedule or cancel at any time and for any reason any previously scheduled special or annual meeting of stockholders before it is to be held, regardless of whether any notice or public disclosure with respect to any such meeting has been sent or made pursuant to Section 1.3 hereof or otherwise, in which case notice shall be provided to the stockholders of the new date, time and place (if any) of the meeting as provided in Section 1.3 above.</w:t>
      </w:r>
    </w:p>
    <w:p>
      <w:pPr>
        <w:spacing w:after="0" w:line="164" w:lineRule="exact"/>
        <w:rPr>
          <w:sz w:val="20"/>
          <w:szCs w:val="20"/>
          <w:color w:val="auto"/>
        </w:rPr>
      </w:pPr>
    </w:p>
    <w:p>
      <w:pPr>
        <w:ind w:right="80" w:firstLine="440"/>
        <w:spacing w:after="0" w:line="269" w:lineRule="auto"/>
        <w:rPr>
          <w:sz w:val="20"/>
          <w:szCs w:val="20"/>
          <w:color w:val="auto"/>
        </w:rPr>
      </w:pPr>
      <w:r>
        <w:rPr>
          <w:rFonts w:ascii="Arial" w:cs="Arial" w:eastAsia="Arial" w:hAnsi="Arial"/>
          <w:sz w:val="17"/>
          <w:szCs w:val="17"/>
          <w:b w:val="1"/>
          <w:bCs w:val="1"/>
          <w:color w:val="auto"/>
        </w:rPr>
        <w:t xml:space="preserve">Section 1.5: </w:t>
      </w:r>
      <w:r>
        <w:rPr>
          <w:rFonts w:ascii="Arial" w:cs="Arial" w:eastAsia="Arial" w:hAnsi="Arial"/>
          <w:sz w:val="17"/>
          <w:szCs w:val="17"/>
          <w:b w:val="1"/>
          <w:bCs w:val="1"/>
          <w:u w:val="single" w:color="auto"/>
          <w:color w:val="auto"/>
        </w:rPr>
        <w:t>Quorum</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otherwise provided by applicable law, the Certificate of Incorporation or these Bylaws, at each meeting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stockholders the holders of a majority of the voting power of the shares of stock issued and outstanding and entitled to vote at the meeting, present in person or represented by proxy, shall constitute a quorum for the transaction of business;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xml:space="preserve">, that where a separate vote by a class or classes or series of stock is required by applicable law or the Certificate of Incorporation, the holders of a majority of the voting power of the shares of such class or classes or series of the stock issued and outstanding and entitled to vote on such matter, present in person or represented by proxy at the meeting, shall constitute a quorum entitled to take action with respect to the vote on such matter. If a quorum shall fail to attend any meeting, the chairperson of the meeting or, if directed to be voted on by the chairperson of the meeting, the holders of a majority of the voting power of the shares entitled to vote who are present in person or represented by proxy at the meeting may adjourn the meeting. Shares of the Corporation’s stock belonging to the Corporation (or to another corporation, if a majority of the shares entitled to vote in the election of directors of such other corporation are held, directly or indirectly, by the Corporation) shall neither be entitled to vote nor be counted for quorum purposes;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the foregoing shall not limit the right of the Corporation or any other corporation to vote any shares of the Corporation’s stock held by it in a fiduciary capacity and to count such shares for purposes of determining a quorum. A quorum, once established at a meeting, shall not be broken by the withdrawal of enough votes to leave less than a quorum.</w:t>
      </w:r>
    </w:p>
    <w:p>
      <w:pPr>
        <w:spacing w:after="0" w:line="176" w:lineRule="exact"/>
        <w:rPr>
          <w:sz w:val="20"/>
          <w:szCs w:val="20"/>
          <w:color w:val="auto"/>
        </w:rPr>
      </w:pPr>
    </w:p>
    <w:p>
      <w:pPr>
        <w:ind w:firstLine="440"/>
        <w:spacing w:after="0" w:line="277" w:lineRule="auto"/>
        <w:rPr>
          <w:sz w:val="20"/>
          <w:szCs w:val="20"/>
          <w:color w:val="auto"/>
        </w:rPr>
      </w:pPr>
      <w:r>
        <w:rPr>
          <w:rFonts w:ascii="Arial" w:cs="Arial" w:eastAsia="Arial" w:hAnsi="Arial"/>
          <w:sz w:val="17"/>
          <w:szCs w:val="17"/>
          <w:b w:val="1"/>
          <w:bCs w:val="1"/>
          <w:color w:val="auto"/>
        </w:rPr>
        <w:t xml:space="preserve">Section 1.6: </w:t>
      </w:r>
      <w:r>
        <w:rPr>
          <w:rFonts w:ascii="Arial" w:cs="Arial" w:eastAsia="Arial" w:hAnsi="Arial"/>
          <w:sz w:val="17"/>
          <w:szCs w:val="17"/>
          <w:b w:val="1"/>
          <w:bCs w:val="1"/>
          <w:u w:val="single" w:color="auto"/>
          <w:color w:val="auto"/>
        </w:rPr>
        <w:t>Organization</w:t>
      </w:r>
      <w:r>
        <w:rPr>
          <w:rFonts w:ascii="Arial" w:cs="Arial" w:eastAsia="Arial" w:hAnsi="Arial"/>
          <w:sz w:val="17"/>
          <w:szCs w:val="17"/>
          <w:b w:val="1"/>
          <w:bCs w:val="1"/>
          <w:color w:val="auto"/>
        </w:rPr>
        <w:t xml:space="preserve">. </w:t>
      </w:r>
      <w:r>
        <w:rPr>
          <w:rFonts w:ascii="Arial" w:cs="Arial" w:eastAsia="Arial" w:hAnsi="Arial"/>
          <w:sz w:val="17"/>
          <w:szCs w:val="17"/>
          <w:color w:val="auto"/>
        </w:rPr>
        <w:t>Meetings of stockholders shall be presided over by (a) such person as the Board may designate, or (b) in the absence</w:t>
      </w:r>
      <w:r>
        <w:rPr>
          <w:rFonts w:ascii="Arial" w:cs="Arial" w:eastAsia="Arial" w:hAnsi="Arial"/>
          <w:sz w:val="17"/>
          <w:szCs w:val="17"/>
          <w:b w:val="1"/>
          <w:bCs w:val="1"/>
          <w:color w:val="auto"/>
        </w:rPr>
        <w:t xml:space="preserve"> </w:t>
      </w:r>
      <w:r>
        <w:rPr>
          <w:rFonts w:ascii="Arial" w:cs="Arial" w:eastAsia="Arial" w:hAnsi="Arial"/>
          <w:sz w:val="17"/>
          <w:szCs w:val="17"/>
          <w:color w:val="auto"/>
        </w:rPr>
        <w:t>of such a person, the Chairperson of the Board, or (c) in the absence of such person, the Lead Independent Director, or (d) in the absence of such person, the Chief Executive Officer of the Corporation, or (e) in the absence of such person, the President of the Corporation, or (f) in the absence of such person, by a Vice President of the Corporation. The Secretary of the Corporation shall act as secretary of the meeting, but in such person’s absence the chairperson of the meeting may appoint any person to act as secretary of the meeting.</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26" w:name="page127"/>
    <w:bookmarkEnd w:id="126"/>
    <w:p>
      <w:pPr>
        <w:ind w:right="100" w:firstLine="440"/>
        <w:spacing w:after="0" w:line="26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1.7: </w:t>
      </w:r>
      <w:r>
        <w:rPr>
          <w:rFonts w:ascii="Arial" w:cs="Arial" w:eastAsia="Arial" w:hAnsi="Arial"/>
          <w:sz w:val="17"/>
          <w:szCs w:val="17"/>
          <w:b w:val="1"/>
          <w:bCs w:val="1"/>
          <w:u w:val="single" w:color="auto"/>
          <w:color w:val="auto"/>
        </w:rPr>
        <w:t>Voting; Proxies</w:t>
      </w:r>
      <w:r>
        <w:rPr>
          <w:rFonts w:ascii="Arial" w:cs="Arial" w:eastAsia="Arial" w:hAnsi="Arial"/>
          <w:sz w:val="17"/>
          <w:szCs w:val="17"/>
          <w:b w:val="1"/>
          <w:bCs w:val="1"/>
          <w:color w:val="auto"/>
        </w:rPr>
        <w:t xml:space="preserve">. </w:t>
      </w:r>
      <w:r>
        <w:rPr>
          <w:rFonts w:ascii="Arial" w:cs="Arial" w:eastAsia="Arial" w:hAnsi="Arial"/>
          <w:sz w:val="17"/>
          <w:szCs w:val="17"/>
          <w:color w:val="auto"/>
        </w:rPr>
        <w:t>Each stockholder of record entitled to vote at a meeting of stockholders may authorize another person or persons</w:t>
      </w:r>
      <w:r>
        <w:rPr>
          <w:rFonts w:ascii="Arial" w:cs="Arial" w:eastAsia="Arial" w:hAnsi="Arial"/>
          <w:sz w:val="17"/>
          <w:szCs w:val="17"/>
          <w:b w:val="1"/>
          <w:bCs w:val="1"/>
          <w:color w:val="auto"/>
        </w:rPr>
        <w:t xml:space="preserve"> </w:t>
      </w:r>
      <w:r>
        <w:rPr>
          <w:rFonts w:ascii="Arial" w:cs="Arial" w:eastAsia="Arial" w:hAnsi="Arial"/>
          <w:sz w:val="17"/>
          <w:szCs w:val="17"/>
          <w:color w:val="auto"/>
        </w:rPr>
        <w:t>to act for such stockholder by proxy. Such a proxy may be prepared, transmitted and delivered in any manner permitted by applicable law. Except as may be required in the Certificate of Incorporation, directors shall be elected by a plurality of the votes cast by the holders of the shares present in person or represented by proxy at the meeting and entitled to vote on the election of directors. At all meetings of stockholders at which a quorum is present, unless a different or minimum vote is required by applicable law, rule or regulation applicable to the Corporation or its securities, the rules or regulations of any stock exchange applicable to the Corporation, the Certificate of Incorporation or these Bylaws, in which case such different or minimum vote shall be the applicable vote on the matter, every matter other than the election of directors shall be decided by the affirmative vote of the holders of a majority of the voting power of the shares of stock entitled to vote on such matter that are present in person or represented by proxy at the meeting and are voted for or against the matter (or if there are two or more classes or series of stock entitled to vote as separate classes, then in the case of each class or series, the holders of a majority of the voting power of the shares of stock of that class or series present in person or represented by proxy at the meeting voting for or against such matter).</w:t>
      </w:r>
    </w:p>
    <w:p>
      <w:pPr>
        <w:spacing w:after="0" w:line="182"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 xml:space="preserve">Section 1.8: </w:t>
      </w:r>
      <w:r>
        <w:rPr>
          <w:rFonts w:ascii="Arial" w:cs="Arial" w:eastAsia="Arial" w:hAnsi="Arial"/>
          <w:sz w:val="17"/>
          <w:szCs w:val="17"/>
          <w:b w:val="1"/>
          <w:bCs w:val="1"/>
          <w:u w:val="single" w:color="auto"/>
          <w:color w:val="auto"/>
        </w:rPr>
        <w:t>Fixing Date for Determination of Stockholders of Record</w:t>
      </w:r>
      <w:r>
        <w:rPr>
          <w:rFonts w:ascii="Arial" w:cs="Arial" w:eastAsia="Arial" w:hAnsi="Arial"/>
          <w:sz w:val="17"/>
          <w:szCs w:val="17"/>
          <w:b w:val="1"/>
          <w:bCs w:val="1"/>
          <w:color w:val="auto"/>
        </w:rPr>
        <w:t xml:space="preserve">. </w:t>
      </w:r>
      <w:r>
        <w:rPr>
          <w:rFonts w:ascii="Arial" w:cs="Arial" w:eastAsia="Arial" w:hAnsi="Arial"/>
          <w:sz w:val="17"/>
          <w:szCs w:val="17"/>
          <w:color w:val="auto"/>
        </w:rPr>
        <w:t>In order that the Corporation may determine the stockholders entitled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notice of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at 5:00 p.m. Eastern Time on the day next preceding the day on which notice is given, or, if notice is waived, at 5:00 p.m. Eastern Time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83"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in advance, a record date, which shall not precede the date upon which the resolution fixing the record date is adopted by the Board and which shall not be more than sixty (60) days prior to such action. If no such record date is fixed by the Board, then the record date for determining stockholders for any such purpose shall be at 5:00 p.m. Eastern Time on the day on which the Board adopts the resolution relating thereto.</w:t>
      </w:r>
    </w:p>
    <w:p>
      <w:pPr>
        <w:spacing w:after="0" w:line="157"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b w:val="1"/>
          <w:bCs w:val="1"/>
          <w:color w:val="auto"/>
        </w:rPr>
        <w:t xml:space="preserve">Section 1.9: </w:t>
      </w:r>
      <w:r>
        <w:rPr>
          <w:rFonts w:ascii="Arial" w:cs="Arial" w:eastAsia="Arial" w:hAnsi="Arial"/>
          <w:sz w:val="18"/>
          <w:szCs w:val="18"/>
          <w:b w:val="1"/>
          <w:bCs w:val="1"/>
          <w:u w:val="single" w:color="auto"/>
          <w:color w:val="auto"/>
        </w:rPr>
        <w:t>List of Stockholders Entitled to Vote</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shall prepare, at least ten (10) days before every meeting of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a complete list of stockholders entitled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127" w:name="page128"/>
    <w:bookmarkEnd w:id="127"/>
    <w:p>
      <w:pPr>
        <w:ind w:left="4"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vote at the meeting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if the record date for determining the stockholders entitled to vote is less than ten (10) days before the date of the meeting, the list shall reflect the stockholders entitled to vote as of the tenth (10th) day before the meeting date), arranged in alphabetical order and showing the address of each stockholder and the number of shares registered in the name of each stockholder. Such list shall be open to the examination of any stockholder, for any purpose germane to the meeting, for a period of at least ten (10) days prior to the meeting, either (a) on a reasonably accessible electronic network as permitted by applicable law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the information required to gain access to the list is provided with the notice of the meeting) or (b) during ordinary business hours, at the principal place of business of the Corporation. If the meeting is held at a location where stockholders may attend in person, a list of stockholders entitled to vote at the meeting shall also be produced and kept at the time and place of the meeting during the whole time thereof and may be inspected by any stockholder who is present at the meeting. If the meeting is held solely by means of remote communication, then the list shall be open to the examination of any stockholder during the whole time of the meeting on a reasonably accessible electronic network, and the information required to access the list shall be provided with the notice of the meeting. Except as otherwise provided by law, the stock ledger shall be the only evidence as to who are the stockholders entitled to examine the list of stockholders required by this Section 1.9 or to vote in person or by proxy at any meeting of stockholders.</w:t>
      </w:r>
    </w:p>
    <w:p>
      <w:pPr>
        <w:spacing w:after="0" w:line="164" w:lineRule="exact"/>
        <w:rPr>
          <w:sz w:val="20"/>
          <w:szCs w:val="20"/>
          <w:color w:val="auto"/>
        </w:rPr>
      </w:pPr>
    </w:p>
    <w:p>
      <w:pPr>
        <w:ind w:left="444"/>
        <w:spacing w:after="0"/>
        <w:tabs>
          <w:tab w:leader="none" w:pos="1584" w:val="left"/>
        </w:tabs>
        <w:rPr>
          <w:sz w:val="20"/>
          <w:szCs w:val="20"/>
          <w:color w:val="auto"/>
        </w:rPr>
      </w:pPr>
      <w:r>
        <w:rPr>
          <w:rFonts w:ascii="Arial" w:cs="Arial" w:eastAsia="Arial" w:hAnsi="Arial"/>
          <w:sz w:val="18"/>
          <w:szCs w:val="18"/>
          <w:b w:val="1"/>
          <w:bCs w:val="1"/>
          <w:color w:val="auto"/>
        </w:rPr>
        <w:t>Section 1.10:</w:t>
      </w:r>
      <w:r>
        <w:rPr>
          <w:sz w:val="20"/>
          <w:szCs w:val="20"/>
          <w:color w:val="auto"/>
        </w:rPr>
        <w:tab/>
      </w:r>
      <w:r>
        <w:rPr>
          <w:rFonts w:ascii="Arial" w:cs="Arial" w:eastAsia="Arial" w:hAnsi="Arial"/>
          <w:sz w:val="15"/>
          <w:szCs w:val="15"/>
          <w:b w:val="1"/>
          <w:bCs w:val="1"/>
          <w:u w:val="single" w:color="auto"/>
          <w:color w:val="auto"/>
        </w:rPr>
        <w:t>Inspectors of Elections</w:t>
      </w:r>
      <w:r>
        <w:rPr>
          <w:rFonts w:ascii="Arial" w:cs="Arial" w:eastAsia="Arial" w:hAnsi="Arial"/>
          <w:sz w:val="15"/>
          <w:szCs w:val="15"/>
          <w:b w:val="1"/>
          <w:bCs w:val="1"/>
          <w:color w:val="auto"/>
        </w:rPr>
        <w:t>.</w:t>
      </w:r>
    </w:p>
    <w:p>
      <w:pPr>
        <w:spacing w:after="0" w:line="229" w:lineRule="exact"/>
        <w:rPr>
          <w:sz w:val="20"/>
          <w:szCs w:val="20"/>
          <w:color w:val="auto"/>
        </w:rPr>
      </w:pPr>
    </w:p>
    <w:p>
      <w:pPr>
        <w:ind w:left="4" w:right="160" w:firstLine="440"/>
        <w:spacing w:after="0" w:line="301" w:lineRule="auto"/>
        <w:rPr>
          <w:sz w:val="20"/>
          <w:szCs w:val="20"/>
          <w:color w:val="auto"/>
        </w:rPr>
      </w:pPr>
      <w:r>
        <w:rPr>
          <w:rFonts w:ascii="Arial" w:cs="Arial" w:eastAsia="Arial" w:hAnsi="Arial"/>
          <w:sz w:val="16"/>
          <w:szCs w:val="16"/>
          <w:color w:val="auto"/>
        </w:rPr>
        <w:t xml:space="preserve">1.10.1 </w:t>
      </w:r>
      <w:r>
        <w:rPr>
          <w:rFonts w:ascii="Arial" w:cs="Arial" w:eastAsia="Arial" w:hAnsi="Arial"/>
          <w:sz w:val="16"/>
          <w:szCs w:val="16"/>
          <w:u w:val="single" w:color="auto"/>
          <w:color w:val="auto"/>
        </w:rPr>
        <w:t>Applicability</w:t>
      </w:r>
      <w:r>
        <w:rPr>
          <w:rFonts w:ascii="Arial" w:cs="Arial" w:eastAsia="Arial" w:hAnsi="Arial"/>
          <w:sz w:val="16"/>
          <w:szCs w:val="16"/>
          <w:color w:val="auto"/>
        </w:rPr>
        <w:t>. Unless otherwise required by the Certificate of Incorporation or by applicable law, the following provisions of this Section 1.10 shall apply only if and when the Corporation has a class of voting stock that is: (a) listed on a national securities exchange; (b) authorized for quotation on an interdealer quotation system of a registered national securities association; or (c) held of record by more than two thousand (2,000) stockholders. In all other cases, observance of the provisions of this Section 1.10 shall be optional, and at the discretion of the Board.</w:t>
      </w:r>
    </w:p>
    <w:p>
      <w:pPr>
        <w:spacing w:after="0" w:line="157"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 xml:space="preserve">1.10.2 </w:t>
      </w:r>
      <w:r>
        <w:rPr>
          <w:rFonts w:ascii="Arial" w:cs="Arial" w:eastAsia="Arial" w:hAnsi="Arial"/>
          <w:sz w:val="18"/>
          <w:szCs w:val="18"/>
          <w:u w:val="single" w:color="auto"/>
          <w:color w:val="auto"/>
        </w:rPr>
        <w:t>Appointment</w:t>
      </w:r>
      <w:r>
        <w:rPr>
          <w:rFonts w:ascii="Arial" w:cs="Arial" w:eastAsia="Arial" w:hAnsi="Arial"/>
          <w:sz w:val="18"/>
          <w:szCs w:val="18"/>
          <w:color w:val="auto"/>
        </w:rPr>
        <w:t>. The Corporation shall, in advance of any meeting of stockholders, appoint one or more inspectors of election to act at the meeting and make a written report thereof. The Corporation may designate one or more persons as alternate inspectors to replace any inspector who fails to act. If no inspector or alternate is able to act at a meeting of stockholders, the person presiding at the meeting shall appoint one or more inspectors to act at the meeting.</w:t>
      </w:r>
    </w:p>
    <w:p>
      <w:pPr>
        <w:spacing w:after="0" w:line="187"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 xml:space="preserve">1.10.3 </w:t>
      </w:r>
      <w:r>
        <w:rPr>
          <w:rFonts w:ascii="Arial" w:cs="Arial" w:eastAsia="Arial" w:hAnsi="Arial"/>
          <w:sz w:val="18"/>
          <w:szCs w:val="18"/>
          <w:u w:val="single" w:color="auto"/>
          <w:color w:val="auto"/>
        </w:rPr>
        <w:t>Inspector’s Oath</w:t>
      </w:r>
      <w:r>
        <w:rPr>
          <w:rFonts w:ascii="Arial" w:cs="Arial" w:eastAsia="Arial" w:hAnsi="Arial"/>
          <w:sz w:val="18"/>
          <w:szCs w:val="18"/>
          <w:color w:val="auto"/>
        </w:rPr>
        <w:t>. Each inspector of election, before entering upon the discharge of his or her duties, shall take and sign an oath faithfully to execute the duties of inspector with strict impartiality and according to the best of such inspector’s ability.</w:t>
      </w:r>
    </w:p>
    <w:p>
      <w:pPr>
        <w:spacing w:after="0" w:line="170" w:lineRule="exact"/>
        <w:rPr>
          <w:sz w:val="20"/>
          <w:szCs w:val="20"/>
          <w:color w:val="auto"/>
        </w:rPr>
      </w:pPr>
    </w:p>
    <w:p>
      <w:pPr>
        <w:ind w:left="4" w:right="100" w:firstLine="440"/>
        <w:spacing w:after="0" w:line="291" w:lineRule="auto"/>
        <w:rPr>
          <w:sz w:val="20"/>
          <w:szCs w:val="20"/>
          <w:color w:val="auto"/>
        </w:rPr>
      </w:pPr>
      <w:r>
        <w:rPr>
          <w:rFonts w:ascii="Arial" w:cs="Arial" w:eastAsia="Arial" w:hAnsi="Arial"/>
          <w:sz w:val="16"/>
          <w:szCs w:val="16"/>
          <w:color w:val="auto"/>
        </w:rPr>
        <w:t xml:space="preserve">1.10.4 </w:t>
      </w:r>
      <w:r>
        <w:rPr>
          <w:rFonts w:ascii="Arial" w:cs="Arial" w:eastAsia="Arial" w:hAnsi="Arial"/>
          <w:sz w:val="16"/>
          <w:szCs w:val="16"/>
          <w:u w:val="single" w:color="auto"/>
          <w:color w:val="auto"/>
        </w:rPr>
        <w:t>Duties of Inspectors</w:t>
      </w:r>
      <w:r>
        <w:rPr>
          <w:rFonts w:ascii="Arial" w:cs="Arial" w:eastAsia="Arial" w:hAnsi="Arial"/>
          <w:sz w:val="16"/>
          <w:szCs w:val="16"/>
          <w:color w:val="auto"/>
        </w:rPr>
        <w:t>. At a meeting of stockholders, the inspectors of election shall (a) ascertain the number of shares outstanding and the voting power of each share, (b) determine the shares represented at a meeting and the validity of proxies and ballots, (c) count all votes and ballots,</w:t>
      </w:r>
    </w:p>
    <w:p>
      <w:pPr>
        <w:ind w:left="264" w:hanging="264"/>
        <w:spacing w:after="0"/>
        <w:tabs>
          <w:tab w:leader="none" w:pos="264" w:val="left"/>
        </w:tabs>
        <w:numPr>
          <w:ilvl w:val="0"/>
          <w:numId w:val="82"/>
        </w:numPr>
        <w:rPr>
          <w:rFonts w:ascii="Arial" w:cs="Arial" w:eastAsia="Arial" w:hAnsi="Arial"/>
          <w:sz w:val="16"/>
          <w:szCs w:val="16"/>
          <w:color w:val="auto"/>
        </w:rPr>
      </w:pPr>
      <w:r>
        <w:rPr>
          <w:rFonts w:ascii="Arial" w:cs="Arial" w:eastAsia="Arial" w:hAnsi="Arial"/>
          <w:sz w:val="16"/>
          <w:szCs w:val="16"/>
          <w:color w:val="auto"/>
        </w:rPr>
        <w:t>determine and retain for a reasonable period of time a record of the disposition of any challenges made to any determination by the inspectors and</w:t>
      </w:r>
    </w:p>
    <w:p>
      <w:pPr>
        <w:spacing w:after="0" w:line="32" w:lineRule="exact"/>
        <w:rPr>
          <w:rFonts w:ascii="Arial" w:cs="Arial" w:eastAsia="Arial" w:hAnsi="Arial"/>
          <w:sz w:val="16"/>
          <w:szCs w:val="16"/>
          <w:color w:val="auto"/>
        </w:rPr>
      </w:pPr>
    </w:p>
    <w:p>
      <w:pPr>
        <w:ind w:left="4" w:right="60" w:hanging="4"/>
        <w:spacing w:after="0" w:line="260" w:lineRule="auto"/>
        <w:tabs>
          <w:tab w:leader="none" w:pos="249" w:val="left"/>
        </w:tabs>
        <w:numPr>
          <w:ilvl w:val="0"/>
          <w:numId w:val="82"/>
        </w:numPr>
        <w:rPr>
          <w:rFonts w:ascii="Arial" w:cs="Arial" w:eastAsia="Arial" w:hAnsi="Arial"/>
          <w:sz w:val="18"/>
          <w:szCs w:val="18"/>
          <w:color w:val="auto"/>
        </w:rPr>
      </w:pPr>
      <w:r>
        <w:rPr>
          <w:rFonts w:ascii="Arial" w:cs="Arial" w:eastAsia="Arial" w:hAnsi="Arial"/>
          <w:sz w:val="18"/>
          <w:szCs w:val="18"/>
          <w:color w:val="auto"/>
        </w:rPr>
        <w:t>certify their determination of the number of shares represented at the meeting, and their count of all votes and ballots. The inspectors may appoint or retain other persons or entities to assist the inspectors in the performance of the duties of the inspectors.</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128" w:name="page129"/>
    <w:bookmarkEnd w:id="128"/>
    <w:p>
      <w:pPr>
        <w:ind w:left="4" w:right="10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1.10.5 </w:t>
      </w:r>
      <w:r>
        <w:rPr>
          <w:rFonts w:ascii="Arial" w:cs="Arial" w:eastAsia="Arial" w:hAnsi="Arial"/>
          <w:sz w:val="18"/>
          <w:szCs w:val="18"/>
          <w:u w:val="single" w:color="auto"/>
          <w:color w:val="auto"/>
        </w:rPr>
        <w:t>Opening and Closing of Polls</w:t>
      </w:r>
      <w:r>
        <w:rPr>
          <w:rFonts w:ascii="Arial" w:cs="Arial" w:eastAsia="Arial" w:hAnsi="Arial"/>
          <w:sz w:val="18"/>
          <w:szCs w:val="18"/>
          <w:color w:val="auto"/>
        </w:rPr>
        <w:t>. The date and time of the opening and the closing of the polls for each matter upon which the stockholders will vote at a meeting shall be announced by the chairperson of the meeting at the meeting. No ballot, proxies or votes, nor any revocations thereof or changes thereto, shall be accepted by the inspectors after the closing of the polls unless the Court of Chancery upon application by a stockholder shall determine otherwise.</w:t>
      </w:r>
    </w:p>
    <w:p>
      <w:pPr>
        <w:spacing w:after="0" w:line="187" w:lineRule="exact"/>
        <w:rPr>
          <w:sz w:val="20"/>
          <w:szCs w:val="20"/>
          <w:color w:val="auto"/>
        </w:rPr>
      </w:pPr>
    </w:p>
    <w:p>
      <w:pPr>
        <w:ind w:left="4" w:firstLine="440"/>
        <w:spacing w:after="0" w:line="270" w:lineRule="auto"/>
        <w:rPr>
          <w:sz w:val="20"/>
          <w:szCs w:val="20"/>
          <w:color w:val="auto"/>
        </w:rPr>
      </w:pPr>
      <w:r>
        <w:rPr>
          <w:rFonts w:ascii="Arial" w:cs="Arial" w:eastAsia="Arial" w:hAnsi="Arial"/>
          <w:sz w:val="17"/>
          <w:szCs w:val="17"/>
          <w:color w:val="auto"/>
        </w:rPr>
        <w:t xml:space="preserve">1.10.6 </w:t>
      </w:r>
      <w:r>
        <w:rPr>
          <w:rFonts w:ascii="Arial" w:cs="Arial" w:eastAsia="Arial" w:hAnsi="Arial"/>
          <w:sz w:val="17"/>
          <w:szCs w:val="17"/>
          <w:u w:val="single" w:color="auto"/>
          <w:color w:val="auto"/>
        </w:rPr>
        <w:t>Determinations</w:t>
      </w:r>
      <w:r>
        <w:rPr>
          <w:rFonts w:ascii="Arial" w:cs="Arial" w:eastAsia="Arial" w:hAnsi="Arial"/>
          <w:sz w:val="17"/>
          <w:szCs w:val="17"/>
          <w:color w:val="auto"/>
        </w:rPr>
        <w:t>. In determining the validity and counting of proxies and ballots, the inspectors shall be limited to an examination of the proxies, any envelopes submitted with those proxies, any information provided in connection with proxies pursuant to Section 211(a)(2)b.(i) of the DGCL, or in accordance with Sections 211(e) or 212(c)(2) of the DGCL, ballots and the regular books and records of the Corporation, except that the inspectors may consider other reliable information for the limited purpose of reconciling proxies and ballots submitted by or on behalf of banks, brokers, their nominees or similar persons which represent more votes than the holder of a proxy is authorized by the record owner to cast or more votes than the stockholder holds of record. If the inspectors consider other reliable information for the limited purpose permitted herein, the inspectors at the time they make their certification of their determinations pursuant to this Section 1.10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w:t>
      </w:r>
    </w:p>
    <w:p>
      <w:pPr>
        <w:spacing w:after="0" w:line="177" w:lineRule="exact"/>
        <w:rPr>
          <w:sz w:val="20"/>
          <w:szCs w:val="20"/>
          <w:color w:val="auto"/>
        </w:rPr>
      </w:pPr>
    </w:p>
    <w:p>
      <w:pPr>
        <w:ind w:left="4" w:right="20" w:firstLine="440"/>
        <w:spacing w:after="0" w:line="284" w:lineRule="auto"/>
        <w:rPr>
          <w:sz w:val="20"/>
          <w:szCs w:val="20"/>
          <w:color w:val="auto"/>
        </w:rPr>
      </w:pPr>
      <w:r>
        <w:rPr>
          <w:rFonts w:ascii="Arial" w:cs="Arial" w:eastAsia="Arial" w:hAnsi="Arial"/>
          <w:sz w:val="16"/>
          <w:szCs w:val="16"/>
          <w:b w:val="1"/>
          <w:bCs w:val="1"/>
          <w:color w:val="auto"/>
        </w:rPr>
        <w:t xml:space="preserve">Section 1.11: </w:t>
      </w:r>
      <w:r>
        <w:rPr>
          <w:rFonts w:ascii="Arial" w:cs="Arial" w:eastAsia="Arial" w:hAnsi="Arial"/>
          <w:sz w:val="16"/>
          <w:szCs w:val="16"/>
          <w:b w:val="1"/>
          <w:bCs w:val="1"/>
          <w:u w:val="single" w:color="auto"/>
          <w:color w:val="auto"/>
        </w:rPr>
        <w:t>Conduct of Meetings</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may adopt by resolution such rules and regulations for the conduct of the meeting of</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and to do all such acts as, in the judgment of such presiding person, are appropriate for the proper conduct of the meeting. Such rules, regulations or procedures, whether adopted by the Board or prescribed by the presiding person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entitled to vote at the meeting, their duly authorized and constituted proxies or such other persons as the presiding person of the meeting shall determine;</w:t>
      </w:r>
    </w:p>
    <w:p>
      <w:pPr>
        <w:spacing w:after="0" w:line="5" w:lineRule="exact"/>
        <w:rPr>
          <w:sz w:val="20"/>
          <w:szCs w:val="20"/>
          <w:color w:val="auto"/>
        </w:rPr>
      </w:pPr>
    </w:p>
    <w:p>
      <w:pPr>
        <w:ind w:left="4" w:right="80" w:hanging="4"/>
        <w:spacing w:after="0" w:line="288" w:lineRule="auto"/>
        <w:tabs>
          <w:tab w:leader="none" w:pos="259"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restrictions on entry to the meeting after the time fixed for the commencement thereof; (e) limitations on the time allotted to questions or comments by participants; (f) restricting the use of audio/video recording devices and cell phones; and (g) complying with any state and local laws and regulations concerning safety and security.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129" w:name="page130"/>
    <w:bookmarkEnd w:id="129"/>
    <w:p>
      <w:pPr>
        <w:ind w:left="440"/>
        <w:spacing w:after="0"/>
        <w:tabs>
          <w:tab w:leader="none" w:pos="15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1.12:</w:t>
      </w:r>
      <w:r>
        <w:rPr>
          <w:sz w:val="20"/>
          <w:szCs w:val="20"/>
          <w:color w:val="auto"/>
        </w:rPr>
        <w:tab/>
      </w:r>
      <w:r>
        <w:rPr>
          <w:rFonts w:ascii="Arial" w:cs="Arial" w:eastAsia="Arial" w:hAnsi="Arial"/>
          <w:sz w:val="15"/>
          <w:szCs w:val="15"/>
          <w:b w:val="1"/>
          <w:bCs w:val="1"/>
          <w:u w:val="single" w:color="auto"/>
          <w:color w:val="auto"/>
        </w:rPr>
        <w:t>Notice of Stockholder Business; Nominations</w:t>
      </w:r>
      <w:r>
        <w:rPr>
          <w:rFonts w:ascii="Arial" w:cs="Arial" w:eastAsia="Arial" w:hAnsi="Arial"/>
          <w:sz w:val="15"/>
          <w:szCs w:val="15"/>
          <w:b w:val="1"/>
          <w:bCs w:val="1"/>
          <w:color w:val="auto"/>
        </w:rPr>
        <w:t>.</w:t>
      </w:r>
    </w:p>
    <w:p>
      <w:pPr>
        <w:spacing w:after="0" w:line="229" w:lineRule="exact"/>
        <w:rPr>
          <w:sz w:val="20"/>
          <w:szCs w:val="20"/>
          <w:color w:val="auto"/>
        </w:rPr>
      </w:pPr>
    </w:p>
    <w:p>
      <w:pPr>
        <w:ind w:left="440"/>
        <w:spacing w:after="0"/>
        <w:tabs>
          <w:tab w:leader="none" w:pos="1040" w:val="left"/>
        </w:tabs>
        <w:rPr>
          <w:sz w:val="20"/>
          <w:szCs w:val="20"/>
          <w:color w:val="auto"/>
        </w:rPr>
      </w:pPr>
      <w:r>
        <w:rPr>
          <w:rFonts w:ascii="Arial" w:cs="Arial" w:eastAsia="Arial" w:hAnsi="Arial"/>
          <w:sz w:val="18"/>
          <w:szCs w:val="18"/>
          <w:color w:val="auto"/>
        </w:rPr>
        <w:t>1.12.1</w:t>
      </w:r>
      <w:r>
        <w:rPr>
          <w:sz w:val="20"/>
          <w:szCs w:val="20"/>
          <w:color w:val="auto"/>
        </w:rPr>
        <w:tab/>
      </w:r>
      <w:r>
        <w:rPr>
          <w:rFonts w:ascii="Arial" w:cs="Arial" w:eastAsia="Arial" w:hAnsi="Arial"/>
          <w:sz w:val="16"/>
          <w:szCs w:val="16"/>
          <w:u w:val="single" w:color="auto"/>
          <w:color w:val="auto"/>
        </w:rPr>
        <w:t>Annual Meeting of Stockholders</w:t>
      </w:r>
      <w:r>
        <w:rPr>
          <w:rFonts w:ascii="Arial" w:cs="Arial" w:eastAsia="Arial" w:hAnsi="Arial"/>
          <w:sz w:val="16"/>
          <w:szCs w:val="16"/>
          <w:color w:val="auto"/>
        </w:rPr>
        <w:t>.</w:t>
      </w:r>
    </w:p>
    <w:p>
      <w:pPr>
        <w:spacing w:after="0" w:line="225" w:lineRule="exact"/>
        <w:rPr>
          <w:sz w:val="20"/>
          <w:szCs w:val="20"/>
          <w:color w:val="auto"/>
        </w:rPr>
      </w:pPr>
    </w:p>
    <w:p>
      <w:pPr>
        <w:ind w:right="40" w:firstLine="436"/>
        <w:spacing w:after="0" w:line="270" w:lineRule="auto"/>
        <w:tabs>
          <w:tab w:leader="none" w:pos="8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Nominations of persons for election to the Board and the proposal of other business to be considered by the stockholders may be made at an annual meeting of stockholders only: (i) pursuant to the Corporation’s notice of such meeting (or any supplement thereto), (ii) by or at the direction of the Board or any committee thereof or (iii) by any stockholder of the Corporation who was a stockholder of record at the time of giving of the notice provided for in this Section 1.12 (the “</w:t>
      </w:r>
      <w:r>
        <w:rPr>
          <w:rFonts w:ascii="Arial" w:cs="Arial" w:eastAsia="Arial" w:hAnsi="Arial"/>
          <w:sz w:val="17"/>
          <w:szCs w:val="17"/>
          <w:b w:val="1"/>
          <w:bCs w:val="1"/>
          <w:i w:val="1"/>
          <w:iCs w:val="1"/>
          <w:color w:val="auto"/>
        </w:rPr>
        <w:t>Record Stockholder</w:t>
      </w:r>
      <w:r>
        <w:rPr>
          <w:rFonts w:ascii="Arial" w:cs="Arial" w:eastAsia="Arial" w:hAnsi="Arial"/>
          <w:sz w:val="17"/>
          <w:szCs w:val="17"/>
          <w:color w:val="auto"/>
        </w:rPr>
        <w:t>”), who is entitled to vote at such meeting and who complies with the notice and other procedures set forth in this Section 1.12 in all applicable respects. For the avoidance of doubt, the foregoing clause (iii) shall be the exclusive means for a stockholder to make nominations or propose business (other than business included in the Corporation’s proxy materials pursuant to Rule 14a-8 under the Securities Exchange Act of 1934, as amended (such act, and the rules and regulations promulgated thereunder, the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at an annual meeting of stockholders, and such stockholder must fully comply with the notice and other procedures set forth in this Section 1.12 to make such nominations or propose business before an annual meeting.</w:t>
      </w:r>
    </w:p>
    <w:p>
      <w:pPr>
        <w:spacing w:after="0" w:line="180" w:lineRule="exact"/>
        <w:rPr>
          <w:rFonts w:ascii="Arial" w:cs="Arial" w:eastAsia="Arial" w:hAnsi="Arial"/>
          <w:sz w:val="17"/>
          <w:szCs w:val="17"/>
          <w:color w:val="auto"/>
        </w:rPr>
      </w:pPr>
    </w:p>
    <w:p>
      <w:pPr>
        <w:ind w:firstLine="436"/>
        <w:spacing w:after="0" w:line="277" w:lineRule="auto"/>
        <w:tabs>
          <w:tab w:leader="none" w:pos="83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For nominations or other business to be properly brought before an annual meeting by a Record Stockholder pursuant to Section 1.12.1(a) of these Bylaws:</w:t>
      </w:r>
    </w:p>
    <w:p>
      <w:pPr>
        <w:spacing w:after="0" w:line="170" w:lineRule="exact"/>
        <w:rPr>
          <w:rFonts w:ascii="Arial" w:cs="Arial" w:eastAsia="Arial" w:hAnsi="Arial"/>
          <w:sz w:val="18"/>
          <w:szCs w:val="18"/>
          <w:color w:val="auto"/>
        </w:rPr>
      </w:pPr>
    </w:p>
    <w:p>
      <w:pPr>
        <w:ind w:right="60" w:firstLine="987"/>
        <w:spacing w:after="0" w:line="277" w:lineRule="auto"/>
        <w:tabs>
          <w:tab w:leader="none" w:pos="1341"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Record Stockholder must have given timely notice thereof in writing to the Secretary of the Corporation and provide any updates or supplements to such notice at the times and in the forms required by this Section 1.12;</w:t>
      </w:r>
    </w:p>
    <w:p>
      <w:pPr>
        <w:spacing w:after="0" w:line="170" w:lineRule="exact"/>
        <w:rPr>
          <w:rFonts w:ascii="Arial" w:cs="Arial" w:eastAsia="Arial" w:hAnsi="Arial"/>
          <w:sz w:val="18"/>
          <w:szCs w:val="18"/>
          <w:color w:val="auto"/>
        </w:rPr>
      </w:pPr>
    </w:p>
    <w:p>
      <w:pPr>
        <w:ind w:left="1380" w:hanging="393"/>
        <w:spacing w:after="0"/>
        <w:tabs>
          <w:tab w:leader="none" w:pos="1380" w:val="left"/>
        </w:tabs>
        <w:numPr>
          <w:ilvl w:val="1"/>
          <w:numId w:val="84"/>
        </w:numPr>
        <w:rPr>
          <w:rFonts w:ascii="Arial" w:cs="Arial" w:eastAsia="Arial" w:hAnsi="Arial"/>
          <w:sz w:val="17"/>
          <w:szCs w:val="17"/>
          <w:color w:val="auto"/>
        </w:rPr>
      </w:pPr>
      <w:r>
        <w:rPr>
          <w:rFonts w:ascii="Arial" w:cs="Arial" w:eastAsia="Arial" w:hAnsi="Arial"/>
          <w:sz w:val="17"/>
          <w:szCs w:val="17"/>
          <w:color w:val="auto"/>
        </w:rPr>
        <w:t>such other business (other than the nomination of persons for election to the Board) must otherwise be a proper matter for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stockholder action;</w:t>
      </w:r>
    </w:p>
    <w:p>
      <w:pPr>
        <w:spacing w:after="0" w:line="210" w:lineRule="exact"/>
        <w:rPr>
          <w:rFonts w:ascii="Arial" w:cs="Arial" w:eastAsia="Arial" w:hAnsi="Arial"/>
          <w:sz w:val="17"/>
          <w:szCs w:val="17"/>
          <w:color w:val="auto"/>
        </w:rPr>
      </w:pPr>
    </w:p>
    <w:p>
      <w:pPr>
        <w:ind w:firstLine="987"/>
        <w:spacing w:after="0" w:line="273" w:lineRule="auto"/>
        <w:tabs>
          <w:tab w:leader="none" w:pos="1441" w:val="left"/>
        </w:tabs>
        <w:numPr>
          <w:ilvl w:val="1"/>
          <w:numId w:val="84"/>
        </w:numPr>
        <w:rPr>
          <w:rFonts w:ascii="Arial" w:cs="Arial" w:eastAsia="Arial" w:hAnsi="Arial"/>
          <w:sz w:val="17"/>
          <w:szCs w:val="17"/>
          <w:color w:val="auto"/>
        </w:rPr>
      </w:pPr>
      <w:r>
        <w:rPr>
          <w:rFonts w:ascii="Arial" w:cs="Arial" w:eastAsia="Arial" w:hAnsi="Arial"/>
          <w:sz w:val="17"/>
          <w:szCs w:val="17"/>
          <w:color w:val="auto"/>
        </w:rPr>
        <w:t>if the Proposing Person (as defined below) has provided the Corporation with a Solicitation Notice (as defined below), such Proposing Person must, in the case of a proposal other than the nomination of persons for election to the Board, have delivered a proxy statement and form of proxy to holders of at least the percentage of the Corporation’s voting shares required under applicable law to carry any such proposal, or, in the case of a nomination or nominations, have delivered a proxy statement and form of proxy to holders of a percentage of the Corporation’s voting shares reasonably believed by such Proposing Person to be sufficient to elect the nominee or nominees proposed to be nominated by such Record Stockholder, and must, in either case, have included in such materials the Solicitation Notice; and</w:t>
      </w:r>
    </w:p>
    <w:p>
      <w:pPr>
        <w:spacing w:after="0" w:line="177" w:lineRule="exact"/>
        <w:rPr>
          <w:rFonts w:ascii="Arial" w:cs="Arial" w:eastAsia="Arial" w:hAnsi="Arial"/>
          <w:sz w:val="17"/>
          <w:szCs w:val="17"/>
          <w:color w:val="auto"/>
        </w:rPr>
      </w:pPr>
    </w:p>
    <w:p>
      <w:pPr>
        <w:ind w:right="40" w:firstLine="987"/>
        <w:spacing w:after="0" w:line="263" w:lineRule="auto"/>
        <w:tabs>
          <w:tab w:leader="none" w:pos="1431" w:val="left"/>
        </w:tabs>
        <w:numPr>
          <w:ilvl w:val="1"/>
          <w:numId w:val="84"/>
        </w:numPr>
        <w:rPr>
          <w:rFonts w:ascii="Arial" w:cs="Arial" w:eastAsia="Arial" w:hAnsi="Arial"/>
          <w:sz w:val="18"/>
          <w:szCs w:val="18"/>
          <w:color w:val="auto"/>
        </w:rPr>
      </w:pPr>
      <w:r>
        <w:rPr>
          <w:rFonts w:ascii="Arial" w:cs="Arial" w:eastAsia="Arial" w:hAnsi="Arial"/>
          <w:sz w:val="18"/>
          <w:szCs w:val="18"/>
          <w:color w:val="auto"/>
        </w:rPr>
        <w:t>if no Solicitation Notice relating thereto has been timely provided pursuant to this Section 1.12, the Proposing Person proposing such business or nomination must not have solicited a number of proxies sufficient to have required the delivery of such a Solicitation Notice under this Section 1.12.</w:t>
      </w:r>
    </w:p>
    <w:p>
      <w:pPr>
        <w:spacing w:after="0" w:line="184"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To be timely, a Record Stockholder’s notice must be delivered to the Secretary of the Corporation at the principal executive offices of the Corporation not later than 5:00 p.m. Eastern Time on the seventy-fifth (75th) day nor earlier than 5:00 p.m. Eastern Time on the one hundred and fifth (105th) day prior to the first anniversary of the preceding year’s annual meeting (except</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40" w:top="270" w:right="499" w:bottom="1440" w:gutter="0" w:footer="0" w:header="0"/>
        </w:sectPr>
      </w:pPr>
    </w:p>
    <w:bookmarkStart w:id="130" w:name="page131"/>
    <w:bookmarkEnd w:id="130"/>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the case of the Corporation’s first annual meeting following its initial public offering, for which such notice shall be timely if delivered in the same time period as if such meeting were a special meeting governed by Section 1.12.3 of these Bylaws);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in the event that the date of the annual meeting is more than thirty (30) days before or more than sixty (60) days after such anniversary date, notice by the Record Stockholder to be timely must be so delivered (A) no earlier than 5:00 p.m. Eastern Time on the one hundred and fifth (105th) day prior to such annual meeting and (B) no later than 5:00 p.m. Eastern Time on the later of the ninetieth (90th) day prior to such annual meeting or 5:00 p.m. Eastern Time on the tenth (10th) day following the day on which Public Announcement (as defined below) of the date of such meeting is first made by the Corporation. In no event shall an adjournment or postponement of an annual meeting commence a new time period (or extend any time period) for providing the Record Stockholder’s notice.</w:t>
      </w:r>
    </w:p>
    <w:p>
      <w:pPr>
        <w:spacing w:after="0" w:line="192" w:lineRule="exact"/>
        <w:rPr>
          <w:sz w:val="20"/>
          <w:szCs w:val="20"/>
          <w:color w:val="auto"/>
        </w:rPr>
      </w:pPr>
    </w:p>
    <w:p>
      <w:pPr>
        <w:ind w:right="220" w:firstLine="436"/>
        <w:spacing w:after="0" w:line="277" w:lineRule="auto"/>
        <w:tabs>
          <w:tab w:leader="none" w:pos="81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As to each person whom the Record Stockholder proposes to nominate for election or reelection as a director, in addition to the matters set forth in paragraph (e) below, such Record Stockholder’s notice shall set forth:</w:t>
      </w:r>
    </w:p>
    <w:p>
      <w:pPr>
        <w:spacing w:after="0" w:line="62" w:lineRule="exact"/>
        <w:rPr>
          <w:rFonts w:ascii="Arial" w:cs="Arial" w:eastAsia="Arial" w:hAnsi="Arial"/>
          <w:sz w:val="18"/>
          <w:szCs w:val="18"/>
          <w:color w:val="auto"/>
        </w:rPr>
      </w:pPr>
    </w:p>
    <w:p>
      <w:pPr>
        <w:ind w:left="1200" w:hanging="341"/>
        <w:spacing w:after="0"/>
        <w:tabs>
          <w:tab w:leader="none" w:pos="12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name, age, business address and residence address of such person;</w:t>
      </w:r>
    </w:p>
    <w:p>
      <w:pPr>
        <w:spacing w:after="0" w:line="117" w:lineRule="exact"/>
        <w:rPr>
          <w:rFonts w:ascii="Arial" w:cs="Arial" w:eastAsia="Arial" w:hAnsi="Arial"/>
          <w:sz w:val="18"/>
          <w:szCs w:val="18"/>
          <w:color w:val="auto"/>
        </w:rPr>
      </w:pPr>
    </w:p>
    <w:p>
      <w:pPr>
        <w:ind w:left="1260" w:hanging="401"/>
        <w:spacing w:after="0"/>
        <w:tabs>
          <w:tab w:leader="none" w:pos="12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principal occupation or employment of such nominee;</w:t>
      </w:r>
    </w:p>
    <w:p>
      <w:pPr>
        <w:spacing w:after="0" w:line="117" w:lineRule="exact"/>
        <w:rPr>
          <w:rFonts w:ascii="Arial" w:cs="Arial" w:eastAsia="Arial" w:hAnsi="Arial"/>
          <w:sz w:val="18"/>
          <w:szCs w:val="18"/>
          <w:color w:val="auto"/>
        </w:rPr>
      </w:pPr>
    </w:p>
    <w:p>
      <w:pPr>
        <w:ind w:left="440" w:right="140" w:firstLine="419"/>
        <w:spacing w:after="0" w:line="277" w:lineRule="auto"/>
        <w:tabs>
          <w:tab w:leader="none" w:pos="1313"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class, series and number of any shares of stock of the Corporation that are beneficially owned or owned of record by such person or any Associated Person (as defined in Section 1.12.4(c));</w:t>
      </w:r>
    </w:p>
    <w:p>
      <w:pPr>
        <w:spacing w:after="0" w:line="62" w:lineRule="exact"/>
        <w:rPr>
          <w:rFonts w:ascii="Arial" w:cs="Arial" w:eastAsia="Arial" w:hAnsi="Arial"/>
          <w:sz w:val="18"/>
          <w:szCs w:val="18"/>
          <w:color w:val="auto"/>
        </w:rPr>
      </w:pPr>
    </w:p>
    <w:p>
      <w:pPr>
        <w:ind w:left="1300" w:hanging="441"/>
        <w:spacing w:after="0"/>
        <w:tabs>
          <w:tab w:leader="none" w:pos="13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date or dates such shares were acquired and the investment intent of such acquisition;</w:t>
      </w:r>
    </w:p>
    <w:p>
      <w:pPr>
        <w:spacing w:after="0" w:line="117" w:lineRule="exact"/>
        <w:rPr>
          <w:rFonts w:ascii="Arial" w:cs="Arial" w:eastAsia="Arial" w:hAnsi="Arial"/>
          <w:sz w:val="18"/>
          <w:szCs w:val="18"/>
          <w:color w:val="auto"/>
        </w:rPr>
      </w:pPr>
    </w:p>
    <w:p>
      <w:pPr>
        <w:ind w:left="440" w:firstLine="419"/>
        <w:spacing w:after="0" w:line="286" w:lineRule="auto"/>
        <w:tabs>
          <w:tab w:leader="none" w:pos="1253" w:val="left"/>
        </w:tabs>
        <w:numPr>
          <w:ilvl w:val="1"/>
          <w:numId w:val="85"/>
        </w:numPr>
        <w:rPr>
          <w:rFonts w:ascii="Arial" w:cs="Arial" w:eastAsia="Arial" w:hAnsi="Arial"/>
          <w:sz w:val="17"/>
          <w:szCs w:val="17"/>
          <w:color w:val="auto"/>
        </w:rPr>
      </w:pPr>
      <w:r>
        <w:rPr>
          <w:rFonts w:ascii="Arial" w:cs="Arial" w:eastAsia="Arial" w:hAnsi="Arial"/>
          <w:sz w:val="17"/>
          <w:szCs w:val="17"/>
          <w:color w:val="auto"/>
        </w:rPr>
        <w:t>all other information relating to such person that would be required to be disclosed in solicitations of proxies for election of directors in an election contest (even if an election contest is not involved), or would be otherwise required, in each case pursuant to and in accordance with Section 14(a) (or any successor provision) under the Exchange Act and the rules and regulations thereunder;</w:t>
      </w:r>
    </w:p>
    <w:p>
      <w:pPr>
        <w:spacing w:after="0" w:line="57" w:lineRule="exact"/>
        <w:rPr>
          <w:rFonts w:ascii="Arial" w:cs="Arial" w:eastAsia="Arial" w:hAnsi="Arial"/>
          <w:sz w:val="17"/>
          <w:szCs w:val="17"/>
          <w:color w:val="auto"/>
        </w:rPr>
      </w:pPr>
    </w:p>
    <w:p>
      <w:pPr>
        <w:ind w:left="440" w:right="460" w:firstLine="419"/>
        <w:spacing w:after="0" w:line="263" w:lineRule="auto"/>
        <w:tabs>
          <w:tab w:leader="none" w:pos="1303" w:val="left"/>
        </w:tabs>
        <w:numPr>
          <w:ilvl w:val="1"/>
          <w:numId w:val="85"/>
        </w:numPr>
        <w:rPr>
          <w:rFonts w:ascii="Arial" w:cs="Arial" w:eastAsia="Arial" w:hAnsi="Arial"/>
          <w:sz w:val="18"/>
          <w:szCs w:val="18"/>
          <w:color w:val="auto"/>
        </w:rPr>
      </w:pPr>
      <w:r>
        <w:rPr>
          <w:rFonts w:ascii="Arial" w:cs="Arial" w:eastAsia="Arial" w:hAnsi="Arial"/>
          <w:sz w:val="18"/>
          <w:szCs w:val="18"/>
          <w:color w:val="auto"/>
        </w:rPr>
        <w:t>such person’s written consent to being named in the Corporation’s proxy statement as a nominee, to the public disclosure of information regarding or related to such person provided to the Corporation by such person or otherwise pursuant to this Section 1.12 and to serving as a director if elected;</w:t>
      </w:r>
    </w:p>
    <w:p>
      <w:pPr>
        <w:spacing w:after="0" w:line="75" w:lineRule="exact"/>
        <w:rPr>
          <w:rFonts w:ascii="Arial" w:cs="Arial" w:eastAsia="Arial" w:hAnsi="Arial"/>
          <w:sz w:val="18"/>
          <w:szCs w:val="18"/>
          <w:color w:val="auto"/>
        </w:rPr>
      </w:pPr>
    </w:p>
    <w:p>
      <w:pPr>
        <w:ind w:left="440" w:right="300" w:firstLine="419"/>
        <w:spacing w:after="0" w:line="277" w:lineRule="auto"/>
        <w:tabs>
          <w:tab w:leader="none" w:pos="1353" w:val="left"/>
        </w:tabs>
        <w:numPr>
          <w:ilvl w:val="1"/>
          <w:numId w:val="85"/>
        </w:numPr>
        <w:rPr>
          <w:rFonts w:ascii="Arial" w:cs="Arial" w:eastAsia="Arial" w:hAnsi="Arial"/>
          <w:sz w:val="18"/>
          <w:szCs w:val="18"/>
          <w:color w:val="auto"/>
        </w:rPr>
      </w:pPr>
      <w:r>
        <w:rPr>
          <w:rFonts w:ascii="Arial" w:cs="Arial" w:eastAsia="Arial" w:hAnsi="Arial"/>
          <w:sz w:val="18"/>
          <w:szCs w:val="18"/>
          <w:color w:val="auto"/>
        </w:rPr>
        <w:t>whether such person meets the independence requirements of the stock exchange upon which the Corporation’s Common Stock is primarily traded;</w:t>
      </w:r>
    </w:p>
    <w:p>
      <w:pPr>
        <w:spacing w:after="0" w:line="62" w:lineRule="exact"/>
        <w:rPr>
          <w:rFonts w:ascii="Arial" w:cs="Arial" w:eastAsia="Arial" w:hAnsi="Arial"/>
          <w:sz w:val="18"/>
          <w:szCs w:val="18"/>
          <w:color w:val="auto"/>
        </w:rPr>
      </w:pPr>
    </w:p>
    <w:p>
      <w:pPr>
        <w:ind w:left="440" w:right="160" w:firstLine="419"/>
        <w:spacing w:after="0" w:line="255" w:lineRule="auto"/>
        <w:tabs>
          <w:tab w:leader="none" w:pos="1403" w:val="left"/>
        </w:tabs>
        <w:numPr>
          <w:ilvl w:val="1"/>
          <w:numId w:val="85"/>
        </w:numPr>
        <w:rPr>
          <w:rFonts w:ascii="Arial" w:cs="Arial" w:eastAsia="Arial" w:hAnsi="Arial"/>
          <w:sz w:val="18"/>
          <w:szCs w:val="18"/>
          <w:color w:val="auto"/>
        </w:rPr>
      </w:pPr>
      <w:r>
        <w:rPr>
          <w:rFonts w:ascii="Arial" w:cs="Arial" w:eastAsia="Arial" w:hAnsi="Arial"/>
          <w:sz w:val="18"/>
          <w:szCs w:val="18"/>
          <w:color w:val="auto"/>
        </w:rPr>
        <w:t>a description of all direct and indirect compensation and other material monetary agreements, arrangements and understandings during the past three (3) years, and any other material relationships, between or among such Proposing Person or any of its respective affiliates and associates, on the one hand, and each proposed nominee, and his or her respective affiliates and associates, on the other hand, including all information that would be required to be disclosed pursuant to Rule 404 promulgated under Regulation S-K if the Proposing Person or any of its respective affiliates and associates were the “registrant” for purposes of such rule and the nominee were a director or executive officer of such registrant; and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31" w:name="page132"/>
    <w:bookmarkEnd w:id="131"/>
    <w:p>
      <w:pPr>
        <w:ind w:left="1280" w:hanging="441"/>
        <w:spacing w:after="0"/>
        <w:tabs>
          <w:tab w:leader="none" w:pos="1280" w:val="left"/>
        </w:tabs>
        <w:numPr>
          <w:ilvl w:val="1"/>
          <w:numId w:val="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completed and signed questionnaire, representation and agreement required by Section 1.12.2 of these Bylaws.</w:t>
      </w:r>
    </w:p>
    <w:p>
      <w:pPr>
        <w:spacing w:after="0" w:line="225" w:lineRule="exact"/>
        <w:rPr>
          <w:rFonts w:ascii="Arial" w:cs="Arial" w:eastAsia="Arial" w:hAnsi="Arial"/>
          <w:sz w:val="18"/>
          <w:szCs w:val="18"/>
          <w:color w:val="auto"/>
        </w:rPr>
      </w:pPr>
    </w:p>
    <w:p>
      <w:pPr>
        <w:ind w:left="-20" w:right="160" w:firstLine="436"/>
        <w:spacing w:after="0" w:line="277" w:lineRule="auto"/>
        <w:tabs>
          <w:tab w:leader="none" w:pos="8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As to any business other than the nomination of a director or directors that the Record Stockholder proposes to bring before the meeting, in addition to the matters set forth in paragraph (e) below, such Record Stockholder’s notice shall set forth:</w:t>
      </w:r>
    </w:p>
    <w:p>
      <w:pPr>
        <w:spacing w:after="0" w:line="62" w:lineRule="exact"/>
        <w:rPr>
          <w:rFonts w:ascii="Arial" w:cs="Arial" w:eastAsia="Arial" w:hAnsi="Arial"/>
          <w:sz w:val="18"/>
          <w:szCs w:val="18"/>
          <w:color w:val="auto"/>
        </w:rPr>
      </w:pPr>
    </w:p>
    <w:p>
      <w:pPr>
        <w:ind w:left="420" w:right="160" w:firstLine="419"/>
        <w:spacing w:after="0" w:line="259" w:lineRule="auto"/>
        <w:tabs>
          <w:tab w:leader="none" w:pos="1193" w:val="left"/>
        </w:tabs>
        <w:numPr>
          <w:ilvl w:val="1"/>
          <w:numId w:val="87"/>
        </w:numPr>
        <w:rPr>
          <w:rFonts w:ascii="Arial" w:cs="Arial" w:eastAsia="Arial" w:hAnsi="Arial"/>
          <w:sz w:val="18"/>
          <w:szCs w:val="18"/>
          <w:color w:val="auto"/>
        </w:rPr>
      </w:pPr>
      <w:r>
        <w:rPr>
          <w:rFonts w:ascii="Arial" w:cs="Arial" w:eastAsia="Arial" w:hAnsi="Arial"/>
          <w:sz w:val="18"/>
          <w:szCs w:val="18"/>
          <w:color w:val="auto"/>
        </w:rPr>
        <w:t>a brief description of the business desired to be brought before the meeting, the text of the proposal or business (including the text of any resolutions proposed for consideration and in the event that such business includes a proposal to amend the Bylaws, the text of the proposed amendment), the reasons for conducting such business at the meeting and any material interest in such business of such Proposing Person, including any anticipated benefit to any Proposing Person therefrom; and</w:t>
      </w:r>
    </w:p>
    <w:p>
      <w:pPr>
        <w:spacing w:after="0" w:line="78" w:lineRule="exact"/>
        <w:rPr>
          <w:rFonts w:ascii="Arial" w:cs="Arial" w:eastAsia="Arial" w:hAnsi="Arial"/>
          <w:sz w:val="18"/>
          <w:szCs w:val="18"/>
          <w:color w:val="auto"/>
        </w:rPr>
      </w:pPr>
    </w:p>
    <w:p>
      <w:pPr>
        <w:ind w:left="420" w:right="60" w:firstLine="419"/>
        <w:spacing w:after="0" w:line="263" w:lineRule="auto"/>
        <w:tabs>
          <w:tab w:leader="none" w:pos="1243" w:val="left"/>
        </w:tabs>
        <w:numPr>
          <w:ilvl w:val="1"/>
          <w:numId w:val="87"/>
        </w:numPr>
        <w:rPr>
          <w:rFonts w:ascii="Arial" w:cs="Arial" w:eastAsia="Arial" w:hAnsi="Arial"/>
          <w:sz w:val="18"/>
          <w:szCs w:val="18"/>
          <w:color w:val="auto"/>
        </w:rPr>
      </w:pPr>
      <w:r>
        <w:rPr>
          <w:rFonts w:ascii="Arial" w:cs="Arial" w:eastAsia="Arial" w:hAnsi="Arial"/>
          <w:sz w:val="18"/>
          <w:szCs w:val="18"/>
          <w:color w:val="auto"/>
        </w:rPr>
        <w:t>a description of all agreements, arrangements and understandings between or among any such Proposing Person and any of its respective affiliates or associates, on the one hand, and any other person or persons, on the other hand, (including their names) in connection with the proposal of such business by such Proposing Person.</w:t>
      </w:r>
    </w:p>
    <w:p>
      <w:pPr>
        <w:spacing w:after="0" w:line="183" w:lineRule="exact"/>
        <w:rPr>
          <w:rFonts w:ascii="Arial" w:cs="Arial" w:eastAsia="Arial" w:hAnsi="Arial"/>
          <w:sz w:val="18"/>
          <w:szCs w:val="18"/>
          <w:color w:val="auto"/>
        </w:rPr>
      </w:pPr>
    </w:p>
    <w:p>
      <w:pPr>
        <w:ind w:left="780" w:hanging="364"/>
        <w:spacing w:after="0"/>
        <w:tabs>
          <w:tab w:leader="none" w:pos="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As to each Proposing Person giving the notice, such Record Stockholder’s notice shall set forth:</w:t>
      </w:r>
    </w:p>
    <w:p>
      <w:pPr>
        <w:spacing w:after="0" w:line="117" w:lineRule="exact"/>
        <w:rPr>
          <w:rFonts w:ascii="Arial" w:cs="Arial" w:eastAsia="Arial" w:hAnsi="Arial"/>
          <w:sz w:val="18"/>
          <w:szCs w:val="18"/>
          <w:color w:val="auto"/>
        </w:rPr>
      </w:pPr>
    </w:p>
    <w:p>
      <w:pPr>
        <w:ind w:left="420" w:right="740" w:firstLine="419"/>
        <w:spacing w:after="0" w:line="277" w:lineRule="auto"/>
        <w:tabs>
          <w:tab w:leader="none" w:pos="1193"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current name and address of such Proposing Person, including, if applicable, their name and address as they appear on the Corporation’s stock ledger, if different;</w:t>
      </w:r>
    </w:p>
    <w:p>
      <w:pPr>
        <w:spacing w:after="0" w:line="62" w:lineRule="exact"/>
        <w:rPr>
          <w:rFonts w:ascii="Arial" w:cs="Arial" w:eastAsia="Arial" w:hAnsi="Arial"/>
          <w:sz w:val="18"/>
          <w:szCs w:val="18"/>
          <w:color w:val="auto"/>
        </w:rPr>
      </w:pPr>
    </w:p>
    <w:p>
      <w:pPr>
        <w:ind w:left="420" w:right="140" w:firstLine="419"/>
        <w:spacing w:after="0" w:line="263" w:lineRule="auto"/>
        <w:tabs>
          <w:tab w:leader="none" w:pos="1243"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class or series and number of shares of stock of the Corporation that are directly or indirectly owned of record or beneficially owned by such Proposing Person, including any shares of any class or series of the Corporation as to which such Proposing Person has a right to acquire beneficial ownership at any time in the future;</w:t>
      </w:r>
    </w:p>
    <w:p>
      <w:pPr>
        <w:spacing w:after="0" w:line="75" w:lineRule="exact"/>
        <w:rPr>
          <w:rFonts w:ascii="Arial" w:cs="Arial" w:eastAsia="Arial" w:hAnsi="Arial"/>
          <w:sz w:val="18"/>
          <w:szCs w:val="18"/>
          <w:color w:val="auto"/>
        </w:rPr>
      </w:pPr>
    </w:p>
    <w:p>
      <w:pPr>
        <w:ind w:left="420" w:firstLine="419"/>
        <w:spacing w:after="0" w:line="253" w:lineRule="auto"/>
        <w:tabs>
          <w:tab w:leader="none" w:pos="1293" w:val="left"/>
        </w:tabs>
        <w:numPr>
          <w:ilvl w:val="1"/>
          <w:numId w:val="87"/>
        </w:numPr>
        <w:rPr>
          <w:rFonts w:ascii="Arial" w:cs="Arial" w:eastAsia="Arial" w:hAnsi="Arial"/>
          <w:sz w:val="18"/>
          <w:szCs w:val="18"/>
          <w:color w:val="auto"/>
        </w:rPr>
      </w:pPr>
      <w:r>
        <w:rPr>
          <w:rFonts w:ascii="Arial" w:cs="Arial" w:eastAsia="Arial" w:hAnsi="Arial"/>
          <w:sz w:val="18"/>
          <w:szCs w:val="18"/>
          <w:color w:val="auto"/>
        </w:rPr>
        <w:t>whether and the extent to which any derivative interest in the Corporation’s equity securities (including without limitation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shares of the Corporation or otherwise, and any cash-settled equity swap, total return swap, synthetic equity position or similar derivative arrangement (any of the foregoing, a “</w:t>
      </w:r>
      <w:r>
        <w:rPr>
          <w:rFonts w:ascii="Arial" w:cs="Arial" w:eastAsia="Arial" w:hAnsi="Arial"/>
          <w:sz w:val="18"/>
          <w:szCs w:val="18"/>
          <w:b w:val="1"/>
          <w:bCs w:val="1"/>
          <w:i w:val="1"/>
          <w:iCs w:val="1"/>
          <w:color w:val="auto"/>
        </w:rPr>
        <w:t>Derivative Instrument</w:t>
      </w:r>
      <w:r>
        <w:rPr>
          <w:rFonts w:ascii="Arial" w:cs="Arial" w:eastAsia="Arial" w:hAnsi="Arial"/>
          <w:sz w:val="18"/>
          <w:szCs w:val="18"/>
          <w:color w:val="auto"/>
        </w:rPr>
        <w:t>”), as well as any rights to dividends on the shares of any class or series of shares of the Corporation that are separated or separable from the underlying shares of the Corporation) or any short interest in any security of the Corporation (for purposes of this Bylaw a person shall be deemed to have a short interest in a security if such person directly or indirectly, through any contract,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60" w:top="274" w:right="479" w:bottom="1440" w:gutter="0" w:footer="0" w:header="0"/>
        </w:sectPr>
      </w:pPr>
    </w:p>
    <w:bookmarkStart w:id="132" w:name="page133"/>
    <w:bookmarkEnd w:id="132"/>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arrangement, understanding, relationship or otherwise, has the opportunity to profit or share in any profit derived from any increase or decrease in the value of the subject security, including through performance-related fees) is held directly or indirectly by or for the benefit of such Proposing Person, including without limitation whether and the extent to which any ongoing hedging or other transaction or series of transactions has been entered into by or on behalf of, or any other agreement, arrangement or understanding (including without limitation any short position or any borrowing or lending of shares) has been made, the effect or intent of which is to mitigate loss to or manage risk or benefit of share price changes for, or to increase or decrease the voting power of, such Proposing Person with respect to any share of stock of the Corporation (any of the foregoing, a “</w:t>
      </w:r>
      <w:r>
        <w:rPr>
          <w:rFonts w:ascii="Arial" w:cs="Arial" w:eastAsia="Arial" w:hAnsi="Arial"/>
          <w:sz w:val="18"/>
          <w:szCs w:val="18"/>
          <w:b w:val="1"/>
          <w:bCs w:val="1"/>
          <w:i w:val="1"/>
          <w:iCs w:val="1"/>
          <w:color w:val="auto"/>
        </w:rPr>
        <w:t>Short Interest</w:t>
      </w:r>
      <w:r>
        <w:rPr>
          <w:rFonts w:ascii="Arial" w:cs="Arial" w:eastAsia="Arial" w:hAnsi="Arial"/>
          <w:sz w:val="18"/>
          <w:szCs w:val="18"/>
          <w:color w:val="auto"/>
        </w:rPr>
        <w:t>”);</w:t>
      </w:r>
    </w:p>
    <w:p>
      <w:pPr>
        <w:spacing w:after="0" w:line="87" w:lineRule="exact"/>
        <w:rPr>
          <w:sz w:val="20"/>
          <w:szCs w:val="20"/>
          <w:color w:val="auto"/>
        </w:rPr>
      </w:pPr>
    </w:p>
    <w:p>
      <w:pPr>
        <w:ind w:right="240" w:firstLine="419"/>
        <w:spacing w:after="0" w:line="263" w:lineRule="auto"/>
        <w:tabs>
          <w:tab w:leader="none" w:pos="863"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proportionate interest in shares of the Corporation or Derivative Instruments held, directly or indirectly, by a general or limited partnership in which such Proposing Person or any of its respective affiliates or associates is a general partner or, directly or indirectly, beneficially owns an interest in a general partner of such general or limited partnership;</w:t>
      </w:r>
    </w:p>
    <w:p>
      <w:pPr>
        <w:spacing w:after="0" w:line="75" w:lineRule="exact"/>
        <w:rPr>
          <w:rFonts w:ascii="Arial" w:cs="Arial" w:eastAsia="Arial" w:hAnsi="Arial"/>
          <w:sz w:val="18"/>
          <w:szCs w:val="18"/>
          <w:color w:val="auto"/>
        </w:rPr>
      </w:pPr>
    </w:p>
    <w:p>
      <w:pPr>
        <w:ind w:right="200" w:firstLine="419"/>
        <w:spacing w:after="0" w:line="263" w:lineRule="auto"/>
        <w:tabs>
          <w:tab w:leader="none" w:pos="813"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direct or indirect material interest in any material contract or agreement with the Corporation, any affiliate of the Corporation or any Competitor (as defined below) (including, in any such case, any employment agreement, collective bargaining agreement or consulting agreement);</w:t>
      </w:r>
    </w:p>
    <w:p>
      <w:pPr>
        <w:spacing w:after="0" w:line="75" w:lineRule="exact"/>
        <w:rPr>
          <w:rFonts w:ascii="Arial" w:cs="Arial" w:eastAsia="Arial" w:hAnsi="Arial"/>
          <w:sz w:val="18"/>
          <w:szCs w:val="18"/>
          <w:color w:val="auto"/>
        </w:rPr>
      </w:pPr>
    </w:p>
    <w:p>
      <w:pPr>
        <w:ind w:right="360" w:firstLine="419"/>
        <w:spacing w:after="0" w:line="277" w:lineRule="auto"/>
        <w:tabs>
          <w:tab w:leader="none" w:pos="863"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significant equity interests or any Derivative Instruments or Short Interests in any Competitor held by such Proposing Person and/or any of its respective affiliates or associates;</w:t>
      </w:r>
    </w:p>
    <w:p>
      <w:pPr>
        <w:spacing w:after="0" w:line="62" w:lineRule="exact"/>
        <w:rPr>
          <w:rFonts w:ascii="Arial" w:cs="Arial" w:eastAsia="Arial" w:hAnsi="Arial"/>
          <w:sz w:val="18"/>
          <w:szCs w:val="18"/>
          <w:color w:val="auto"/>
        </w:rPr>
      </w:pPr>
    </w:p>
    <w:p>
      <w:pPr>
        <w:ind w:firstLine="419"/>
        <w:spacing w:after="0" w:line="277" w:lineRule="auto"/>
        <w:tabs>
          <w:tab w:leader="none" w:pos="913"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other material relationship between such Proposing Person, on the one hand, and the Corporation, any affiliate of the Corporation or any Competitor, on the other hand;</w:t>
      </w:r>
    </w:p>
    <w:p>
      <w:pPr>
        <w:spacing w:after="0" w:line="62" w:lineRule="exact"/>
        <w:rPr>
          <w:rFonts w:ascii="Arial" w:cs="Arial" w:eastAsia="Arial" w:hAnsi="Arial"/>
          <w:sz w:val="18"/>
          <w:szCs w:val="18"/>
          <w:color w:val="auto"/>
        </w:rPr>
      </w:pPr>
    </w:p>
    <w:p>
      <w:pPr>
        <w:ind w:firstLine="419"/>
        <w:spacing w:after="0" w:line="263" w:lineRule="auto"/>
        <w:tabs>
          <w:tab w:leader="none" w:pos="963" w:val="left"/>
        </w:tabs>
        <w:numPr>
          <w:ilvl w:val="0"/>
          <w:numId w:val="88"/>
        </w:numPr>
        <w:rPr>
          <w:rFonts w:ascii="Arial" w:cs="Arial" w:eastAsia="Arial" w:hAnsi="Arial"/>
          <w:sz w:val="18"/>
          <w:szCs w:val="18"/>
          <w:color w:val="auto"/>
        </w:rPr>
      </w:pPr>
      <w:r>
        <w:rPr>
          <w:rFonts w:ascii="Arial" w:cs="Arial" w:eastAsia="Arial" w:hAnsi="Arial"/>
          <w:sz w:val="18"/>
          <w:szCs w:val="18"/>
          <w:color w:val="auto"/>
        </w:rPr>
        <w:t>all information that would be required to be set forth in a Schedule 13D filed pursuant to Rule 13d-1(a) or an amendment pursuant to Rule 13d-2(a) if such a statement were required to be filed under the Exchange Act and the rules and regulations promulgated thereunder by such Proposing Person and/or any of its respective affiliates or associates;</w:t>
      </w:r>
    </w:p>
    <w:p>
      <w:pPr>
        <w:spacing w:after="0" w:line="75" w:lineRule="exact"/>
        <w:rPr>
          <w:rFonts w:ascii="Arial" w:cs="Arial" w:eastAsia="Arial" w:hAnsi="Arial"/>
          <w:sz w:val="18"/>
          <w:szCs w:val="18"/>
          <w:color w:val="auto"/>
        </w:rPr>
      </w:pPr>
    </w:p>
    <w:p>
      <w:pPr>
        <w:jc w:val="both"/>
        <w:ind w:right="260" w:firstLine="419"/>
        <w:spacing w:after="0" w:line="259" w:lineRule="auto"/>
        <w:tabs>
          <w:tab w:leader="none" w:pos="863"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(or any successor provision) under the Exchange Act and the rules and regulations thereunder;</w:t>
      </w:r>
    </w:p>
    <w:p>
      <w:pPr>
        <w:spacing w:after="0" w:line="78" w:lineRule="exact"/>
        <w:rPr>
          <w:rFonts w:ascii="Arial" w:cs="Arial" w:eastAsia="Arial" w:hAnsi="Arial"/>
          <w:sz w:val="18"/>
          <w:szCs w:val="18"/>
          <w:color w:val="auto"/>
        </w:rPr>
      </w:pPr>
    </w:p>
    <w:p>
      <w:pPr>
        <w:ind w:left="800" w:hanging="381"/>
        <w:spacing w:after="0"/>
        <w:tabs>
          <w:tab w:leader="none" w:pos="8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such Proposing Person’s written consent to the public disclosure of information provided to the Corporation pursuant to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1.12;</w:t>
      </w:r>
    </w:p>
    <w:p>
      <w:pPr>
        <w:spacing w:after="0" w:line="103" w:lineRule="exact"/>
        <w:rPr>
          <w:sz w:val="20"/>
          <w:szCs w:val="20"/>
          <w:color w:val="auto"/>
        </w:rPr>
      </w:pPr>
    </w:p>
    <w:p>
      <w:pPr>
        <w:jc w:val="both"/>
        <w:ind w:firstLine="419"/>
        <w:spacing w:after="0" w:line="311" w:lineRule="auto"/>
        <w:tabs>
          <w:tab w:leader="none" w:pos="863" w:val="left"/>
        </w:tabs>
        <w:numPr>
          <w:ilvl w:val="0"/>
          <w:numId w:val="89"/>
        </w:numPr>
        <w:rPr>
          <w:rFonts w:ascii="Arial" w:cs="Arial" w:eastAsia="Arial" w:hAnsi="Arial"/>
          <w:sz w:val="16"/>
          <w:szCs w:val="16"/>
          <w:color w:val="auto"/>
        </w:rPr>
      </w:pPr>
      <w:r>
        <w:rPr>
          <w:rFonts w:ascii="Arial" w:cs="Arial" w:eastAsia="Arial" w:hAnsi="Arial"/>
          <w:sz w:val="16"/>
          <w:szCs w:val="16"/>
          <w:color w:val="auto"/>
        </w:rPr>
        <w:t>a complete written description of any agreement, arrangement or understanding (whether oral or in writing) (including any knowledge that another person or entity is Acting in Concert (as defined in Section 1.12.4(c)) with such Proposing Person) between or among such Proposing Person, any of its respective affiliates or associates and any other person Acting in Concert with any of the foregoing persons;</w:t>
      </w:r>
    </w:p>
    <w:p>
      <w:pPr>
        <w:spacing w:after="0" w:line="8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20"/>
          </w:cols>
          <w:pgMar w:left="880" w:top="274" w:right="499" w:bottom="1440" w:gutter="0" w:footer="0" w:header="0"/>
        </w:sectPr>
      </w:pPr>
    </w:p>
    <w:bookmarkStart w:id="133" w:name="page134"/>
    <w:bookmarkEnd w:id="133"/>
    <w:p>
      <w:pPr>
        <w:ind w:left="440" w:right="360" w:firstLine="419"/>
        <w:spacing w:after="0" w:line="277" w:lineRule="auto"/>
        <w:tabs>
          <w:tab w:leader="none" w:pos="1353" w:val="left"/>
        </w:tabs>
        <w:numPr>
          <w:ilvl w:val="0"/>
          <w:numId w:val="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representation that the Record Stockholder is a holder of record of stock of the Corporation entitled to vote at such meeting and intends to appear in person or by proxy at the meeting to propose such business or nomination;</w:t>
      </w:r>
    </w:p>
    <w:p>
      <w:pPr>
        <w:spacing w:after="0" w:line="62" w:lineRule="exact"/>
        <w:rPr>
          <w:rFonts w:ascii="Arial" w:cs="Arial" w:eastAsia="Arial" w:hAnsi="Arial"/>
          <w:sz w:val="18"/>
          <w:szCs w:val="18"/>
          <w:color w:val="auto"/>
        </w:rPr>
      </w:pPr>
    </w:p>
    <w:p>
      <w:pPr>
        <w:ind w:left="440" w:right="40" w:firstLine="419"/>
        <w:spacing w:after="0" w:line="279" w:lineRule="auto"/>
        <w:tabs>
          <w:tab w:leader="none" w:pos="1403" w:val="left"/>
        </w:tabs>
        <w:numPr>
          <w:ilvl w:val="0"/>
          <w:numId w:val="90"/>
        </w:numPr>
        <w:rPr>
          <w:rFonts w:ascii="Arial" w:cs="Arial" w:eastAsia="Arial" w:hAnsi="Arial"/>
          <w:sz w:val="17"/>
          <w:szCs w:val="17"/>
          <w:color w:val="auto"/>
        </w:rPr>
      </w:pPr>
      <w:r>
        <w:rPr>
          <w:rFonts w:ascii="Arial" w:cs="Arial" w:eastAsia="Arial" w:hAnsi="Arial"/>
          <w:sz w:val="17"/>
          <w:szCs w:val="17"/>
          <w:color w:val="auto"/>
        </w:rPr>
        <w:t>a representation whether such Proposing Person intends (or is part of a group that intends) to deliver a proxy statement or form of proxy to holders of, in the case of a proposal, at least the percentage of the Corporation’s voting shares required under applicable law to carry the proposal or, in the case of a nomination or nominations, a sufficient number of holders of the Corporation’s voting shares to elect such nominee or nominees (an affirmative statement of such intent being a “</w:t>
      </w:r>
      <w:r>
        <w:rPr>
          <w:rFonts w:ascii="Arial" w:cs="Arial" w:eastAsia="Arial" w:hAnsi="Arial"/>
          <w:sz w:val="17"/>
          <w:szCs w:val="17"/>
          <w:b w:val="1"/>
          <w:bCs w:val="1"/>
          <w:i w:val="1"/>
          <w:iCs w:val="1"/>
          <w:color w:val="auto"/>
        </w:rPr>
        <w:t>Solicitation Notice</w:t>
      </w:r>
      <w:r>
        <w:rPr>
          <w:rFonts w:ascii="Arial" w:cs="Arial" w:eastAsia="Arial" w:hAnsi="Arial"/>
          <w:sz w:val="17"/>
          <w:szCs w:val="17"/>
          <w:color w:val="auto"/>
        </w:rPr>
        <w:t>”); and</w:t>
      </w:r>
    </w:p>
    <w:p>
      <w:pPr>
        <w:spacing w:after="0" w:line="63" w:lineRule="exact"/>
        <w:rPr>
          <w:rFonts w:ascii="Arial" w:cs="Arial" w:eastAsia="Arial" w:hAnsi="Arial"/>
          <w:sz w:val="17"/>
          <w:szCs w:val="17"/>
          <w:color w:val="auto"/>
        </w:rPr>
      </w:pPr>
    </w:p>
    <w:p>
      <w:pPr>
        <w:ind w:left="440" w:firstLine="419"/>
        <w:spacing w:after="0" w:line="277" w:lineRule="auto"/>
        <w:tabs>
          <w:tab w:leader="none" w:pos="1393"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proxy, contract, arrangement or relationship pursuant to which the Proposing Person has a right to vote, directly or indirectly, any shares of any security of the Corporation.</w:t>
      </w:r>
    </w:p>
    <w:p>
      <w:pPr>
        <w:spacing w:after="0" w:line="170" w:lineRule="exact"/>
        <w:rPr>
          <w:sz w:val="20"/>
          <w:szCs w:val="20"/>
          <w:color w:val="auto"/>
        </w:rPr>
      </w:pPr>
    </w:p>
    <w:p>
      <w:pPr>
        <w:jc w:val="both"/>
        <w:ind w:right="100" w:firstLine="440"/>
        <w:spacing w:after="0" w:line="286" w:lineRule="auto"/>
        <w:rPr>
          <w:sz w:val="20"/>
          <w:szCs w:val="20"/>
          <w:color w:val="auto"/>
        </w:rPr>
      </w:pPr>
      <w:r>
        <w:rPr>
          <w:rFonts w:ascii="Arial" w:cs="Arial" w:eastAsia="Arial" w:hAnsi="Arial"/>
          <w:sz w:val="17"/>
          <w:szCs w:val="17"/>
          <w:color w:val="auto"/>
        </w:rPr>
        <w:t>The disclosures to be made pursuant to the foregoing clauses (ii), (iii), (iv) and (vi) shall not include any information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w:t>
      </w:r>
    </w:p>
    <w:p>
      <w:pPr>
        <w:spacing w:after="0" w:line="165" w:lineRule="exact"/>
        <w:rPr>
          <w:sz w:val="20"/>
          <w:szCs w:val="20"/>
          <w:color w:val="auto"/>
        </w:rPr>
      </w:pPr>
    </w:p>
    <w:p>
      <w:pPr>
        <w:ind w:right="20" w:firstLine="436"/>
        <w:spacing w:after="0" w:line="268" w:lineRule="auto"/>
        <w:tabs>
          <w:tab w:leader="none" w:pos="79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 stockholder providing written notice required by this Section 1.12 shall update such notice in writing, if necessary, so that the information provided or required to be provided in such notice is true and correct in all material respects as of (i) the record date for determining the stockholders entitled to notice of the meeting and (ii) 5:00 p.m. Eastern Time on the tenth (10th) business day prior to the meeting or any adjournment or postponement thereof. In the case of an update pursuant to clause (i) of the foregoing sentence, such update shall be received by the Secretary of the Corporation at the principal executive office of the Corporation not later than five (5) business days after the record date for determining the stockholders entitled to notice of the meeting, and in the case of an update and supplement pursuant to clause (ii) of the foregoing sentence, such update and supplement shall be received by the Secretary of the Corporation at the principal executive office of the Corporation not later than eight (8) business days prior to the date for the meeting and, if practicable, any adjournment or postponement thereof (and, if not practicable, on the first practicable date prior to the date to which the meeting has been adjourned or postponed). For the avoidance of doubt, the obligation to update as set forth in this paragraph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nomination or to submit any new proposal, including by changing or adding nominees, matters, business and/or resolutions proposed to be brought before a meeting of the stockholders.</w:t>
      </w:r>
    </w:p>
    <w:p>
      <w:pPr>
        <w:spacing w:after="0" w:line="186" w:lineRule="exact"/>
        <w:rPr>
          <w:rFonts w:ascii="Arial" w:cs="Arial" w:eastAsia="Arial" w:hAnsi="Arial"/>
          <w:sz w:val="17"/>
          <w:szCs w:val="17"/>
          <w:color w:val="auto"/>
        </w:rPr>
      </w:pPr>
    </w:p>
    <w:p>
      <w:pPr>
        <w:ind w:right="60" w:firstLine="436"/>
        <w:spacing w:after="0" w:line="259" w:lineRule="auto"/>
        <w:tabs>
          <w:tab w:leader="none" w:pos="830" w:val="left"/>
        </w:tabs>
        <w:numPr>
          <w:ilvl w:val="0"/>
          <w:numId w:val="91"/>
        </w:numPr>
        <w:rPr>
          <w:rFonts w:ascii="Arial" w:cs="Arial" w:eastAsia="Arial" w:hAnsi="Arial"/>
          <w:sz w:val="18"/>
          <w:szCs w:val="18"/>
          <w:color w:val="auto"/>
        </w:rPr>
      </w:pPr>
      <w:r>
        <w:rPr>
          <w:rFonts w:ascii="Arial" w:cs="Arial" w:eastAsia="Arial" w:hAnsi="Arial"/>
          <w:sz w:val="18"/>
          <w:szCs w:val="18"/>
          <w:color w:val="auto"/>
        </w:rPr>
        <w:t>Notwithstanding anything in Section 1.12 or any other provision of these Bylaws to the contrary, any person who has been determined by a majority of the Whole Board to have violated Section 2.11 of these Bylaws or a Board Confidentiality Policy (as defined below) while serving as a director of the Corporation in the preceding five (5) years shall be ineligible to be nominated or be qualified to serve as a member of the Board, absent a prior waiver for such nomination or qualification approved by two-thirds of the Whole Board.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34" w:name="page135"/>
    <w:bookmarkEnd w:id="134"/>
    <w:p>
      <w:pPr>
        <w:ind w:left="4" w:firstLine="4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1.12.2 </w:t>
      </w:r>
      <w:r>
        <w:rPr>
          <w:rFonts w:ascii="Arial" w:cs="Arial" w:eastAsia="Arial" w:hAnsi="Arial"/>
          <w:sz w:val="16"/>
          <w:szCs w:val="16"/>
          <w:u w:val="single" w:color="auto"/>
          <w:color w:val="auto"/>
        </w:rPr>
        <w:t>Submission of Questionnaire, Representation and Agreement</w:t>
      </w:r>
      <w:r>
        <w:rPr>
          <w:rFonts w:ascii="Arial" w:cs="Arial" w:eastAsia="Arial" w:hAnsi="Arial"/>
          <w:sz w:val="16"/>
          <w:szCs w:val="16"/>
          <w:color w:val="auto"/>
        </w:rPr>
        <w:t>. To be eligible to be a nominee of any stockholder for election or reelection as a director of the Corporation, the person proposed to be nominated must deliver (in accordance with the time periods prescribed for delivery of notice under Section 1.12 of these Bylaws) to the Secretary of the Corporation at the principal executive offices of the Corporation a completed and signed questionnaire in the form required by the Corporation (which form the stockholder shall request in writing from the Secretary of the Corporation and which the Secretary shall provide to such stockholder within ten days of receiving such request) with respect to the background and qualification of such person to serve as a director of the Corporation and the background of any other person or entity on whose behalf, directly or indirectly, the nomination is being made and a signed representation and agreement (in the form available from the Secretary upon written request) that such person: (a) is not and will not become a party to (i) any agreement, arrangement or understanding with, and has not given any commitment or assurance to, any person or entity as to how such person, if elected as a director of the Corporation, will act or vote on any issue or question (a “</w:t>
      </w:r>
      <w:r>
        <w:rPr>
          <w:rFonts w:ascii="Arial" w:cs="Arial" w:eastAsia="Arial" w:hAnsi="Arial"/>
          <w:sz w:val="16"/>
          <w:szCs w:val="16"/>
          <w:b w:val="1"/>
          <w:bCs w:val="1"/>
          <w:i w:val="1"/>
          <w:iCs w:val="1"/>
          <w:color w:val="auto"/>
        </w:rPr>
        <w:t>Voting Commitment</w:t>
      </w:r>
      <w:r>
        <w:rPr>
          <w:rFonts w:ascii="Arial" w:cs="Arial" w:eastAsia="Arial" w:hAnsi="Arial"/>
          <w:sz w:val="16"/>
          <w:szCs w:val="16"/>
          <w:color w:val="auto"/>
        </w:rPr>
        <w:t>”) that has not been disclosed to the Corporation or (ii) any Voting Commitment that could limit or interfere with such person’s ability to comply, if elected as a director of the Corporation, with such person’s fiduciary duties under applicable law, (b) is not and will not become a party to any Compensation Arrangement (as defined below) that has not been disclosed therein, (c) if elected as a director of the Corporation, will comply with all informational and similar requirements of applicable insurance policies and laws and regulations in connection with service or action as a director of the Corporation,</w:t>
      </w:r>
    </w:p>
    <w:p>
      <w:pPr>
        <w:spacing w:after="0" w:line="2" w:lineRule="exact"/>
        <w:rPr>
          <w:sz w:val="20"/>
          <w:szCs w:val="20"/>
          <w:color w:val="auto"/>
        </w:rPr>
      </w:pPr>
    </w:p>
    <w:p>
      <w:pPr>
        <w:ind w:left="4" w:right="20" w:hanging="4"/>
        <w:spacing w:after="0" w:line="292" w:lineRule="auto"/>
        <w:tabs>
          <w:tab w:leader="none" w:pos="259" w:val="left"/>
        </w:tabs>
        <w:numPr>
          <w:ilvl w:val="0"/>
          <w:numId w:val="92"/>
        </w:numPr>
        <w:rPr>
          <w:rFonts w:ascii="Arial" w:cs="Arial" w:eastAsia="Arial" w:hAnsi="Arial"/>
          <w:sz w:val="16"/>
          <w:szCs w:val="16"/>
          <w:color w:val="auto"/>
        </w:rPr>
      </w:pPr>
      <w:r>
        <w:rPr>
          <w:rFonts w:ascii="Arial" w:cs="Arial" w:eastAsia="Arial" w:hAnsi="Arial"/>
          <w:sz w:val="16"/>
          <w:szCs w:val="16"/>
          <w:color w:val="auto"/>
        </w:rPr>
        <w:t>if elected as a director of the Corporation, will comply with all corporate governance, conflict of interest, stock ownership requirements, confidentiality and trading policies and guidelines of the Corporation publicly disclosed from time to time, (e) if elected as a director of the Corporation, will act in the best interests of the Corporation and its stockholders and not in the interests of individual constituencies, (f) consents to being named as a nominee in the Corporation’s proxy statement pursuant to Rule 14a-4(d) under the Exchange Act and any associated proxy card of the Corporation and agrees to serve if elected as a director and (g) intends to serve as a director for the full term for which such individual is to stand for election.</w:t>
      </w:r>
    </w:p>
    <w:p>
      <w:pPr>
        <w:spacing w:after="0" w:line="162" w:lineRule="exact"/>
        <w:rPr>
          <w:sz w:val="20"/>
          <w:szCs w:val="20"/>
          <w:color w:val="auto"/>
        </w:rPr>
      </w:pPr>
    </w:p>
    <w:p>
      <w:pPr>
        <w:ind w:left="4" w:firstLine="440"/>
        <w:spacing w:after="0" w:line="289" w:lineRule="auto"/>
        <w:rPr>
          <w:sz w:val="20"/>
          <w:szCs w:val="20"/>
          <w:color w:val="auto"/>
        </w:rPr>
      </w:pPr>
      <w:r>
        <w:rPr>
          <w:rFonts w:ascii="Arial" w:cs="Arial" w:eastAsia="Arial" w:hAnsi="Arial"/>
          <w:sz w:val="16"/>
          <w:szCs w:val="16"/>
          <w:color w:val="auto"/>
        </w:rPr>
        <w:t xml:space="preserve">1.12.3 </w:t>
      </w:r>
      <w:r>
        <w:rPr>
          <w:rFonts w:ascii="Arial" w:cs="Arial" w:eastAsia="Arial" w:hAnsi="Arial"/>
          <w:sz w:val="16"/>
          <w:szCs w:val="16"/>
          <w:u w:val="single" w:color="auto"/>
          <w:color w:val="auto"/>
        </w:rPr>
        <w:t>Special Meetings of Stockholders</w:t>
      </w:r>
      <w:r>
        <w:rPr>
          <w:rFonts w:ascii="Arial" w:cs="Arial" w:eastAsia="Arial" w:hAnsi="Arial"/>
          <w:sz w:val="16"/>
          <w:szCs w:val="16"/>
          <w:color w:val="auto"/>
        </w:rPr>
        <w:t xml:space="preserve">. Only such business shall be conducted at a special meeting of stockholders as shall have been brought before the meeting pursuant to the Corporation’s notice of such meeting. Nominations of persons for election to the Board may be made at a special meeting of stockholders at which directors are to be elected pursuant to the Corporation’s notice of such meeting (a) by or at the direction of the Board or any committee thereof or (b)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the Board has determined that directors shall be elected at such meeting, by any stockholder of the Corporation who is a stockholder of record at the time of giving of notice of the special meeting, who shall be entitled to vote at the meeting and who complies with the notice and other procedures set forth in this Section 1.12 in all applicable respects. In the event the Corporation calls a special meeting of stockholders for the purpose of electing one or more directors to the Board, any such stockholder may nominate a person or persons (as the case may be), for election to such position(s) as specified in the Corporation’s notice of meeting, if the stockholder’s notice required by Section 1.12.1(b) of these Bylaws shall be delivered to the Secretary of the Corporation at the principal executive offices of the Corporation (i) no earlier than</w:t>
      </w:r>
    </w:p>
    <w:p>
      <w:pPr>
        <w:spacing w:after="0" w:line="9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135" w:name="page136"/>
    <w:bookmarkEnd w:id="135"/>
    <w:p>
      <w:pPr>
        <w:ind w:left="4"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one hundred and fifth (105th) day prior to such special meeting and (ii) no later than 5:00 p.m. Eastern Time on the later of the seventy-fifth (75th) day prior to such special meeting or the tenth (10th) day following the day on which Public Announcement is first made of the date of the special meeting and of the nominees proposed by the Board to be elected at such meeting. In no event shall an adjournment or postponement of a special meeting commence a new time period (or extend any time period) for providing such notice.</w:t>
      </w:r>
    </w:p>
    <w:p>
      <w:pPr>
        <w:spacing w:after="0" w:line="187" w:lineRule="exact"/>
        <w:rPr>
          <w:sz w:val="20"/>
          <w:szCs w:val="20"/>
          <w:color w:val="auto"/>
        </w:rPr>
      </w:pPr>
    </w:p>
    <w:p>
      <w:pPr>
        <w:ind w:left="444"/>
        <w:spacing w:after="0"/>
        <w:tabs>
          <w:tab w:leader="none" w:pos="1044" w:val="left"/>
        </w:tabs>
        <w:rPr>
          <w:sz w:val="20"/>
          <w:szCs w:val="20"/>
          <w:color w:val="auto"/>
        </w:rPr>
      </w:pPr>
      <w:r>
        <w:rPr>
          <w:rFonts w:ascii="Arial" w:cs="Arial" w:eastAsia="Arial" w:hAnsi="Arial"/>
          <w:sz w:val="18"/>
          <w:szCs w:val="18"/>
          <w:color w:val="auto"/>
        </w:rPr>
        <w:t>1.12.4</w:t>
      </w:r>
      <w:r>
        <w:rPr>
          <w:sz w:val="20"/>
          <w:szCs w:val="20"/>
          <w:color w:val="auto"/>
        </w:rPr>
        <w:tab/>
      </w:r>
      <w:r>
        <w:rPr>
          <w:rFonts w:ascii="Arial" w:cs="Arial" w:eastAsia="Arial" w:hAnsi="Arial"/>
          <w:sz w:val="16"/>
          <w:szCs w:val="16"/>
          <w:u w:val="single" w:color="auto"/>
          <w:color w:val="auto"/>
        </w:rPr>
        <w:t>General</w:t>
      </w:r>
      <w:r>
        <w:rPr>
          <w:rFonts w:ascii="Arial" w:cs="Arial" w:eastAsia="Arial" w:hAnsi="Arial"/>
          <w:sz w:val="16"/>
          <w:szCs w:val="16"/>
          <w:color w:val="auto"/>
        </w:rPr>
        <w:t>.</w:t>
      </w:r>
    </w:p>
    <w:p>
      <w:pPr>
        <w:spacing w:after="0" w:line="225" w:lineRule="exact"/>
        <w:rPr>
          <w:sz w:val="20"/>
          <w:szCs w:val="20"/>
          <w:color w:val="auto"/>
        </w:rPr>
      </w:pPr>
    </w:p>
    <w:p>
      <w:pPr>
        <w:ind w:left="4" w:right="20" w:firstLine="436"/>
        <w:spacing w:after="0" w:line="288" w:lineRule="auto"/>
        <w:tabs>
          <w:tab w:leader="none" w:pos="824" w:val="left"/>
        </w:tabs>
        <w:numPr>
          <w:ilvl w:val="1"/>
          <w:numId w:val="93"/>
        </w:numPr>
        <w:rPr>
          <w:rFonts w:ascii="Arial" w:cs="Arial" w:eastAsia="Arial" w:hAnsi="Arial"/>
          <w:sz w:val="16"/>
          <w:szCs w:val="16"/>
          <w:color w:val="auto"/>
        </w:rPr>
      </w:pPr>
      <w:r>
        <w:rPr>
          <w:rFonts w:ascii="Arial" w:cs="Arial" w:eastAsia="Arial" w:hAnsi="Arial"/>
          <w:sz w:val="16"/>
          <w:szCs w:val="16"/>
          <w:color w:val="auto"/>
        </w:rPr>
        <w:t>Except as otherwise expressly provided in any applicable rule or regulation promulgated under the Exchange Act, only such persons who are nominated in accordance with the procedures set forth in this Section 1.12 shall be eligible to be elected at a meeting of stockholders and serve as directors and only such business shall be conducted at a meeting of stockholders as shall have been brought before the meeting in accordance with the procedures set forth in this Section 1.12. Except as otherwise provided by law or these Bylaws, the chairperson of the meeting shall have the power and duty to determine whether a nomination or any other business proposed to be brought before the meeting was made or proposed, as the case may be, in accordance with the procedures set forth in this Section 1.12 and, if any proposed nomination or business is not in compliance herewith, to declare that such defective proposal or nomination shall be disregarded. Notwithstanding the foregoing provisions of this Section 1.12, unless otherwise required by law, if the stockholder (or a Qualified Representative of the stockholder (as defined below))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w:t>
      </w:r>
    </w:p>
    <w:p>
      <w:pPr>
        <w:spacing w:after="0" w:line="168" w:lineRule="exact"/>
        <w:rPr>
          <w:rFonts w:ascii="Arial" w:cs="Arial" w:eastAsia="Arial" w:hAnsi="Arial"/>
          <w:sz w:val="16"/>
          <w:szCs w:val="16"/>
          <w:color w:val="auto"/>
        </w:rPr>
      </w:pPr>
    </w:p>
    <w:p>
      <w:pPr>
        <w:ind w:left="4" w:firstLine="436"/>
        <w:spacing w:after="0" w:line="287" w:lineRule="auto"/>
        <w:tabs>
          <w:tab w:leader="none" w:pos="834" w:val="left"/>
        </w:tabs>
        <w:numPr>
          <w:ilvl w:val="1"/>
          <w:numId w:val="93"/>
        </w:numPr>
        <w:rPr>
          <w:rFonts w:ascii="Arial" w:cs="Arial" w:eastAsia="Arial" w:hAnsi="Arial"/>
          <w:sz w:val="16"/>
          <w:szCs w:val="16"/>
          <w:color w:val="auto"/>
        </w:rPr>
      </w:pPr>
      <w:r>
        <w:rPr>
          <w:rFonts w:ascii="Arial" w:cs="Arial" w:eastAsia="Arial" w:hAnsi="Arial"/>
          <w:sz w:val="16"/>
          <w:szCs w:val="16"/>
          <w:color w:val="auto"/>
        </w:rPr>
        <w:t>Notwithstanding the foregoing provisions of this Section 1.12, a stockholder shall also comply with all applicable requirements of the Exchange Act and the rules and regulations thereunder with respect to the matters set forth herein. Nothing in this Section 1.12 shall be deemed to affect any rights of (a) stockholders to request inclusion of proposals in the Corporation’s proxy statement pursuant to Rule 14a-8 under the Exchange Act or</w:t>
      </w:r>
    </w:p>
    <w:p>
      <w:pPr>
        <w:spacing w:after="0" w:line="2" w:lineRule="exact"/>
        <w:rPr>
          <w:rFonts w:ascii="Arial" w:cs="Arial" w:eastAsia="Arial" w:hAnsi="Arial"/>
          <w:sz w:val="16"/>
          <w:szCs w:val="16"/>
          <w:color w:val="auto"/>
        </w:rPr>
      </w:pPr>
    </w:p>
    <w:p>
      <w:pPr>
        <w:ind w:left="4" w:right="880" w:hanging="4"/>
        <w:spacing w:after="0" w:line="260" w:lineRule="auto"/>
        <w:tabs>
          <w:tab w:leader="none" w:pos="259"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holders of any series of the Corporation’s Preferred Stock to elect directors pursuant to any applicable provisions of the Certificate of Incorporation.</w:t>
      </w:r>
    </w:p>
    <w:p>
      <w:pPr>
        <w:spacing w:after="0" w:line="185" w:lineRule="exact"/>
        <w:rPr>
          <w:rFonts w:ascii="Arial" w:cs="Arial" w:eastAsia="Arial" w:hAnsi="Arial"/>
          <w:sz w:val="18"/>
          <w:szCs w:val="18"/>
          <w:color w:val="auto"/>
        </w:rPr>
      </w:pPr>
    </w:p>
    <w:p>
      <w:pPr>
        <w:ind w:left="824" w:hanging="384"/>
        <w:spacing w:after="0"/>
        <w:tabs>
          <w:tab w:leader="none" w:pos="824" w:val="left"/>
        </w:tabs>
        <w:numPr>
          <w:ilvl w:val="1"/>
          <w:numId w:val="94"/>
        </w:numPr>
        <w:rPr>
          <w:rFonts w:ascii="Arial" w:cs="Arial" w:eastAsia="Arial" w:hAnsi="Arial"/>
          <w:sz w:val="18"/>
          <w:szCs w:val="18"/>
          <w:color w:val="auto"/>
        </w:rPr>
      </w:pPr>
      <w:r>
        <w:rPr>
          <w:rFonts w:ascii="Arial" w:cs="Arial" w:eastAsia="Arial" w:hAnsi="Arial"/>
          <w:sz w:val="18"/>
          <w:szCs w:val="18"/>
          <w:color w:val="auto"/>
        </w:rPr>
        <w:t>For purposes of these Bylaws the following definitions shall apply:</w:t>
      </w:r>
    </w:p>
    <w:p>
      <w:pPr>
        <w:spacing w:after="0" w:line="117" w:lineRule="exact"/>
        <w:rPr>
          <w:rFonts w:ascii="Arial" w:cs="Arial" w:eastAsia="Arial" w:hAnsi="Arial"/>
          <w:sz w:val="18"/>
          <w:szCs w:val="18"/>
          <w:color w:val="auto"/>
        </w:rPr>
      </w:pPr>
    </w:p>
    <w:p>
      <w:pPr>
        <w:ind w:left="984" w:right="60" w:firstLine="408"/>
        <w:spacing w:after="0" w:line="272" w:lineRule="auto"/>
        <w:tabs>
          <w:tab w:leader="none" w:pos="1814" w:val="left"/>
        </w:tabs>
        <w:numPr>
          <w:ilvl w:val="2"/>
          <w:numId w:val="94"/>
        </w:numPr>
        <w:rPr>
          <w:rFonts w:ascii="Arial" w:cs="Arial" w:eastAsia="Arial" w:hAnsi="Arial"/>
          <w:sz w:val="17"/>
          <w:szCs w:val="17"/>
          <w:color w:val="auto"/>
        </w:rPr>
      </w:pPr>
      <w:r>
        <w:rPr>
          <w:rFonts w:ascii="Arial" w:cs="Arial" w:eastAsia="Arial" w:hAnsi="Arial"/>
          <w:sz w:val="17"/>
          <w:szCs w:val="17"/>
          <w:color w:val="auto"/>
        </w:rPr>
        <w:t>a person shall be deemed to be “</w:t>
      </w:r>
      <w:r>
        <w:rPr>
          <w:rFonts w:ascii="Arial" w:cs="Arial" w:eastAsia="Arial" w:hAnsi="Arial"/>
          <w:sz w:val="17"/>
          <w:szCs w:val="17"/>
          <w:b w:val="1"/>
          <w:bCs w:val="1"/>
          <w:i w:val="1"/>
          <w:iCs w:val="1"/>
          <w:color w:val="auto"/>
        </w:rPr>
        <w:t>Acting in Concert</w:t>
      </w:r>
      <w:r>
        <w:rPr>
          <w:rFonts w:ascii="Arial" w:cs="Arial" w:eastAsia="Arial" w:hAnsi="Arial"/>
          <w:sz w:val="17"/>
          <w:szCs w:val="17"/>
          <w:color w:val="auto"/>
        </w:rPr>
        <w:t xml:space="preserve">” with another person if such person knowingly acts (whether or not pursuant to an express agreement, arrangement or understanding) in concert with, or toward a common goal relating to the management, governance or control of the Corporation in substantial parallel with, such other person where (1) each person is conscious of the other person’s conduct or intent and this awareness is an element in their decision-making processes and (2) at least one additional factor suggests that such persons intend to act in concert or in substantial parallel, which such additional factors may include, without limitation, exchanging information (whether publicly or privately), attending meetings, conducting discussions or making or soliciting invitations to act in concert or in substantial parallel;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that a person shall</w:t>
      </w:r>
    </w:p>
    <w:p>
      <w:pPr>
        <w:spacing w:after="0" w:line="11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4"/>
          </w:cols>
          <w:pgMar w:left="436" w:top="274" w:right="479" w:bottom="1440" w:gutter="0" w:footer="0" w:header="0"/>
        </w:sectPr>
      </w:pPr>
    </w:p>
    <w:bookmarkStart w:id="136" w:name="page137"/>
    <w:bookmarkEnd w:id="136"/>
    <w:p>
      <w:pPr>
        <w:ind w:right="2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 be deemed to be Acting in Concert with any other person solely as a result of the solicitation or receipt of revocable proxies or consents from such other person in response to a solicitation made pursuant to, and in accordance with, Section 14(a) (or any successor provision) of the Exchange Act by way of a proxy or consent solicitation statement filed on Schedule 14A. A person Acting in Concert with another person shall be deemed to be Acting in Concert with any third party who is also Acting in Concert with such other person;</w:t>
      </w:r>
    </w:p>
    <w:p>
      <w:pPr>
        <w:spacing w:after="0" w:line="49" w:lineRule="exact"/>
        <w:rPr>
          <w:sz w:val="20"/>
          <w:szCs w:val="20"/>
          <w:color w:val="auto"/>
        </w:rPr>
      </w:pPr>
    </w:p>
    <w:p>
      <w:pPr>
        <w:ind w:right="100" w:firstLine="408"/>
        <w:spacing w:after="0" w:line="263" w:lineRule="auto"/>
        <w:tabs>
          <w:tab w:leader="none" w:pos="821" w:val="left"/>
        </w:tabs>
        <w:numPr>
          <w:ilvl w:val="0"/>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and “</w:t>
      </w:r>
      <w:r>
        <w:rPr>
          <w:rFonts w:ascii="Arial" w:cs="Arial" w:eastAsia="Arial" w:hAnsi="Arial"/>
          <w:sz w:val="18"/>
          <w:szCs w:val="18"/>
          <w:b w:val="1"/>
          <w:bCs w:val="1"/>
          <w:i w:val="1"/>
          <w:iCs w:val="1"/>
          <w:color w:val="auto"/>
        </w:rPr>
        <w:t>associate</w:t>
      </w:r>
      <w:r>
        <w:rPr>
          <w:rFonts w:ascii="Arial" w:cs="Arial" w:eastAsia="Arial" w:hAnsi="Arial"/>
          <w:sz w:val="18"/>
          <w:szCs w:val="18"/>
          <w:color w:val="auto"/>
        </w:rPr>
        <w:t>” shall have the meanings ascribed thereto in Rule 405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the term “partner” as used in the definition of “associate” shall not include any limited partner that is not involved in the management of the relevant partnership;</w:t>
      </w:r>
    </w:p>
    <w:p>
      <w:pPr>
        <w:spacing w:after="0" w:line="75" w:lineRule="exact"/>
        <w:rPr>
          <w:rFonts w:ascii="Arial" w:cs="Arial" w:eastAsia="Arial" w:hAnsi="Arial"/>
          <w:sz w:val="18"/>
          <w:szCs w:val="18"/>
          <w:color w:val="auto"/>
        </w:rPr>
      </w:pPr>
    </w:p>
    <w:p>
      <w:pPr>
        <w:ind w:right="80" w:firstLine="408"/>
        <w:spacing w:after="0" w:line="257" w:lineRule="auto"/>
        <w:tabs>
          <w:tab w:leader="none" w:pos="821" w:val="left"/>
        </w:tabs>
        <w:numPr>
          <w:ilvl w:val="0"/>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Associated Person</w:t>
      </w:r>
      <w:r>
        <w:rPr>
          <w:rFonts w:ascii="Arial" w:cs="Arial" w:eastAsia="Arial" w:hAnsi="Arial"/>
          <w:sz w:val="18"/>
          <w:szCs w:val="18"/>
          <w:color w:val="auto"/>
        </w:rPr>
        <w:t>” shall mean with respect to any subject stockholder or other person (including any proposed nominee) (1) any person directly or indirectly controlling, controlled by or under common control with such stockholder or other person, (2) any beneficial owner of shares of stock of the Corporation owned of record or beneficially by such stockholder or other person, (3) any associate of such stockholder or other person and (4) any person directly or indirectly controlling, controlled by or under common control or Acting in Concert with any such Associated Person;</w:t>
      </w:r>
    </w:p>
    <w:p>
      <w:pPr>
        <w:spacing w:after="0" w:line="79" w:lineRule="exact"/>
        <w:rPr>
          <w:rFonts w:ascii="Arial" w:cs="Arial" w:eastAsia="Arial" w:hAnsi="Arial"/>
          <w:sz w:val="18"/>
          <w:szCs w:val="18"/>
          <w:color w:val="auto"/>
        </w:rPr>
      </w:pPr>
    </w:p>
    <w:p>
      <w:pPr>
        <w:ind w:right="540" w:firstLine="408"/>
        <w:spacing w:after="0" w:line="279" w:lineRule="auto"/>
        <w:tabs>
          <w:tab w:leader="none" w:pos="830" w:val="left"/>
        </w:tabs>
        <w:numPr>
          <w:ilvl w:val="0"/>
          <w:numId w:val="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Compensation Arrangement</w:t>
      </w:r>
      <w:r>
        <w:rPr>
          <w:rFonts w:ascii="Arial" w:cs="Arial" w:eastAsia="Arial" w:hAnsi="Arial"/>
          <w:sz w:val="17"/>
          <w:szCs w:val="17"/>
          <w:color w:val="auto"/>
        </w:rPr>
        <w:t>” shall mean any direct or indirect compensatory payment or other financial agreement, arrangement or understanding with any person or entity other than the Corporation, including any agreement, arrangement or understanding with respect to any direct or indirect compensation, reimbursement or indemnification in connection with candidacy, nomination, service or action as a nominee or as a director of the Corporation;</w:t>
      </w:r>
    </w:p>
    <w:p>
      <w:pPr>
        <w:spacing w:after="0" w:line="63" w:lineRule="exact"/>
        <w:rPr>
          <w:rFonts w:ascii="Arial" w:cs="Arial" w:eastAsia="Arial" w:hAnsi="Arial"/>
          <w:sz w:val="17"/>
          <w:szCs w:val="17"/>
          <w:color w:val="auto"/>
        </w:rPr>
      </w:pPr>
    </w:p>
    <w:p>
      <w:pPr>
        <w:ind w:right="340" w:firstLine="408"/>
        <w:spacing w:after="0" w:line="277" w:lineRule="auto"/>
        <w:tabs>
          <w:tab w:leader="none" w:pos="81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Competitor</w:t>
      </w:r>
      <w:r>
        <w:rPr>
          <w:rFonts w:ascii="Arial" w:cs="Arial" w:eastAsia="Arial" w:hAnsi="Arial"/>
          <w:sz w:val="18"/>
          <w:szCs w:val="18"/>
          <w:color w:val="auto"/>
        </w:rPr>
        <w:t>” shall mean any entity that provides products or services that compete with or are alternatives to the principal products produced or services provided by the Corporation or its affiliates;</w:t>
      </w:r>
    </w:p>
    <w:p>
      <w:pPr>
        <w:spacing w:after="0" w:line="62" w:lineRule="exact"/>
        <w:rPr>
          <w:rFonts w:ascii="Arial" w:cs="Arial" w:eastAsia="Arial" w:hAnsi="Arial"/>
          <w:sz w:val="18"/>
          <w:szCs w:val="18"/>
          <w:color w:val="auto"/>
        </w:rPr>
      </w:pPr>
    </w:p>
    <w:p>
      <w:pPr>
        <w:ind w:firstLine="408"/>
        <w:spacing w:after="0" w:line="296" w:lineRule="auto"/>
        <w:tabs>
          <w:tab w:leader="none" w:pos="801" w:val="left"/>
        </w:tabs>
        <w:numPr>
          <w:ilvl w:val="0"/>
          <w:numId w:val="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Proposing Person</w:t>
      </w:r>
      <w:r>
        <w:rPr>
          <w:rFonts w:ascii="Arial" w:cs="Arial" w:eastAsia="Arial" w:hAnsi="Arial"/>
          <w:sz w:val="16"/>
          <w:szCs w:val="16"/>
          <w:color w:val="auto"/>
        </w:rPr>
        <w:t>” shall mean (1) the Record Stockholder providing the notice of business proposed to be brought before an annual meeting or nomination of persons for election to the Board at a stockholder meeting, (2) the beneficial owner or beneficial owners, if different, on whose behalf the notice of business proposed to be brought before the annual meeting or nomination of persons for election to the Board at a stockholder meeting is made and (3) any Associated Person on whose behalf the notice of business proposed to be brought before the annual meeting or nomination of persons for election to the Board at a stockholder meeting is made;</w:t>
      </w:r>
    </w:p>
    <w:p>
      <w:pPr>
        <w:spacing w:after="0" w:line="53" w:lineRule="exact"/>
        <w:rPr>
          <w:rFonts w:ascii="Arial" w:cs="Arial" w:eastAsia="Arial" w:hAnsi="Arial"/>
          <w:sz w:val="16"/>
          <w:szCs w:val="16"/>
          <w:color w:val="auto"/>
        </w:rPr>
      </w:pPr>
    </w:p>
    <w:p>
      <w:pPr>
        <w:ind w:firstLine="408"/>
        <w:spacing w:after="0" w:line="342" w:lineRule="auto"/>
        <w:tabs>
          <w:tab w:leader="none" w:pos="830" w:val="left"/>
        </w:tabs>
        <w:numPr>
          <w:ilvl w:val="0"/>
          <w:numId w:val="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Public Announcement</w:t>
      </w:r>
      <w:r>
        <w:rPr>
          <w:rFonts w:ascii="Arial" w:cs="Arial" w:eastAsia="Arial" w:hAnsi="Arial"/>
          <w:sz w:val="16"/>
          <w:szCs w:val="16"/>
          <w:color w:val="auto"/>
        </w:rPr>
        <w:t>” shall mean disclosure in a press release reported by a national news service or in a document publicly filed by the Corporation with the Securities and Exchange Commission pursuant to Section 13, 14 or 15(d) of the Exchange Act; and</w:t>
      </w:r>
    </w:p>
    <w:p>
      <w:pPr>
        <w:spacing w:after="0" w:line="56"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000"/>
          </w:cols>
          <w:pgMar w:left="1420" w:top="274" w:right="479" w:bottom="1440" w:gutter="0" w:footer="0" w:header="0"/>
        </w:sectPr>
      </w:pPr>
    </w:p>
    <w:bookmarkStart w:id="137" w:name="page138"/>
    <w:bookmarkEnd w:id="137"/>
    <w:p>
      <w:pPr>
        <w:ind w:left="980" w:right="60" w:firstLine="408"/>
        <w:spacing w:after="0" w:line="273" w:lineRule="auto"/>
        <w:tabs>
          <w:tab w:leader="none" w:pos="1810" w:val="left"/>
        </w:tabs>
        <w:numPr>
          <w:ilvl w:val="0"/>
          <w:numId w:val="9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be considered a “</w:t>
      </w:r>
      <w:r>
        <w:rPr>
          <w:rFonts w:ascii="Arial" w:cs="Arial" w:eastAsia="Arial" w:hAnsi="Arial"/>
          <w:sz w:val="17"/>
          <w:szCs w:val="17"/>
          <w:b w:val="1"/>
          <w:bCs w:val="1"/>
          <w:i w:val="1"/>
          <w:iCs w:val="1"/>
          <w:color w:val="auto"/>
        </w:rPr>
        <w:t>Qualified Representative</w:t>
      </w:r>
      <w:r>
        <w:rPr>
          <w:rFonts w:ascii="Arial" w:cs="Arial" w:eastAsia="Arial" w:hAnsi="Arial"/>
          <w:sz w:val="17"/>
          <w:szCs w:val="17"/>
          <w:color w:val="auto"/>
        </w:rPr>
        <w:t>” of a stockholder, a person must be a duly authorized officer, manager, trustee or partner of such stockholder or must be authorized by a writing executed by such stockholder or an electronic transmission delivered by such stockholder to act for such stockholder as a proxy at the meeting of stockholders and such person must produce such writing or electronic transmission, or a reliable reproduction thereof, at the meeting. The Secretary of the Corporation, or any other person who shall be appointed to serve as secretary of the meeting, may require, on behalf of the Corporation, reasonable and appropriate documentation to verify the status of a person purporting to be a “Qualified Representative” for purposes hereof.</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 BOARD OF DIRECTORS</w:t>
      </w:r>
    </w:p>
    <w:p>
      <w:pPr>
        <w:spacing w:after="0" w:line="225" w:lineRule="exact"/>
        <w:rPr>
          <w:sz w:val="20"/>
          <w:szCs w:val="20"/>
          <w:color w:val="auto"/>
        </w:rPr>
      </w:pPr>
    </w:p>
    <w:p>
      <w:pPr>
        <w:ind w:right="40" w:firstLine="440"/>
        <w:spacing w:after="0" w:line="261" w:lineRule="auto"/>
        <w:rPr>
          <w:sz w:val="20"/>
          <w:szCs w:val="20"/>
          <w:color w:val="auto"/>
        </w:rPr>
      </w:pPr>
      <w:r>
        <w:rPr>
          <w:rFonts w:ascii="Arial" w:cs="Arial" w:eastAsia="Arial" w:hAnsi="Arial"/>
          <w:sz w:val="18"/>
          <w:szCs w:val="18"/>
          <w:b w:val="1"/>
          <w:bCs w:val="1"/>
          <w:color w:val="auto"/>
        </w:rPr>
        <w:t xml:space="preserve">Section 2.1: </w:t>
      </w:r>
      <w:r>
        <w:rPr>
          <w:rFonts w:ascii="Arial" w:cs="Arial" w:eastAsia="Arial" w:hAnsi="Arial"/>
          <w:sz w:val="18"/>
          <w:szCs w:val="18"/>
          <w:b w:val="1"/>
          <w:bCs w:val="1"/>
          <w:u w:val="single" w:color="auto"/>
          <w:color w:val="auto"/>
        </w:rPr>
        <w:t>Number; Qualifications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total number of directors constituting the Whole Board shall be fixed from time to time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manner set forth in the Certificate of Incorporation and the term “</w:t>
      </w:r>
      <w:r>
        <w:rPr>
          <w:rFonts w:ascii="Arial" w:cs="Arial" w:eastAsia="Arial" w:hAnsi="Arial"/>
          <w:sz w:val="18"/>
          <w:szCs w:val="18"/>
          <w:b w:val="1"/>
          <w:bCs w:val="1"/>
          <w:i w:val="1"/>
          <w:iCs w:val="1"/>
          <w:color w:val="auto"/>
        </w:rPr>
        <w:t>Whole Board</w:t>
      </w:r>
      <w:r>
        <w:rPr>
          <w:rFonts w:ascii="Arial" w:cs="Arial" w:eastAsia="Arial" w:hAnsi="Arial"/>
          <w:sz w:val="18"/>
          <w:szCs w:val="18"/>
          <w:color w:val="auto"/>
        </w:rPr>
        <w:t>” shall have the meaning specified in the Certificate of Incorporation. No decrease in the authorized number of directors constituting the Whole Board shall shorten the term of any incumbent director. Directors need not be stockholders of the Corporation.</w:t>
      </w:r>
    </w:p>
    <w:p>
      <w:pPr>
        <w:spacing w:after="0" w:line="180"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b w:val="1"/>
          <w:bCs w:val="1"/>
          <w:color w:val="auto"/>
        </w:rPr>
        <w:t xml:space="preserve">Section 2.2: </w:t>
      </w:r>
      <w:r>
        <w:rPr>
          <w:rFonts w:ascii="Arial" w:cs="Arial" w:eastAsia="Arial" w:hAnsi="Arial"/>
          <w:sz w:val="17"/>
          <w:szCs w:val="17"/>
          <w:b w:val="1"/>
          <w:bCs w:val="1"/>
          <w:u w:val="single" w:color="auto"/>
          <w:color w:val="auto"/>
        </w:rPr>
        <w:t>Election; Resignation; Removal; Vacancies</w:t>
      </w:r>
      <w:r>
        <w:rPr>
          <w:rFonts w:ascii="Arial" w:cs="Arial" w:eastAsia="Arial" w:hAnsi="Arial"/>
          <w:sz w:val="17"/>
          <w:szCs w:val="17"/>
          <w:b w:val="1"/>
          <w:bCs w:val="1"/>
          <w:color w:val="auto"/>
        </w:rPr>
        <w:t xml:space="preserve">. </w:t>
      </w:r>
      <w:r>
        <w:rPr>
          <w:rFonts w:ascii="Arial" w:cs="Arial" w:eastAsia="Arial" w:hAnsi="Arial"/>
          <w:sz w:val="17"/>
          <w:szCs w:val="17"/>
          <w:color w:val="auto"/>
        </w:rPr>
        <w:t>Election of directors need not be by written ballot. Each director shall hold office</w:t>
      </w:r>
      <w:r>
        <w:rPr>
          <w:rFonts w:ascii="Arial" w:cs="Arial" w:eastAsia="Arial" w:hAnsi="Arial"/>
          <w:sz w:val="17"/>
          <w:szCs w:val="17"/>
          <w:b w:val="1"/>
          <w:bCs w:val="1"/>
          <w:color w:val="auto"/>
        </w:rPr>
        <w:t xml:space="preserve"> </w:t>
      </w:r>
      <w:r>
        <w:rPr>
          <w:rFonts w:ascii="Arial" w:cs="Arial" w:eastAsia="Arial" w:hAnsi="Arial"/>
          <w:sz w:val="17"/>
          <w:szCs w:val="17"/>
          <w:color w:val="auto"/>
        </w:rPr>
        <w:t>until the annual meeting at which such director’s term expires and until such director’s successor is elected and qualified or until such director’s earlier death, resignation, disqualification or removal. Any director may resign by delivering a resignation in writing or by electronic transmission to the Corporation at its principal office or to the Chairperson of the Board, the Chief Executive Officer or the Secretary. Such resignation shall be effective upon delivery unless it is specified to be effective at a later time or upon the happening of an event. Subject to the special rights of holders of any series of the Corporation’s Preferred Stock to elect directors, directors may be removed only as provided by the Certificate of Incorporation and applicable law. All vacancies occurring in the Board and any newly created directorships resulting from any increase in the authorized number of directors shall be filled in the manner set forth in the Certificate of Incorporation.</w:t>
      </w:r>
    </w:p>
    <w:p>
      <w:pPr>
        <w:spacing w:after="0" w:line="172"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b w:val="1"/>
          <w:bCs w:val="1"/>
          <w:color w:val="auto"/>
        </w:rPr>
        <w:t xml:space="preserve">Section 2.3: </w:t>
      </w:r>
      <w:r>
        <w:rPr>
          <w:rFonts w:ascii="Arial" w:cs="Arial" w:eastAsia="Arial" w:hAnsi="Arial"/>
          <w:sz w:val="18"/>
          <w:szCs w:val="18"/>
          <w:b w:val="1"/>
          <w:bCs w:val="1"/>
          <w:u w:val="single" w:color="auto"/>
          <w:color w:val="auto"/>
        </w:rPr>
        <w:t>Regular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Regular meetings of the Board may be held at such places, within or without the State of Delaware, and at such</w:t>
      </w:r>
      <w:r>
        <w:rPr>
          <w:rFonts w:ascii="Arial" w:cs="Arial" w:eastAsia="Arial" w:hAnsi="Arial"/>
          <w:sz w:val="18"/>
          <w:szCs w:val="18"/>
          <w:b w:val="1"/>
          <w:bCs w:val="1"/>
          <w:color w:val="auto"/>
        </w:rPr>
        <w:t xml:space="preserve"> </w:t>
      </w:r>
      <w:r>
        <w:rPr>
          <w:rFonts w:ascii="Arial" w:cs="Arial" w:eastAsia="Arial" w:hAnsi="Arial"/>
          <w:sz w:val="18"/>
          <w:szCs w:val="18"/>
          <w:color w:val="auto"/>
        </w:rPr>
        <w:t>times as the Board may from time to time determine. Notice of regular meetings need not be given if the date, times and places thereof are fixed by resolution of the Board.</w:t>
      </w:r>
    </w:p>
    <w:p>
      <w:pPr>
        <w:spacing w:after="0" w:line="176" w:lineRule="exact"/>
        <w:rPr>
          <w:sz w:val="20"/>
          <w:szCs w:val="20"/>
          <w:color w:val="auto"/>
        </w:rPr>
      </w:pPr>
    </w:p>
    <w:p>
      <w:pPr>
        <w:ind w:right="160" w:firstLine="440"/>
        <w:spacing w:after="0" w:line="303" w:lineRule="auto"/>
        <w:rPr>
          <w:sz w:val="20"/>
          <w:szCs w:val="20"/>
          <w:color w:val="auto"/>
        </w:rPr>
      </w:pPr>
      <w:r>
        <w:rPr>
          <w:rFonts w:ascii="Arial" w:cs="Arial" w:eastAsia="Arial" w:hAnsi="Arial"/>
          <w:sz w:val="16"/>
          <w:szCs w:val="16"/>
          <w:b w:val="1"/>
          <w:bCs w:val="1"/>
          <w:color w:val="auto"/>
        </w:rPr>
        <w:t xml:space="preserve">Section 2.4: </w:t>
      </w:r>
      <w:r>
        <w:rPr>
          <w:rFonts w:ascii="Arial" w:cs="Arial" w:eastAsia="Arial" w:hAnsi="Arial"/>
          <w:sz w:val="16"/>
          <w:szCs w:val="16"/>
          <w:b w:val="1"/>
          <w:bCs w:val="1"/>
          <w:u w:val="single" w:color="auto"/>
          <w:color w:val="auto"/>
        </w:rPr>
        <w:t>Special Meetings</w:t>
      </w:r>
      <w:r>
        <w:rPr>
          <w:rFonts w:ascii="Arial" w:cs="Arial" w:eastAsia="Arial" w:hAnsi="Arial"/>
          <w:sz w:val="16"/>
          <w:szCs w:val="16"/>
          <w:b w:val="1"/>
          <w:bCs w:val="1"/>
          <w:color w:val="auto"/>
        </w:rPr>
        <w:t xml:space="preserve">. </w:t>
      </w:r>
      <w:r>
        <w:rPr>
          <w:rFonts w:ascii="Arial" w:cs="Arial" w:eastAsia="Arial" w:hAnsi="Arial"/>
          <w:sz w:val="16"/>
          <w:szCs w:val="16"/>
          <w:color w:val="auto"/>
        </w:rPr>
        <w:t>Special meetings of the Board may be called by the Chairperson of the Board, the Chief Executive Officer, the</w:t>
      </w:r>
      <w:r>
        <w:rPr>
          <w:rFonts w:ascii="Arial" w:cs="Arial" w:eastAsia="Arial" w:hAnsi="Arial"/>
          <w:sz w:val="16"/>
          <w:szCs w:val="16"/>
          <w:b w:val="1"/>
          <w:bCs w:val="1"/>
          <w:color w:val="auto"/>
        </w:rPr>
        <w:t xml:space="preserve"> </w:t>
      </w:r>
      <w:r>
        <w:rPr>
          <w:rFonts w:ascii="Arial" w:cs="Arial" w:eastAsia="Arial" w:hAnsi="Arial"/>
          <w:sz w:val="16"/>
          <w:szCs w:val="16"/>
          <w:color w:val="auto"/>
        </w:rPr>
        <w:t>Lead Independent Director or a majority of the members of the Board then in office and may be held at any time, date or place, within or without the State of Delaware, as the person or persons calling the meeting shall fix. Notice of the time, date and place of such meeting shall be given orally, in writing or by electronic transmission (including electronic mail), by the person or persons calling the meeting to all directors at least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138" w:name="page139"/>
    <w:bookmarkEnd w:id="138"/>
    <w:p>
      <w:pPr>
        <w:ind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four (4) days before the meeting if the notice is mailed, or at least twenty-four (24) hours before the meeting if such notice is given by telephone, hand delivery, telegram, telex, mailgram, facsimile, electronic mail or other means of electronic transmission;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if, under the circumstances, the Chairperson of the Board, the Lead Independent Director or the Chief Executive Officer calling a special meeting deems that more immediate action is necessary or appropriate, notice may be delivered on the day of such special meeting. Unless otherwise indicated in the notice, any and all business may be transacted at a special meeting.</w:t>
      </w:r>
    </w:p>
    <w:p>
      <w:pPr>
        <w:spacing w:after="0" w:line="184" w:lineRule="exact"/>
        <w:rPr>
          <w:sz w:val="20"/>
          <w:szCs w:val="20"/>
          <w:color w:val="auto"/>
        </w:rPr>
      </w:pPr>
    </w:p>
    <w:p>
      <w:pPr>
        <w:ind w:right="80" w:firstLine="440"/>
        <w:spacing w:after="0" w:line="261" w:lineRule="auto"/>
        <w:rPr>
          <w:sz w:val="20"/>
          <w:szCs w:val="20"/>
          <w:color w:val="auto"/>
        </w:rPr>
      </w:pPr>
      <w:r>
        <w:rPr>
          <w:rFonts w:ascii="Arial" w:cs="Arial" w:eastAsia="Arial" w:hAnsi="Arial"/>
          <w:sz w:val="18"/>
          <w:szCs w:val="18"/>
          <w:b w:val="1"/>
          <w:bCs w:val="1"/>
          <w:color w:val="auto"/>
        </w:rPr>
        <w:t xml:space="preserve">Section 2.5: </w:t>
      </w:r>
      <w:r>
        <w:rPr>
          <w:rFonts w:ascii="Arial" w:cs="Arial" w:eastAsia="Arial" w:hAnsi="Arial"/>
          <w:sz w:val="18"/>
          <w:szCs w:val="18"/>
          <w:b w:val="1"/>
          <w:bCs w:val="1"/>
          <w:u w:val="single" w:color="auto"/>
          <w:color w:val="auto"/>
        </w:rPr>
        <w:t>Remote Meetings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Members of the Board, or any committee of the Board, may participate in a meeting of the Board or</w:t>
      </w:r>
      <w:r>
        <w:rPr>
          <w:rFonts w:ascii="Arial" w:cs="Arial" w:eastAsia="Arial" w:hAnsi="Arial"/>
          <w:sz w:val="18"/>
          <w:szCs w:val="18"/>
          <w:b w:val="1"/>
          <w:bCs w:val="1"/>
          <w:color w:val="auto"/>
        </w:rPr>
        <w:t xml:space="preserve"> </w:t>
      </w:r>
      <w:r>
        <w:rPr>
          <w:rFonts w:ascii="Arial" w:cs="Arial" w:eastAsia="Arial" w:hAnsi="Arial"/>
          <w:sz w:val="18"/>
          <w:szCs w:val="18"/>
          <w:color w:val="auto"/>
        </w:rPr>
        <w:t>such committee by means of conference telephone or other communications equipment by means of which all persons participating in the meeting can hear each other, and participation in a meeting pursuant to conference telephone or other communications equipment shall constitute presence in person at such meeting.</w:t>
      </w:r>
    </w:p>
    <w:p>
      <w:pPr>
        <w:spacing w:after="0" w:line="180"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 xml:space="preserve">Section 2.6: </w:t>
      </w:r>
      <w:r>
        <w:rPr>
          <w:rFonts w:ascii="Arial" w:cs="Arial" w:eastAsia="Arial" w:hAnsi="Arial"/>
          <w:sz w:val="18"/>
          <w:szCs w:val="18"/>
          <w:b w:val="1"/>
          <w:bCs w:val="1"/>
          <w:u w:val="single" w:color="auto"/>
          <w:color w:val="auto"/>
        </w:rPr>
        <w:t>Quorum; Vote Required for Action</w:t>
      </w:r>
      <w:r>
        <w:rPr>
          <w:rFonts w:ascii="Arial" w:cs="Arial" w:eastAsia="Arial" w:hAnsi="Arial"/>
          <w:sz w:val="18"/>
          <w:szCs w:val="18"/>
          <w:b w:val="1"/>
          <w:bCs w:val="1"/>
          <w:color w:val="auto"/>
        </w:rPr>
        <w:t xml:space="preserve">. </w:t>
      </w:r>
      <w:r>
        <w:rPr>
          <w:rFonts w:ascii="Arial" w:cs="Arial" w:eastAsia="Arial" w:hAnsi="Arial"/>
          <w:sz w:val="18"/>
          <w:szCs w:val="18"/>
          <w:color w:val="auto"/>
        </w:rPr>
        <w:t>At all meetings of the Board, a majority of the Whole Board shall constitute a quorum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of business. If a quorum shall fail to attend any meeting, a majority of those present may adjourn the meeting to another place, date or time. Except as otherwise provided herein or in the Certificate of Incorporation, or required by law, the vote of a majority of the directors present at a meeting at which a quorum is present shall be the act of the Board.</w:t>
      </w:r>
    </w:p>
    <w:p>
      <w:pPr>
        <w:spacing w:after="0" w:line="180" w:lineRule="exact"/>
        <w:rPr>
          <w:sz w:val="20"/>
          <w:szCs w:val="20"/>
          <w:color w:val="auto"/>
        </w:rPr>
      </w:pPr>
    </w:p>
    <w:p>
      <w:pPr>
        <w:ind w:right="60" w:firstLine="440"/>
        <w:spacing w:after="0" w:line="261" w:lineRule="auto"/>
        <w:rPr>
          <w:sz w:val="20"/>
          <w:szCs w:val="20"/>
          <w:color w:val="auto"/>
        </w:rPr>
      </w:pPr>
      <w:r>
        <w:rPr>
          <w:rFonts w:ascii="Arial" w:cs="Arial" w:eastAsia="Arial" w:hAnsi="Arial"/>
          <w:sz w:val="18"/>
          <w:szCs w:val="18"/>
          <w:b w:val="1"/>
          <w:bCs w:val="1"/>
          <w:color w:val="auto"/>
        </w:rPr>
        <w:t xml:space="preserve">Section 2.7: </w:t>
      </w:r>
      <w:r>
        <w:rPr>
          <w:rFonts w:ascii="Arial" w:cs="Arial" w:eastAsia="Arial" w:hAnsi="Arial"/>
          <w:sz w:val="18"/>
          <w:szCs w:val="18"/>
          <w:b w:val="1"/>
          <w:bCs w:val="1"/>
          <w:u w:val="single" w:color="auto"/>
          <w:color w:val="auto"/>
        </w:rPr>
        <w:t>Organization</w:t>
      </w:r>
      <w:r>
        <w:rPr>
          <w:rFonts w:ascii="Arial" w:cs="Arial" w:eastAsia="Arial" w:hAnsi="Arial"/>
          <w:sz w:val="18"/>
          <w:szCs w:val="18"/>
          <w:b w:val="1"/>
          <w:bCs w:val="1"/>
          <w:color w:val="auto"/>
        </w:rPr>
        <w:t xml:space="preserve">. </w:t>
      </w:r>
      <w:r>
        <w:rPr>
          <w:rFonts w:ascii="Arial" w:cs="Arial" w:eastAsia="Arial" w:hAnsi="Arial"/>
          <w:sz w:val="18"/>
          <w:szCs w:val="18"/>
          <w:color w:val="auto"/>
        </w:rPr>
        <w:t>Meetings of the Board shall be presided over by (a) the Chairperson of the Board, or (b) in the absence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person, the Lead Independent Director, or (c) in such person’s absence, by the Chief Executive Officer, or (d) in such person’s absence, by a chairperson chosen by the Board at the meeting. The Secretary of the Corporation shall act as secretary of the meeting, but in such person’s absence the chairperson of the meeting may appoint any person to act as secretary of the meeting.</w:t>
      </w:r>
    </w:p>
    <w:p>
      <w:pPr>
        <w:spacing w:after="0" w:line="180" w:lineRule="exact"/>
        <w:rPr>
          <w:sz w:val="20"/>
          <w:szCs w:val="20"/>
          <w:color w:val="auto"/>
        </w:rPr>
      </w:pPr>
    </w:p>
    <w:p>
      <w:pPr>
        <w:ind w:right="60" w:firstLine="440"/>
        <w:spacing w:after="0" w:line="258" w:lineRule="auto"/>
        <w:rPr>
          <w:sz w:val="20"/>
          <w:szCs w:val="20"/>
          <w:color w:val="auto"/>
        </w:rPr>
      </w:pPr>
      <w:r>
        <w:rPr>
          <w:rFonts w:ascii="Arial" w:cs="Arial" w:eastAsia="Arial" w:hAnsi="Arial"/>
          <w:sz w:val="18"/>
          <w:szCs w:val="18"/>
          <w:b w:val="1"/>
          <w:bCs w:val="1"/>
          <w:color w:val="auto"/>
        </w:rPr>
        <w:t xml:space="preserve">Section 2.8: </w:t>
      </w:r>
      <w:r>
        <w:rPr>
          <w:rFonts w:ascii="Arial" w:cs="Arial" w:eastAsia="Arial" w:hAnsi="Arial"/>
          <w:sz w:val="18"/>
          <w:szCs w:val="18"/>
          <w:b w:val="1"/>
          <w:bCs w:val="1"/>
          <w:u w:val="single" w:color="auto"/>
          <w:color w:val="auto"/>
        </w:rPr>
        <w:t>Unanimous Action by Directors in Lieu of a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Any action required or permitted to be taken at any meeting of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or of any committee thereof, may be taken without a meeting if all members of the Board or such committee, as the case may be, consent thereto in writing or by electronic transmission, and the writing or writings or electronic transmission or transmissions are filed with the minutes of proceedings of the Board or committee, as applicable. Such filing shall be in paper form if the minutes are maintained in paper form and shall be in electronic form if the minutes are maintained in electronic form.</w:t>
      </w:r>
    </w:p>
    <w:p>
      <w:pPr>
        <w:spacing w:after="0" w:line="183"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b w:val="1"/>
          <w:bCs w:val="1"/>
          <w:color w:val="auto"/>
        </w:rPr>
        <w:t xml:space="preserve">Section 2.9: </w:t>
      </w:r>
      <w:r>
        <w:rPr>
          <w:rFonts w:ascii="Arial" w:cs="Arial" w:eastAsia="Arial" w:hAnsi="Arial"/>
          <w:sz w:val="18"/>
          <w:szCs w:val="18"/>
          <w:b w:val="1"/>
          <w:bCs w:val="1"/>
          <w:u w:val="single" w:color="auto"/>
          <w:color w:val="auto"/>
        </w:rPr>
        <w:t>Powers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provided by the Certificate of Incorporation or the DGCL, the business and affairs of the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managed by or under the direction of the Board.</w:t>
      </w:r>
    </w:p>
    <w:p>
      <w:pPr>
        <w:spacing w:after="0" w:line="162" w:lineRule="exact"/>
        <w:rPr>
          <w:sz w:val="20"/>
          <w:szCs w:val="20"/>
          <w:color w:val="auto"/>
        </w:rPr>
      </w:pPr>
    </w:p>
    <w:p>
      <w:pPr>
        <w:ind w:right="240" w:firstLine="440"/>
        <w:spacing w:after="0" w:line="312" w:lineRule="auto"/>
        <w:rPr>
          <w:sz w:val="20"/>
          <w:szCs w:val="20"/>
          <w:color w:val="auto"/>
        </w:rPr>
      </w:pPr>
      <w:r>
        <w:rPr>
          <w:rFonts w:ascii="Arial" w:cs="Arial" w:eastAsia="Arial" w:hAnsi="Arial"/>
          <w:sz w:val="17"/>
          <w:szCs w:val="17"/>
          <w:b w:val="1"/>
          <w:bCs w:val="1"/>
          <w:color w:val="auto"/>
        </w:rPr>
        <w:t xml:space="preserve">Section 2.10: </w:t>
      </w:r>
      <w:r>
        <w:rPr>
          <w:rFonts w:ascii="Arial" w:cs="Arial" w:eastAsia="Arial" w:hAnsi="Arial"/>
          <w:sz w:val="17"/>
          <w:szCs w:val="17"/>
          <w:b w:val="1"/>
          <w:bCs w:val="1"/>
          <w:u w:val="single" w:color="auto"/>
          <w:color w:val="auto"/>
        </w:rPr>
        <w:t>Compensation of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Members of the Board, as such, may receive, pursuant to a resolution of the Board, fees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for their services as directors, including without limitation their services as members of committees of the Board.</w:t>
      </w:r>
    </w:p>
    <w:p>
      <w:pPr>
        <w:spacing w:after="0" w:line="140" w:lineRule="exact"/>
        <w:rPr>
          <w:sz w:val="20"/>
          <w:szCs w:val="20"/>
          <w:color w:val="auto"/>
        </w:rPr>
      </w:pPr>
    </w:p>
    <w:p>
      <w:pPr>
        <w:ind w:right="520" w:firstLine="440"/>
        <w:spacing w:after="0" w:line="312" w:lineRule="auto"/>
        <w:rPr>
          <w:sz w:val="20"/>
          <w:szCs w:val="20"/>
          <w:color w:val="auto"/>
        </w:rPr>
      </w:pPr>
      <w:r>
        <w:rPr>
          <w:rFonts w:ascii="Arial" w:cs="Arial" w:eastAsia="Arial" w:hAnsi="Arial"/>
          <w:sz w:val="17"/>
          <w:szCs w:val="17"/>
          <w:b w:val="1"/>
          <w:bCs w:val="1"/>
          <w:color w:val="auto"/>
        </w:rPr>
        <w:t xml:space="preserve">Section 2.11: </w:t>
      </w:r>
      <w:r>
        <w:rPr>
          <w:rFonts w:ascii="Arial" w:cs="Arial" w:eastAsia="Arial" w:hAnsi="Arial"/>
          <w:sz w:val="17"/>
          <w:szCs w:val="17"/>
          <w:b w:val="1"/>
          <w:bCs w:val="1"/>
          <w:u w:val="single" w:color="auto"/>
          <w:color w:val="auto"/>
        </w:rPr>
        <w:t>Confidentiality</w:t>
      </w:r>
      <w:r>
        <w:rPr>
          <w:rFonts w:ascii="Arial" w:cs="Arial" w:eastAsia="Arial" w:hAnsi="Arial"/>
          <w:sz w:val="17"/>
          <w:szCs w:val="17"/>
          <w:b w:val="1"/>
          <w:bCs w:val="1"/>
          <w:color w:val="auto"/>
        </w:rPr>
        <w:t xml:space="preserve">. </w:t>
      </w:r>
      <w:r>
        <w:rPr>
          <w:rFonts w:ascii="Arial" w:cs="Arial" w:eastAsia="Arial" w:hAnsi="Arial"/>
          <w:sz w:val="17"/>
          <w:szCs w:val="17"/>
          <w:color w:val="auto"/>
        </w:rPr>
        <w:t>Each director shall maintain the confidentiality of, and shall not share with any third-party person or entity</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third parties that originally sponsored, nominated or designated such director (the “</w:t>
      </w:r>
      <w:r>
        <w:rPr>
          <w:rFonts w:ascii="Arial" w:cs="Arial" w:eastAsia="Arial" w:hAnsi="Arial"/>
          <w:sz w:val="17"/>
          <w:szCs w:val="17"/>
          <w:b w:val="1"/>
          <w:bCs w:val="1"/>
          <w:i w:val="1"/>
          <w:iCs w:val="1"/>
          <w:color w:val="auto"/>
        </w:rPr>
        <w:t>Sponsoring Party</w:t>
      </w:r>
      <w:r>
        <w:rPr>
          <w:rFonts w:ascii="Arial" w:cs="Arial" w:eastAsia="Arial" w:hAnsi="Arial"/>
          <w:sz w:val="17"/>
          <w:szCs w:val="17"/>
          <w:color w:val="auto"/>
        </w:rPr>
        <w:t>”)), any non-public</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139" w:name="page140"/>
    <w:bookmarkEnd w:id="139"/>
    <w:p>
      <w:pPr>
        <w:ind w:right="1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information learned in their capacities as directors, including communications among Board members in their capacities as directors,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directors that are originally nominated or designated by a Sponsoring Party may disclose such information to the Sponsoring Party (or the management company of the Sponsoring Party) if the Sponsoring Party (or the management company of the Sponsoring Party) has applicable confidentiality restrictions in place. The Board may adopt a board confidentiality policy further implementing and interpreting this Section 2.11 (a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Confidentiality Policy</w:t>
      </w:r>
      <w:r>
        <w:rPr>
          <w:rFonts w:ascii="Arial" w:cs="Arial" w:eastAsia="Arial" w:hAnsi="Arial"/>
          <w:sz w:val="16"/>
          <w:szCs w:val="16"/>
          <w:color w:val="auto"/>
        </w:rPr>
        <w:t>”). Other than as provided in the first section of this Section 2.11, all directors are required to comply with this Section 2.11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Board Confidentiality Policy unless such director or the Sponsoring Party for such director has entered into a specific written agreement with the Corporation, in either case as approved by the Board, providing otherwise with respect to such confidential information.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 COMMITTEES</w:t>
      </w:r>
    </w:p>
    <w:p>
      <w:pPr>
        <w:spacing w:after="0" w:line="225" w:lineRule="exact"/>
        <w:rPr>
          <w:sz w:val="20"/>
          <w:szCs w:val="20"/>
          <w:color w:val="auto"/>
        </w:rPr>
      </w:pPr>
    </w:p>
    <w:p>
      <w:pPr>
        <w:ind w:right="100" w:firstLine="440"/>
        <w:spacing w:after="0" w:line="270" w:lineRule="auto"/>
        <w:rPr>
          <w:sz w:val="20"/>
          <w:szCs w:val="20"/>
          <w:color w:val="auto"/>
        </w:rPr>
      </w:pPr>
      <w:r>
        <w:rPr>
          <w:rFonts w:ascii="Arial" w:cs="Arial" w:eastAsia="Arial" w:hAnsi="Arial"/>
          <w:sz w:val="17"/>
          <w:szCs w:val="17"/>
          <w:b w:val="1"/>
          <w:bCs w:val="1"/>
          <w:color w:val="auto"/>
        </w:rPr>
        <w:t xml:space="preserve">Section 3.1: </w:t>
      </w:r>
      <w:r>
        <w:rPr>
          <w:rFonts w:ascii="Arial" w:cs="Arial" w:eastAsia="Arial" w:hAnsi="Arial"/>
          <w:sz w:val="17"/>
          <w:szCs w:val="17"/>
          <w:b w:val="1"/>
          <w:bCs w:val="1"/>
          <w:u w:val="single" w:color="auto"/>
          <w:color w:val="auto"/>
        </w:rPr>
        <w:t>Committees</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may designate one or more committees, each committee to consist of one or more of the directors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The Board may designate one or more directors as alternate members of any committee, who may replace any absent or disqualified member at any meeting of the committee. In the absence or disqualification of a member of the committee, the member or members thereof present at any meeting of such committee who are not disqualified from voting, whether or not such member or members constitute a quorum, may unanimously appoint another member of the Board to act at the meeting in place of any such absent or disqualified member. Any such committee, to the extent provided in a resolution of the Board,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in reference to the following matters: (a) approving, adopting or recommending to the stockholders any action or matter (other than the election or removal of members of the Board) expressly required by the DGCL to be submitted to stockholders for approval or (b) adopting, amending or repealing any bylaw of the Corporation.</w:t>
      </w:r>
    </w:p>
    <w:p>
      <w:pPr>
        <w:spacing w:after="0" w:line="177" w:lineRule="exact"/>
        <w:rPr>
          <w:sz w:val="20"/>
          <w:szCs w:val="20"/>
          <w:color w:val="auto"/>
        </w:rPr>
      </w:pPr>
    </w:p>
    <w:p>
      <w:pPr>
        <w:ind w:right="100" w:firstLine="440"/>
        <w:spacing w:after="0" w:line="274" w:lineRule="auto"/>
        <w:rPr>
          <w:sz w:val="20"/>
          <w:szCs w:val="20"/>
          <w:color w:val="auto"/>
        </w:rPr>
      </w:pPr>
      <w:r>
        <w:rPr>
          <w:rFonts w:ascii="Arial" w:cs="Arial" w:eastAsia="Arial" w:hAnsi="Arial"/>
          <w:sz w:val="17"/>
          <w:szCs w:val="17"/>
          <w:b w:val="1"/>
          <w:bCs w:val="1"/>
          <w:color w:val="auto"/>
        </w:rPr>
        <w:t xml:space="preserve">Section 3.2: </w:t>
      </w:r>
      <w:r>
        <w:rPr>
          <w:rFonts w:ascii="Arial" w:cs="Arial" w:eastAsia="Arial" w:hAnsi="Arial"/>
          <w:sz w:val="17"/>
          <w:szCs w:val="17"/>
          <w:b w:val="1"/>
          <w:bCs w:val="1"/>
          <w:u w:val="single" w:color="auto"/>
          <w:color w:val="auto"/>
        </w:rPr>
        <w:t>Committee Rules</w:t>
      </w:r>
      <w:r>
        <w:rPr>
          <w:rFonts w:ascii="Arial" w:cs="Arial" w:eastAsia="Arial" w:hAnsi="Arial"/>
          <w:sz w:val="17"/>
          <w:szCs w:val="17"/>
          <w:b w:val="1"/>
          <w:bCs w:val="1"/>
          <w:color w:val="auto"/>
        </w:rPr>
        <w:t xml:space="preserve">. </w:t>
      </w:r>
      <w:r>
        <w:rPr>
          <w:rFonts w:ascii="Arial" w:cs="Arial" w:eastAsia="Arial" w:hAnsi="Arial"/>
          <w:sz w:val="17"/>
          <w:szCs w:val="17"/>
          <w:color w:val="auto"/>
        </w:rPr>
        <w:t>Each committee shall keep records of its proceedings and make such reports as the Board may from time to</w:t>
      </w:r>
      <w:r>
        <w:rPr>
          <w:rFonts w:ascii="Arial" w:cs="Arial" w:eastAsia="Arial" w:hAnsi="Arial"/>
          <w:sz w:val="17"/>
          <w:szCs w:val="17"/>
          <w:b w:val="1"/>
          <w:bCs w:val="1"/>
          <w:color w:val="auto"/>
        </w:rPr>
        <w:t xml:space="preserve"> </w:t>
      </w:r>
      <w:r>
        <w:rPr>
          <w:rFonts w:ascii="Arial" w:cs="Arial" w:eastAsia="Arial" w:hAnsi="Arial"/>
          <w:sz w:val="17"/>
          <w:szCs w:val="17"/>
          <w:color w:val="auto"/>
        </w:rPr>
        <w:t>time request. Unless the Board otherwise provides, each committee designated by the Board may make, alter and repeal rules for the conduct of its business. In the absence of such rules, each committee shall conduct its business in the same manner as the Board conducts its business pursuant to Article II of these Bylaws. Except as otherwise provided in the Certificate of Incorporation, these Bylaws or the resolution of the Board designating the committee, any committee may create one or more subcommittees, each subcommittee to consist of one or more members of the committee, and may delegate to any such subcommittee any or all of the powers and authority of the committee.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 OFFICERS; CHAIRPERSON; LEAD INDEPENDENT DIRECTOR</w:t>
      </w:r>
    </w:p>
    <w:p>
      <w:pPr>
        <w:spacing w:after="0" w:line="225"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 xml:space="preserve">Section 4.1: </w:t>
      </w:r>
      <w:r>
        <w:rPr>
          <w:rFonts w:ascii="Arial" w:cs="Arial" w:eastAsia="Arial" w:hAnsi="Arial"/>
          <w:sz w:val="18"/>
          <w:szCs w:val="18"/>
          <w:b w:val="1"/>
          <w:bCs w:val="1"/>
          <w:u w:val="single" w:color="auto"/>
          <w:color w:val="auto"/>
        </w:rPr>
        <w:t>Generally</w:t>
      </w:r>
      <w:r>
        <w:rPr>
          <w:rFonts w:ascii="Arial" w:cs="Arial" w:eastAsia="Arial" w:hAnsi="Arial"/>
          <w:sz w:val="18"/>
          <w:szCs w:val="18"/>
          <w:b w:val="1"/>
          <w:bCs w:val="1"/>
          <w:color w:val="auto"/>
        </w:rPr>
        <w:t xml:space="preserve">. </w:t>
      </w:r>
      <w:r>
        <w:rPr>
          <w:rFonts w:ascii="Arial" w:cs="Arial" w:eastAsia="Arial" w:hAnsi="Arial"/>
          <w:sz w:val="18"/>
          <w:szCs w:val="18"/>
          <w:color w:val="auto"/>
        </w:rPr>
        <w:t>The officers of the Corporation shall consist of a Chief Executive Officer (who may be the Chairperson of the Board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President), a President, a Secretary and a Treasurer and may consist of such other officers, including, without limitation, a Chief Financial Officer, and one or more Vice Presidents, as may from time to time be appointed by the Board. All officers shall be elected by the Board;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the Board may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140" w:name="page141"/>
    <w:bookmarkEnd w:id="140"/>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empower the Chief Executive Officer of the Corporation to appoint any officer other than the Chief Executive Officer, the President, the Chief Financial Officer or the Treasurer. Except as otherwise provided by law, the Certificate of Incorporation or these Bylaws, each officer shall hold office until such officer’s successor is duly elected and qualified or until such officer’s earlier resignation, death, disqualification or removal. Any number of offices may be held by the same person. Any officer may resign by delivering a resignation in writing or by electronic transmission to the Corporation at its principal office or to the Chairperson of the Board, the Chief Executive Officer or the Secretary. Such resignation shall be effective upon delivery unless it is specified to be effective at some later time or upon the happening of some later event. Any vacancy occurring in any office of the Corporation by death, resignation, removal or otherwise may be filled by the Board and the Board may, in its discretion, leave unfilled, for such period as it may determine, any offices. Each such successor shall hold office for the unexpired term of such officer’s predecessor and until a successor is duly elected and qualified or until such officer’s earlier resignation, death, disqualification or removal.</w:t>
      </w:r>
    </w:p>
    <w:p>
      <w:pPr>
        <w:spacing w:after="0" w:line="177"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b w:val="1"/>
          <w:bCs w:val="1"/>
          <w:color w:val="auto"/>
        </w:rPr>
        <w:t xml:space="preserve">Section 4.2: </w:t>
      </w:r>
      <w:r>
        <w:rPr>
          <w:rFonts w:ascii="Arial" w:cs="Arial" w:eastAsia="Arial" w:hAnsi="Arial"/>
          <w:sz w:val="18"/>
          <w:szCs w:val="18"/>
          <w:b w:val="1"/>
          <w:bCs w:val="1"/>
          <w:u w:val="single" w:color="auto"/>
          <w:color w:val="auto"/>
        </w:rPr>
        <w:t>Chief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control of the Board and such supervisory powers (if any) as may be given by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the powers and duties of the Chief Executive Officer of the Corporation are:</w:t>
      </w:r>
    </w:p>
    <w:p>
      <w:pPr>
        <w:spacing w:after="0" w:line="58" w:lineRule="exact"/>
        <w:rPr>
          <w:sz w:val="20"/>
          <w:szCs w:val="20"/>
          <w:color w:val="auto"/>
        </w:rPr>
      </w:pPr>
    </w:p>
    <w:p>
      <w:pPr>
        <w:ind w:left="440" w:right="40" w:firstLine="419"/>
        <w:spacing w:after="0" w:line="277" w:lineRule="auto"/>
        <w:tabs>
          <w:tab w:leader="none" w:pos="1243"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act as the general manager and, subject to the control of the Board, to have general supervision, direction and control of the business and affairs of the Corporation;</w:t>
      </w:r>
    </w:p>
    <w:p>
      <w:pPr>
        <w:spacing w:after="0" w:line="62" w:lineRule="exact"/>
        <w:rPr>
          <w:rFonts w:ascii="Arial" w:cs="Arial" w:eastAsia="Arial" w:hAnsi="Arial"/>
          <w:sz w:val="18"/>
          <w:szCs w:val="18"/>
          <w:color w:val="auto"/>
        </w:rPr>
      </w:pPr>
    </w:p>
    <w:p>
      <w:pPr>
        <w:ind w:left="1240" w:hanging="381"/>
        <w:spacing w:after="0"/>
        <w:tabs>
          <w:tab w:leader="none" w:pos="12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subject to Section 1.6 of these Bylaws, to preside at all meetings of the stockholders;</w:t>
      </w:r>
    </w:p>
    <w:p>
      <w:pPr>
        <w:spacing w:after="0" w:line="117" w:lineRule="exact"/>
        <w:rPr>
          <w:rFonts w:ascii="Arial" w:cs="Arial" w:eastAsia="Arial" w:hAnsi="Arial"/>
          <w:sz w:val="18"/>
          <w:szCs w:val="18"/>
          <w:color w:val="auto"/>
        </w:rPr>
      </w:pPr>
    </w:p>
    <w:p>
      <w:pPr>
        <w:ind w:left="440" w:right="740" w:firstLine="419"/>
        <w:spacing w:after="0" w:line="277" w:lineRule="auto"/>
        <w:tabs>
          <w:tab w:leader="none" w:pos="1243" w:val="left"/>
        </w:tabs>
        <w:numPr>
          <w:ilvl w:val="0"/>
          <w:numId w:val="97"/>
        </w:numPr>
        <w:rPr>
          <w:rFonts w:ascii="Arial" w:cs="Arial" w:eastAsia="Arial" w:hAnsi="Arial"/>
          <w:sz w:val="18"/>
          <w:szCs w:val="18"/>
          <w:color w:val="auto"/>
        </w:rPr>
      </w:pPr>
      <w:r>
        <w:rPr>
          <w:rFonts w:ascii="Arial" w:cs="Arial" w:eastAsia="Arial" w:hAnsi="Arial"/>
          <w:sz w:val="18"/>
          <w:szCs w:val="18"/>
          <w:color w:val="auto"/>
        </w:rPr>
        <w:t>subject to Section 1.2 of these Bylaws, to call special meetings of the stockholders to be held at such times and, subject to the limitations prescribed by law or by these Bylaws, at such places as he or she shall deem proper; and</w:t>
      </w:r>
    </w:p>
    <w:p>
      <w:pPr>
        <w:spacing w:after="0" w:line="62" w:lineRule="exact"/>
        <w:rPr>
          <w:rFonts w:ascii="Arial" w:cs="Arial" w:eastAsia="Arial" w:hAnsi="Arial"/>
          <w:sz w:val="18"/>
          <w:szCs w:val="18"/>
          <w:color w:val="auto"/>
        </w:rPr>
      </w:pPr>
    </w:p>
    <w:p>
      <w:pPr>
        <w:ind w:left="440" w:right="20" w:firstLine="419"/>
        <w:spacing w:after="0" w:line="257" w:lineRule="auto"/>
        <w:tabs>
          <w:tab w:leader="none" w:pos="1253"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affix the signature of the Corporation to all deeds, conveyances, mortgages, guarantees, leases, obligations, bonds, certificates and other papers and instruments in writing which have been authorized by the Board or which, in the judgment of the Chief Executive Officer, should be executed on behalf of the Corporation; to sign certificates for shares of stock of the Corporation (if any); and, subject to the direction of the Board, to have general charge of the property of the Corporation and to supervise and control all officers, agents and employees of the Corporation.</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person holding the office of President shall be the Chief Executive Officer of the Corporation unless the Board shall designate another officer to be the Chief Executive Officer.</w:t>
      </w:r>
    </w:p>
    <w:p>
      <w:pPr>
        <w:spacing w:after="0" w:line="166" w:lineRule="exact"/>
        <w:rPr>
          <w:sz w:val="20"/>
          <w:szCs w:val="20"/>
          <w:color w:val="auto"/>
        </w:rPr>
      </w:pPr>
    </w:p>
    <w:p>
      <w:pPr>
        <w:jc w:val="both"/>
        <w:ind w:right="140" w:firstLine="440"/>
        <w:spacing w:after="0" w:line="266" w:lineRule="auto"/>
        <w:rPr>
          <w:sz w:val="20"/>
          <w:szCs w:val="20"/>
          <w:color w:val="auto"/>
        </w:rPr>
      </w:pPr>
      <w:r>
        <w:rPr>
          <w:rFonts w:ascii="Arial" w:cs="Arial" w:eastAsia="Arial" w:hAnsi="Arial"/>
          <w:sz w:val="18"/>
          <w:szCs w:val="18"/>
          <w:b w:val="1"/>
          <w:bCs w:val="1"/>
          <w:color w:val="auto"/>
        </w:rPr>
        <w:t xml:space="preserve">Section 4.3: </w:t>
      </w:r>
      <w:r>
        <w:rPr>
          <w:rFonts w:ascii="Arial" w:cs="Arial" w:eastAsia="Arial" w:hAnsi="Arial"/>
          <w:sz w:val="18"/>
          <w:szCs w:val="18"/>
          <w:b w:val="1"/>
          <w:bCs w:val="1"/>
          <w:u w:val="single" w:color="auto"/>
          <w:color w:val="auto"/>
        </w:rPr>
        <w:t>Chairperson of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Section 2.7 of these Bylaws, the Chairperson of the Board shall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power to preside at all meetings of the Board and shall have such other powers and duties as provided in these Bylaws and as the Board may from time to time prescribe. The Chairperson of the Board may or may not be an officer of the Corporation.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141" w:name="page142"/>
    <w:bookmarkEnd w:id="141"/>
    <w:p>
      <w:pPr>
        <w:ind w:firstLine="440"/>
        <w:spacing w:after="0" w:line="277"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4.4: </w:t>
      </w:r>
      <w:r>
        <w:rPr>
          <w:rFonts w:ascii="Arial" w:cs="Arial" w:eastAsia="Arial" w:hAnsi="Arial"/>
          <w:sz w:val="17"/>
          <w:szCs w:val="17"/>
          <w:b w:val="1"/>
          <w:bCs w:val="1"/>
          <w:u w:val="single" w:color="auto"/>
          <w:color w:val="auto"/>
        </w:rPr>
        <w:t>Lead Independent Director</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may, in its discretion, elect a lead independent director from among its members that are</w:t>
      </w:r>
      <w:r>
        <w:rPr>
          <w:rFonts w:ascii="Arial" w:cs="Arial" w:eastAsia="Arial" w:hAnsi="Arial"/>
          <w:sz w:val="17"/>
          <w:szCs w:val="17"/>
          <w:b w:val="1"/>
          <w:bCs w:val="1"/>
          <w:color w:val="auto"/>
        </w:rPr>
        <w:t xml:space="preserve"> </w:t>
      </w:r>
      <w:r>
        <w:rPr>
          <w:rFonts w:ascii="Arial" w:cs="Arial" w:eastAsia="Arial" w:hAnsi="Arial"/>
          <w:sz w:val="17"/>
          <w:szCs w:val="17"/>
          <w:color w:val="auto"/>
        </w:rPr>
        <w:t>Independent Directors (as defined below) (such director, the “</w:t>
      </w:r>
      <w:r>
        <w:rPr>
          <w:rFonts w:ascii="Arial" w:cs="Arial" w:eastAsia="Arial" w:hAnsi="Arial"/>
          <w:sz w:val="17"/>
          <w:szCs w:val="17"/>
          <w:b w:val="1"/>
          <w:bCs w:val="1"/>
          <w:i w:val="1"/>
          <w:iCs w:val="1"/>
          <w:color w:val="auto"/>
        </w:rPr>
        <w:t>Lead Independent Director</w:t>
      </w:r>
      <w:r>
        <w:rPr>
          <w:rFonts w:ascii="Arial" w:cs="Arial" w:eastAsia="Arial" w:hAnsi="Arial"/>
          <w:sz w:val="17"/>
          <w:szCs w:val="17"/>
          <w:color w:val="auto"/>
        </w:rPr>
        <w:t>”). The Lead Independent Director shall preside at all meetings at which the Chairperson of the Board is not present and shall exercise such other powers and duties as may from time to time be assigned to him or her by the Board or as prescribed by these Bylaws. For purposes of these Bylaws, “</w:t>
      </w:r>
      <w:r>
        <w:rPr>
          <w:rFonts w:ascii="Arial" w:cs="Arial" w:eastAsia="Arial" w:hAnsi="Arial"/>
          <w:sz w:val="17"/>
          <w:szCs w:val="17"/>
          <w:b w:val="1"/>
          <w:bCs w:val="1"/>
          <w:i w:val="1"/>
          <w:iCs w:val="1"/>
          <w:color w:val="auto"/>
        </w:rPr>
        <w:t>Independent Director</w:t>
      </w:r>
      <w:r>
        <w:rPr>
          <w:rFonts w:ascii="Arial" w:cs="Arial" w:eastAsia="Arial" w:hAnsi="Arial"/>
          <w:sz w:val="17"/>
          <w:szCs w:val="17"/>
          <w:color w:val="auto"/>
        </w:rPr>
        <w:t>” has the meaning ascribed to such term under the rules of the exchange upon which the Corporation’s Common Stock is primarily traded.</w:t>
      </w:r>
    </w:p>
    <w:p>
      <w:pPr>
        <w:spacing w:after="0" w:line="168"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b w:val="1"/>
          <w:bCs w:val="1"/>
          <w:color w:val="auto"/>
        </w:rPr>
        <w:t xml:space="preserve">Section 4.5: </w:t>
      </w:r>
      <w:r>
        <w:rPr>
          <w:rFonts w:ascii="Arial" w:cs="Arial" w:eastAsia="Arial" w:hAnsi="Arial"/>
          <w:sz w:val="17"/>
          <w:szCs w:val="17"/>
          <w:b w:val="1"/>
          <w:bCs w:val="1"/>
          <w:u w:val="single" w:color="auto"/>
          <w:color w:val="auto"/>
        </w:rPr>
        <w:t>President</w:t>
      </w:r>
      <w:r>
        <w:rPr>
          <w:rFonts w:ascii="Arial" w:cs="Arial" w:eastAsia="Arial" w:hAnsi="Arial"/>
          <w:sz w:val="17"/>
          <w:szCs w:val="17"/>
          <w:b w:val="1"/>
          <w:bCs w:val="1"/>
          <w:color w:val="auto"/>
        </w:rPr>
        <w:t xml:space="preserve">. </w:t>
      </w:r>
      <w:r>
        <w:rPr>
          <w:rFonts w:ascii="Arial" w:cs="Arial" w:eastAsia="Arial" w:hAnsi="Arial"/>
          <w:sz w:val="17"/>
          <w:szCs w:val="17"/>
          <w:color w:val="auto"/>
        </w:rPr>
        <w:t>The person holding the office of Chief Executive Officer shall be the President of the Corporation unless the Board shall</w:t>
      </w:r>
      <w:r>
        <w:rPr>
          <w:rFonts w:ascii="Arial" w:cs="Arial" w:eastAsia="Arial" w:hAnsi="Arial"/>
          <w:sz w:val="17"/>
          <w:szCs w:val="17"/>
          <w:b w:val="1"/>
          <w:bCs w:val="1"/>
          <w:color w:val="auto"/>
        </w:rPr>
        <w:t xml:space="preserve"> </w:t>
      </w:r>
      <w:r>
        <w:rPr>
          <w:rFonts w:ascii="Arial" w:cs="Arial" w:eastAsia="Arial" w:hAnsi="Arial"/>
          <w:sz w:val="17"/>
          <w:szCs w:val="17"/>
          <w:color w:val="auto"/>
        </w:rPr>
        <w:t>have designated one individual as the President and a different individual as the Chief Executive Officer of the Corporation. Subject to the provisions of these Bylaws and to the direction of the Board, and subject to the supervisory powers of the Chief Executive Officer (if the Chief Executive Officer is an officer other than the President), and subject to such supervisory powers and authority as may be given by the Board to the Chairperson of the Board, and/or to any other officer, the President shall have the responsibility for the general management and control of the business and affairs of the Corporation and the general supervision and direction of all of the officers, employees and agents of the Corporation (other than the Chief Executive Officer, if the Chief Executive Officer is an officer other than the President) and shall perform all duties and have all powers that are commonly incident to the office of President or that are delegated to the President by the Board.</w:t>
      </w:r>
    </w:p>
    <w:p>
      <w:pPr>
        <w:spacing w:after="0" w:line="172"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 xml:space="preserve">Section 4.6: </w:t>
      </w:r>
      <w:r>
        <w:rPr>
          <w:rFonts w:ascii="Arial" w:cs="Arial" w:eastAsia="Arial" w:hAnsi="Arial"/>
          <w:sz w:val="18"/>
          <w:szCs w:val="18"/>
          <w:b w:val="1"/>
          <w:bCs w:val="1"/>
          <w:u w:val="single" w:color="auto"/>
          <w:color w:val="auto"/>
        </w:rPr>
        <w:t>Chief Financial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The person holding the office of Chief Financial Officer shall be the Treasurer of the Corporation unless</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shall have designated another officer as the Treasurer of the Corporation. Subject to the direction of the Board and the Chief Executive Officer, the Chief Financial Officer shall perform all duties and have all powers that are commonly incident to the office of Chief Financial Officer, or as the Board or the Chief Executive Officer may from time to time prescribe.</w:t>
      </w:r>
    </w:p>
    <w:p>
      <w:pPr>
        <w:spacing w:after="0" w:line="180" w:lineRule="exact"/>
        <w:rPr>
          <w:sz w:val="20"/>
          <w:szCs w:val="20"/>
          <w:color w:val="auto"/>
        </w:rPr>
      </w:pPr>
    </w:p>
    <w:p>
      <w:pPr>
        <w:ind w:firstLine="440"/>
        <w:spacing w:after="0" w:line="277" w:lineRule="auto"/>
        <w:rPr>
          <w:sz w:val="20"/>
          <w:szCs w:val="20"/>
          <w:color w:val="auto"/>
        </w:rPr>
      </w:pPr>
      <w:r>
        <w:rPr>
          <w:rFonts w:ascii="Arial" w:cs="Arial" w:eastAsia="Arial" w:hAnsi="Arial"/>
          <w:sz w:val="17"/>
          <w:szCs w:val="17"/>
          <w:b w:val="1"/>
          <w:bCs w:val="1"/>
          <w:color w:val="auto"/>
        </w:rPr>
        <w:t xml:space="preserve">Section 4.7: </w:t>
      </w:r>
      <w:r>
        <w:rPr>
          <w:rFonts w:ascii="Arial" w:cs="Arial" w:eastAsia="Arial" w:hAnsi="Arial"/>
          <w:sz w:val="17"/>
          <w:szCs w:val="17"/>
          <w:b w:val="1"/>
          <w:bCs w:val="1"/>
          <w:u w:val="single" w:color="auto"/>
          <w:color w:val="auto"/>
        </w:rPr>
        <w:t>Treasurer</w:t>
      </w:r>
      <w:r>
        <w:rPr>
          <w:rFonts w:ascii="Arial" w:cs="Arial" w:eastAsia="Arial" w:hAnsi="Arial"/>
          <w:sz w:val="17"/>
          <w:szCs w:val="17"/>
          <w:b w:val="1"/>
          <w:bCs w:val="1"/>
          <w:color w:val="auto"/>
        </w:rPr>
        <w:t xml:space="preserve">. </w:t>
      </w:r>
      <w:r>
        <w:rPr>
          <w:rFonts w:ascii="Arial" w:cs="Arial" w:eastAsia="Arial" w:hAnsi="Arial"/>
          <w:sz w:val="17"/>
          <w:szCs w:val="17"/>
          <w:color w:val="auto"/>
        </w:rPr>
        <w:t>The person holding the office of Treasurer shall be the Chief Financial Officer of the Corporation unless the Board shall</w:t>
      </w:r>
      <w:r>
        <w:rPr>
          <w:rFonts w:ascii="Arial" w:cs="Arial" w:eastAsia="Arial" w:hAnsi="Arial"/>
          <w:sz w:val="17"/>
          <w:szCs w:val="17"/>
          <w:b w:val="1"/>
          <w:bCs w:val="1"/>
          <w:color w:val="auto"/>
        </w:rPr>
        <w:t xml:space="preserve"> </w:t>
      </w:r>
      <w:r>
        <w:rPr>
          <w:rFonts w:ascii="Arial" w:cs="Arial" w:eastAsia="Arial" w:hAnsi="Arial"/>
          <w:sz w:val="17"/>
          <w:szCs w:val="17"/>
          <w:color w:val="auto"/>
        </w:rPr>
        <w:t>have designated another officer as the Chief Financial Officer of the Corporation. The Treasurer shall have custody of all monies and securities of the Corporation. The Treasurer shall make such disbursements of the funds of the Corporation as are authorized and shall render from time to time an account of all such transactions. The Treasurer shall also perform such other duties and have such other powers as are commonly incident to the office of Treasurer, or as the Board or the Chief Executive Officer may from time to time prescribe.</w:t>
      </w:r>
    </w:p>
    <w:p>
      <w:pPr>
        <w:spacing w:after="0" w:line="168" w:lineRule="exact"/>
        <w:rPr>
          <w:sz w:val="20"/>
          <w:szCs w:val="20"/>
          <w:color w:val="auto"/>
        </w:rPr>
      </w:pPr>
    </w:p>
    <w:p>
      <w:pPr>
        <w:ind w:right="40" w:firstLine="440"/>
        <w:spacing w:after="0" w:line="314" w:lineRule="auto"/>
        <w:rPr>
          <w:sz w:val="20"/>
          <w:szCs w:val="20"/>
          <w:color w:val="auto"/>
        </w:rPr>
      </w:pPr>
      <w:r>
        <w:rPr>
          <w:rFonts w:ascii="Arial" w:cs="Arial" w:eastAsia="Arial" w:hAnsi="Arial"/>
          <w:sz w:val="16"/>
          <w:szCs w:val="16"/>
          <w:b w:val="1"/>
          <w:bCs w:val="1"/>
          <w:color w:val="auto"/>
        </w:rPr>
        <w:t xml:space="preserve">Section 4.8: </w:t>
      </w:r>
      <w:r>
        <w:rPr>
          <w:rFonts w:ascii="Arial" w:cs="Arial" w:eastAsia="Arial" w:hAnsi="Arial"/>
          <w:sz w:val="16"/>
          <w:szCs w:val="16"/>
          <w:b w:val="1"/>
          <w:bCs w:val="1"/>
          <w:u w:val="single" w:color="auto"/>
          <w:color w:val="auto"/>
        </w:rPr>
        <w:t>Vice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Each Vice President shall have all such powers and duties as are commonly incident to the office of Vice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or that are delegated to him or her by the Board or the Chief Executive Officer. A Vice President may be designated by the Board to perform the duties and exercise the powers of the Chief Executive Officer or President in the event of the Chief Executive Officer’s or President’s absence or disability.</w:t>
      </w:r>
    </w:p>
    <w:p>
      <w:pPr>
        <w:spacing w:after="0" w:line="142" w:lineRule="exact"/>
        <w:rPr>
          <w:sz w:val="20"/>
          <w:szCs w:val="20"/>
          <w:color w:val="auto"/>
        </w:rPr>
      </w:pPr>
    </w:p>
    <w:p>
      <w:pPr>
        <w:ind w:right="100" w:firstLine="440"/>
        <w:spacing w:after="0" w:line="261" w:lineRule="auto"/>
        <w:rPr>
          <w:sz w:val="20"/>
          <w:szCs w:val="20"/>
          <w:color w:val="auto"/>
        </w:rPr>
      </w:pPr>
      <w:r>
        <w:rPr>
          <w:rFonts w:ascii="Arial" w:cs="Arial" w:eastAsia="Arial" w:hAnsi="Arial"/>
          <w:sz w:val="18"/>
          <w:szCs w:val="18"/>
          <w:b w:val="1"/>
          <w:bCs w:val="1"/>
          <w:color w:val="auto"/>
        </w:rPr>
        <w:t xml:space="preserve">Section 4.9: </w:t>
      </w:r>
      <w:r>
        <w:rPr>
          <w:rFonts w:ascii="Arial" w:cs="Arial" w:eastAsia="Arial" w:hAnsi="Arial"/>
          <w:sz w:val="18"/>
          <w:szCs w:val="18"/>
          <w:b w:val="1"/>
          <w:bCs w:val="1"/>
          <w:u w:val="single" w:color="auto"/>
          <w:color w:val="auto"/>
        </w:rPr>
        <w:t>Secretary</w:t>
      </w:r>
      <w:r>
        <w:rPr>
          <w:rFonts w:ascii="Arial" w:cs="Arial" w:eastAsia="Arial" w:hAnsi="Arial"/>
          <w:sz w:val="18"/>
          <w:szCs w:val="18"/>
          <w:b w:val="1"/>
          <w:bCs w:val="1"/>
          <w:color w:val="auto"/>
        </w:rPr>
        <w:t xml:space="preserve">. </w:t>
      </w:r>
      <w:r>
        <w:rPr>
          <w:rFonts w:ascii="Arial" w:cs="Arial" w:eastAsia="Arial" w:hAnsi="Arial"/>
          <w:sz w:val="18"/>
          <w:szCs w:val="18"/>
          <w:color w:val="auto"/>
        </w:rPr>
        <w:t>The Secretary shall issue or cause to be issued all authorized notices for, and shall keep, or cause to be kept, minutes of</w:t>
      </w:r>
      <w:r>
        <w:rPr>
          <w:rFonts w:ascii="Arial" w:cs="Arial" w:eastAsia="Arial" w:hAnsi="Arial"/>
          <w:sz w:val="18"/>
          <w:szCs w:val="18"/>
          <w:b w:val="1"/>
          <w:bCs w:val="1"/>
          <w:color w:val="auto"/>
        </w:rPr>
        <w:t xml:space="preserve"> </w:t>
      </w:r>
      <w:r>
        <w:rPr>
          <w:rFonts w:ascii="Arial" w:cs="Arial" w:eastAsia="Arial" w:hAnsi="Arial"/>
          <w:sz w:val="18"/>
          <w:szCs w:val="18"/>
          <w:color w:val="auto"/>
        </w:rPr>
        <w:t>all meetings of the stockholders and the Board. The Secretary shall have charge of the corporate minute books and similar records and shall perform such other duties and have such other powers as are commonly incident to the office of Secretary, or as the Board or the Chief Executive Officer may from time to time prescribe.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0" w:right="459" w:bottom="1440" w:gutter="0" w:footer="0" w:header="0"/>
        </w:sectPr>
      </w:pPr>
    </w:p>
    <w:bookmarkStart w:id="142" w:name="page143"/>
    <w:bookmarkEnd w:id="142"/>
    <w:p>
      <w:pPr>
        <w:ind w:right="4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4.10: </w:t>
      </w:r>
      <w:r>
        <w:rPr>
          <w:rFonts w:ascii="Arial" w:cs="Arial" w:eastAsia="Arial" w:hAnsi="Arial"/>
          <w:sz w:val="18"/>
          <w:szCs w:val="18"/>
          <w:b w:val="1"/>
          <w:bCs w:val="1"/>
          <w:u w:val="single" w:color="auto"/>
          <w:color w:val="auto"/>
        </w:rPr>
        <w:t>Delegation of Authority</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may from time to time delegate the powers or duties of any officer of the Corporation to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officers or agents of the Corporation, notwithstanding any provision hereof.</w:t>
      </w:r>
    </w:p>
    <w:p>
      <w:pPr>
        <w:spacing w:after="0" w:line="162"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 xml:space="preserve">Section 4.11: </w:t>
      </w:r>
      <w:r>
        <w:rPr>
          <w:rFonts w:ascii="Arial" w:cs="Arial" w:eastAsia="Arial" w:hAnsi="Arial"/>
          <w:sz w:val="18"/>
          <w:szCs w:val="18"/>
          <w:b w:val="1"/>
          <w:bCs w:val="1"/>
          <w:u w:val="single" w:color="auto"/>
          <w:color w:val="auto"/>
        </w:rPr>
        <w:t>Removal</w:t>
      </w:r>
      <w:r>
        <w:rPr>
          <w:rFonts w:ascii="Arial" w:cs="Arial" w:eastAsia="Arial" w:hAnsi="Arial"/>
          <w:sz w:val="18"/>
          <w:szCs w:val="18"/>
          <w:b w:val="1"/>
          <w:bCs w:val="1"/>
          <w:color w:val="auto"/>
        </w:rPr>
        <w:t xml:space="preserve">. </w:t>
      </w:r>
      <w:r>
        <w:rPr>
          <w:rFonts w:ascii="Arial" w:cs="Arial" w:eastAsia="Arial" w:hAnsi="Arial"/>
          <w:sz w:val="18"/>
          <w:szCs w:val="18"/>
          <w:color w:val="auto"/>
        </w:rPr>
        <w:t>Any officer of the Corporation shall serve at the pleasure of the Board and may be removed at any time, with or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cause, by the Board;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if the Board has empowered the Chief Executive Officer to appoint any officer of the Corporation, then such officer may also be removed by the Chief Executive Officer. Such removal shall be without prejudice to the contractual rights of such officer (if any) with the Corporation.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 STOCK</w:t>
      </w:r>
    </w:p>
    <w:p>
      <w:pPr>
        <w:spacing w:after="0" w:line="225" w:lineRule="exact"/>
        <w:rPr>
          <w:sz w:val="20"/>
          <w:szCs w:val="20"/>
          <w:color w:val="auto"/>
        </w:rPr>
      </w:pPr>
    </w:p>
    <w:p>
      <w:pPr>
        <w:jc w:val="both"/>
        <w:ind w:right="560" w:firstLine="440"/>
        <w:spacing w:after="0" w:line="289" w:lineRule="auto"/>
        <w:rPr>
          <w:sz w:val="20"/>
          <w:szCs w:val="20"/>
          <w:color w:val="auto"/>
        </w:rPr>
      </w:pPr>
      <w:r>
        <w:rPr>
          <w:rFonts w:ascii="Arial" w:cs="Arial" w:eastAsia="Arial" w:hAnsi="Arial"/>
          <w:sz w:val="16"/>
          <w:szCs w:val="16"/>
          <w:b w:val="1"/>
          <w:bCs w:val="1"/>
          <w:color w:val="auto"/>
        </w:rPr>
        <w:t xml:space="preserve">Section 5.1: </w:t>
      </w:r>
      <w:r>
        <w:rPr>
          <w:rFonts w:ascii="Arial" w:cs="Arial" w:eastAsia="Arial" w:hAnsi="Arial"/>
          <w:sz w:val="16"/>
          <w:szCs w:val="16"/>
          <w:b w:val="1"/>
          <w:bCs w:val="1"/>
          <w:u w:val="single" w:color="auto"/>
          <w:color w:val="auto"/>
        </w:rPr>
        <w:t>Certificates; Uncertificated Shares</w:t>
      </w:r>
      <w:r>
        <w:rPr>
          <w:rFonts w:ascii="Arial" w:cs="Arial" w:eastAsia="Arial" w:hAnsi="Arial"/>
          <w:sz w:val="16"/>
          <w:szCs w:val="16"/>
          <w:b w:val="1"/>
          <w:bCs w:val="1"/>
          <w:color w:val="auto"/>
        </w:rPr>
        <w:t xml:space="preserve">. </w:t>
      </w:r>
      <w:r>
        <w:rPr>
          <w:rFonts w:ascii="Arial" w:cs="Arial" w:eastAsia="Arial" w:hAnsi="Arial"/>
          <w:sz w:val="16"/>
          <w:szCs w:val="16"/>
          <w:color w:val="auto"/>
        </w:rPr>
        <w:t>The shares of capital stock of the Corporation shall be uncertificated shares;</w:t>
      </w:r>
      <w:r>
        <w:rPr>
          <w:rFonts w:ascii="Arial" w:cs="Arial" w:eastAsia="Arial" w:hAnsi="Arial"/>
          <w:sz w:val="16"/>
          <w:szCs w:val="16"/>
          <w:b w:val="1"/>
          <w:bCs w:val="1"/>
          <w:color w:val="auto"/>
        </w:rPr>
        <w:t xml:space="preserv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the resolution of the Board that the shares of capital stock of the Corporation shall be uncertificated shares shall not apply to shares</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represented by a certificate until such certificate is surrendered to the Corporation (or the transfer agent or registrar, as the case may be).</w:t>
      </w:r>
    </w:p>
    <w:p>
      <w:pPr>
        <w:spacing w:after="0" w:line="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Notwithstanding the foregoing, the Board may provide by resolution or resolutions that some or all of any or all classes or series of its stock shall be certificated shares. Every holder of stock represented by certificates shall be entitled to have a certificate signed by, or in the name of, the Corporation, by any two authorized officers of the Corporation (it being understood that each of the Chairperson of the Board, the Vice-Chairperson of the Board, the Chief Executive Officer, the President, any Vice President, the Treasurer, any Assistant Treasurer, the Secretary and any Assistant Secretary shall be an authorized officer for such purpose), representing the number of shares registered in certificate form.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an officer, transfer agent or registrar at the date of issue.</w:t>
      </w:r>
    </w:p>
    <w:p>
      <w:pPr>
        <w:spacing w:after="0" w:line="179" w:lineRule="exact"/>
        <w:rPr>
          <w:sz w:val="20"/>
          <w:szCs w:val="20"/>
          <w:color w:val="auto"/>
        </w:rPr>
      </w:pPr>
    </w:p>
    <w:p>
      <w:pPr>
        <w:ind w:right="80" w:firstLine="440"/>
        <w:spacing w:after="0" w:line="274" w:lineRule="auto"/>
        <w:rPr>
          <w:sz w:val="20"/>
          <w:szCs w:val="20"/>
          <w:color w:val="auto"/>
        </w:rPr>
      </w:pPr>
      <w:r>
        <w:rPr>
          <w:rFonts w:ascii="Arial" w:cs="Arial" w:eastAsia="Arial" w:hAnsi="Arial"/>
          <w:sz w:val="17"/>
          <w:szCs w:val="17"/>
          <w:b w:val="1"/>
          <w:bCs w:val="1"/>
          <w:color w:val="auto"/>
        </w:rPr>
        <w:t xml:space="preserve">Section 5.2: </w:t>
      </w:r>
      <w:r>
        <w:rPr>
          <w:rFonts w:ascii="Arial" w:cs="Arial" w:eastAsia="Arial" w:hAnsi="Arial"/>
          <w:sz w:val="17"/>
          <w:szCs w:val="17"/>
          <w:b w:val="1"/>
          <w:bCs w:val="1"/>
          <w:u w:val="single" w:color="auto"/>
          <w:color w:val="auto"/>
        </w:rPr>
        <w:t>Lost, Stolen or Destroyed Stock Certificates; Issuance of New Certificates or Uncertificated Shares</w:t>
      </w:r>
      <w:r>
        <w:rPr>
          <w:rFonts w:ascii="Arial" w:cs="Arial" w:eastAsia="Arial" w:hAnsi="Arial"/>
          <w:sz w:val="17"/>
          <w:szCs w:val="17"/>
          <w:b w:val="1"/>
          <w:bCs w:val="1"/>
          <w:color w:val="auto"/>
        </w:rPr>
        <w:t xml:space="preserve">. </w:t>
      </w:r>
      <w:r>
        <w:rPr>
          <w:rFonts w:ascii="Arial" w:cs="Arial" w:eastAsia="Arial" w:hAnsi="Arial"/>
          <w:sz w:val="17"/>
          <w:szCs w:val="17"/>
          <w:color w:val="auto"/>
        </w:rPr>
        <w:t>The Corporation may</w:t>
      </w:r>
      <w:r>
        <w:rPr>
          <w:rFonts w:ascii="Arial" w:cs="Arial" w:eastAsia="Arial" w:hAnsi="Arial"/>
          <w:sz w:val="17"/>
          <w:szCs w:val="17"/>
          <w:b w:val="1"/>
          <w:bCs w:val="1"/>
          <w:color w:val="auto"/>
        </w:rPr>
        <w:t xml:space="preserve"> </w:t>
      </w:r>
      <w:r>
        <w:rPr>
          <w:rFonts w:ascii="Arial" w:cs="Arial" w:eastAsia="Arial" w:hAnsi="Arial"/>
          <w:sz w:val="17"/>
          <w:szCs w:val="17"/>
          <w:color w:val="auto"/>
        </w:rPr>
        <w:t>issue a new certificate of stock or uncertificated shares in the place of any certificate previously issued by it, alleged to have been lost, stolen or destroyed, upon the making of an affidavit of that fact by the person claiming the certificate of stock to be lost, stolen or destroyed, and the Corporation may require the owner of the lost, stolen or destroyed certificate, or such owner’s legal representative, to agree to indemnify the Corporation and/or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73" w:lineRule="exact"/>
        <w:rPr>
          <w:sz w:val="20"/>
          <w:szCs w:val="20"/>
          <w:color w:val="auto"/>
        </w:rPr>
      </w:pPr>
    </w:p>
    <w:p>
      <w:pPr>
        <w:ind w:right="20" w:firstLine="440"/>
        <w:spacing w:after="0" w:line="347" w:lineRule="auto"/>
        <w:rPr>
          <w:sz w:val="20"/>
          <w:szCs w:val="20"/>
          <w:color w:val="auto"/>
        </w:rPr>
      </w:pPr>
      <w:r>
        <w:rPr>
          <w:rFonts w:ascii="Arial" w:cs="Arial" w:eastAsia="Arial" w:hAnsi="Arial"/>
          <w:sz w:val="16"/>
          <w:szCs w:val="16"/>
          <w:b w:val="1"/>
          <w:bCs w:val="1"/>
          <w:color w:val="auto"/>
        </w:rPr>
        <w:t xml:space="preserve">Section 5.3: </w:t>
      </w:r>
      <w:r>
        <w:rPr>
          <w:rFonts w:ascii="Arial" w:cs="Arial" w:eastAsia="Arial" w:hAnsi="Arial"/>
          <w:sz w:val="16"/>
          <w:szCs w:val="16"/>
          <w:b w:val="1"/>
          <w:bCs w:val="1"/>
          <w:u w:val="single" w:color="auto"/>
          <w:color w:val="auto"/>
        </w:rPr>
        <w:t>Other Regulations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applicable law, the Certificate of Incorporation and these Bylaws, the issue, transfer, conversion and</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registration of shares represented by certificates and of uncertificated shares shall be governed by such other regulations as the Board may establish.</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0" w:right="459" w:bottom="1440" w:gutter="0" w:footer="0" w:header="0"/>
        </w:sectPr>
      </w:pPr>
    </w:p>
    <w:bookmarkStart w:id="143" w:name="page144"/>
    <w:bookmarkEnd w:id="14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 INDEMNIFICATION</w:t>
      </w:r>
    </w:p>
    <w:p>
      <w:pPr>
        <w:spacing w:after="0" w:line="225"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b w:val="1"/>
          <w:bCs w:val="1"/>
          <w:color w:val="auto"/>
        </w:rPr>
        <w:t xml:space="preserve">Section 6.1: </w:t>
      </w:r>
      <w:r>
        <w:rPr>
          <w:rFonts w:ascii="Arial" w:cs="Arial" w:eastAsia="Arial" w:hAnsi="Arial"/>
          <w:sz w:val="16"/>
          <w:szCs w:val="16"/>
          <w:b w:val="1"/>
          <w:bCs w:val="1"/>
          <w:u w:val="single" w:color="auto"/>
          <w:color w:val="auto"/>
        </w:rPr>
        <w:t>Indemnification of Officers and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Each person who was or is made a party to, or is threatened to be made a party to, or</w:t>
      </w:r>
      <w:r>
        <w:rPr>
          <w:rFonts w:ascii="Arial" w:cs="Arial" w:eastAsia="Arial" w:hAnsi="Arial"/>
          <w:sz w:val="16"/>
          <w:szCs w:val="16"/>
          <w:b w:val="1"/>
          <w:bCs w:val="1"/>
          <w:color w:val="auto"/>
        </w:rPr>
        <w:t xml:space="preserve"> </w:t>
      </w:r>
      <w:r>
        <w:rPr>
          <w:rFonts w:ascii="Arial" w:cs="Arial" w:eastAsia="Arial" w:hAnsi="Arial"/>
          <w:sz w:val="16"/>
          <w:szCs w:val="16"/>
          <w:color w:val="auto"/>
        </w:rPr>
        <w:t>is involved in any threatened, pending or completed action, suit or proceeding, whether civil, criminal, administrative, legislative, investigative or any other type whatsoever, preliminary, informal or formal, including any arbitration or other alternative dispute resolution (including but not limited to giving testimony or responding to a subpoena) and including any appeal of any of the foregoing (a “</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by reason of the fact that such person (or a person of whom such person is the legal representative), is or was a director or officer of the Corporation or a Reincorporated Predecessor (as defined below) or, while serving as a director or officer of the Corporation or a Reincorporated Predecessor, is or was serving at the request of the Corporation as a director, officer, employee, agent or trustee of another corporation, or of a partnership, joint venture, trust or other enterprise or non-profit entity, including service with respect to employee benefit plans (for purposes of this Article VI, an “</w:t>
      </w:r>
      <w:r>
        <w:rPr>
          <w:rFonts w:ascii="Arial" w:cs="Arial" w:eastAsia="Arial" w:hAnsi="Arial"/>
          <w:sz w:val="16"/>
          <w:szCs w:val="16"/>
          <w:b w:val="1"/>
          <w:bCs w:val="1"/>
          <w:i w:val="1"/>
          <w:iCs w:val="1"/>
          <w:color w:val="auto"/>
        </w:rPr>
        <w:t>Indemnitee</w:t>
      </w:r>
      <w:r>
        <w:rPr>
          <w:rFonts w:ascii="Arial" w:cs="Arial" w:eastAsia="Arial" w:hAnsi="Arial"/>
          <w:sz w:val="16"/>
          <w:szCs w:val="16"/>
          <w:color w:val="auto"/>
        </w:rPr>
        <w:t>”), shall be indemnified and held harmless by the Corporation to the fullest extent permitted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expenses, costs, liability and loss (including attorneys’ fees, judgments, fines, ERISA excise taxes and penalties and amounts paid or to be paid in settlement) reasonably incurred or suffered by such Indemnitee in connection therewith. Such indemnification shall continue as to an Indemnitee who has ceased to be a director or officer of the Corporation or a Reincorporated Predecessor (as defined below) or, while serving as a director or officer of the Corporation or a Reincorporated Predecessor, is or was serving at the request of the Corporation as a director, officer, employee, agent or trustee of another corporation, or of a partnership, joint venture, trust or other enterprise or non-profit entity, including service with respect to employee benefit plans and shall inure to the benefit of such Indemnitees’ heirs, executors and administrators. Notwithstanding the foregoing, subject to Section 6.5 of this Article VI, the Corporation shall indemnify any such Indemnitee seeking indemnity in connection with a Proceeding (or part thereof) initiated by such Indemnitee only if such Proceeding (or part thereof) was authorized by the Board or such indemnification is authorized by an agreement approved by the Board. As used herein, the term the “</w:t>
      </w:r>
      <w:r>
        <w:rPr>
          <w:rFonts w:ascii="Arial" w:cs="Arial" w:eastAsia="Arial" w:hAnsi="Arial"/>
          <w:sz w:val="16"/>
          <w:szCs w:val="16"/>
          <w:b w:val="1"/>
          <w:bCs w:val="1"/>
          <w:i w:val="1"/>
          <w:iCs w:val="1"/>
          <w:color w:val="auto"/>
        </w:rPr>
        <w:t>Reincorporated Predecessor</w:t>
      </w:r>
      <w:r>
        <w:rPr>
          <w:rFonts w:ascii="Arial" w:cs="Arial" w:eastAsia="Arial" w:hAnsi="Arial"/>
          <w:sz w:val="16"/>
          <w:szCs w:val="16"/>
          <w:color w:val="auto"/>
        </w:rPr>
        <w:t>” means a corporation that is merged with and into the Corporation in a statutory merger where (a) the Corporation is the surviving corporation of such merger; or (b) the primary purpose of such merger is to change the corporate domicile of the Reincorporated Predecessor to Delaware.</w:t>
      </w:r>
    </w:p>
    <w:p>
      <w:pPr>
        <w:spacing w:after="0" w:line="164"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b w:val="1"/>
          <w:bCs w:val="1"/>
          <w:color w:val="auto"/>
        </w:rPr>
        <w:t xml:space="preserve">Section 6.2: </w:t>
      </w:r>
      <w:r>
        <w:rPr>
          <w:rFonts w:ascii="Arial" w:cs="Arial" w:eastAsia="Arial" w:hAnsi="Arial"/>
          <w:sz w:val="17"/>
          <w:szCs w:val="17"/>
          <w:b w:val="1"/>
          <w:bCs w:val="1"/>
          <w:u w:val="single" w:color="auto"/>
          <w:color w:val="auto"/>
        </w:rPr>
        <w:t>Advancement of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other provision of these Bylaws, the Corporation shall pay all reasonable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expenses (including attorneys’ fees) incurred by an Indemnitee in defending any Proceeding in advance of its final disposition;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if the DGCL then so requires, the advancement of such expenses (i.e., payment of such expenses as incurred or otherwise in advance of the final disposition of the Proceeding) shall be made only upon delivery to the Corporation of an undertaking, by or on behalf of such Indemnitee, to repay such amounts if it shall ultimately be determined by a court of competent jurisdiction in a final judgment not subject to appeal that such Indemnitee is not entitled to be indemnified under this Article VI or otherwise. Any advances of expenses or undertakings to repay pursuant to this Section 6.2 shall be unsecured, interest free and without regard to Indemnitee’s ability to pay.</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0" w:right="479" w:bottom="1440" w:gutter="0" w:footer="0" w:header="0"/>
        </w:sectPr>
      </w:pPr>
    </w:p>
    <w:bookmarkStart w:id="144" w:name="page145"/>
    <w:bookmarkEnd w:id="144"/>
    <w:p>
      <w:pPr>
        <w:jc w:val="both"/>
        <w:ind w:firstLine="440"/>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6.3: </w:t>
      </w:r>
      <w:r>
        <w:rPr>
          <w:rFonts w:ascii="Arial" w:cs="Arial" w:eastAsia="Arial" w:hAnsi="Arial"/>
          <w:sz w:val="17"/>
          <w:szCs w:val="17"/>
          <w:b w:val="1"/>
          <w:bCs w:val="1"/>
          <w:u w:val="single" w:color="auto"/>
          <w:color w:val="auto"/>
        </w:rPr>
        <w:t>Non-Exclusivity of Rights</w:t>
      </w:r>
      <w:r>
        <w:rPr>
          <w:rFonts w:ascii="Arial" w:cs="Arial" w:eastAsia="Arial" w:hAnsi="Arial"/>
          <w:sz w:val="17"/>
          <w:szCs w:val="17"/>
          <w:b w:val="1"/>
          <w:bCs w:val="1"/>
          <w:color w:val="auto"/>
        </w:rPr>
        <w:t xml:space="preserve">. </w:t>
      </w:r>
      <w:r>
        <w:rPr>
          <w:rFonts w:ascii="Arial" w:cs="Arial" w:eastAsia="Arial" w:hAnsi="Arial"/>
          <w:sz w:val="17"/>
          <w:szCs w:val="17"/>
          <w:color w:val="auto"/>
        </w:rPr>
        <w:t>The rights conferred on any person in this Article VI shall not be exclusive of any other right that such</w:t>
      </w:r>
      <w:r>
        <w:rPr>
          <w:rFonts w:ascii="Arial" w:cs="Arial" w:eastAsia="Arial" w:hAnsi="Arial"/>
          <w:sz w:val="17"/>
          <w:szCs w:val="17"/>
          <w:b w:val="1"/>
          <w:bCs w:val="1"/>
          <w:color w:val="auto"/>
        </w:rPr>
        <w:t xml:space="preserve"> </w:t>
      </w:r>
      <w:r>
        <w:rPr>
          <w:rFonts w:ascii="Arial" w:cs="Arial" w:eastAsia="Arial" w:hAnsi="Arial"/>
          <w:sz w:val="17"/>
          <w:szCs w:val="17"/>
          <w:color w:val="auto"/>
        </w:rPr>
        <w:t>person may have or hereafter acquire under any statute, provision of the Certificate of Incorporation, Bylaws, agreement, vote or consent of stockholders or disinterested directors, or otherwise. Additionally, nothing in this Article VI shall limit the ability of the Corporation, in its discretion, to indemnify or advance expenses to persons whom the Corporation is not obligated to indemnify or advance expenses pursuant to this Article VI.</w:t>
      </w:r>
    </w:p>
    <w:p>
      <w:pPr>
        <w:spacing w:after="0" w:line="165" w:lineRule="exact"/>
        <w:rPr>
          <w:sz w:val="20"/>
          <w:szCs w:val="20"/>
          <w:color w:val="auto"/>
        </w:rPr>
      </w:pPr>
    </w:p>
    <w:p>
      <w:pPr>
        <w:ind w:right="140" w:firstLine="440"/>
        <w:spacing w:after="0" w:line="281" w:lineRule="auto"/>
        <w:rPr>
          <w:sz w:val="20"/>
          <w:szCs w:val="20"/>
          <w:color w:val="auto"/>
        </w:rPr>
      </w:pPr>
      <w:r>
        <w:rPr>
          <w:rFonts w:ascii="Arial" w:cs="Arial" w:eastAsia="Arial" w:hAnsi="Arial"/>
          <w:sz w:val="17"/>
          <w:szCs w:val="17"/>
          <w:b w:val="1"/>
          <w:bCs w:val="1"/>
          <w:color w:val="auto"/>
        </w:rPr>
        <w:t xml:space="preserve">Section 6.4: </w:t>
      </w:r>
      <w:r>
        <w:rPr>
          <w:rFonts w:ascii="Arial" w:cs="Arial" w:eastAsia="Arial" w:hAnsi="Arial"/>
          <w:sz w:val="17"/>
          <w:szCs w:val="17"/>
          <w:b w:val="1"/>
          <w:bCs w:val="1"/>
          <w:u w:val="single" w:color="auto"/>
          <w:color w:val="auto"/>
        </w:rPr>
        <w:t>Indemnification Contracts</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is authorized to cause the Corporation to enter into indemnification contracts with any</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 officer, employee or agent of the Corporation, or any person serving at the request of the Corporation as a director, officer, employee, agent or trustee of another corporation, partnership, joint venture, trust or other enterprise or non-profit entity, including employee benefit plans, providing indemnification or advancement rights to such person. Such rights may be greater than those provided in this Article VI.</w:t>
      </w:r>
    </w:p>
    <w:p>
      <w:pPr>
        <w:spacing w:after="0" w:line="165" w:lineRule="exact"/>
        <w:rPr>
          <w:sz w:val="20"/>
          <w:szCs w:val="20"/>
          <w:color w:val="auto"/>
        </w:rPr>
      </w:pPr>
    </w:p>
    <w:p>
      <w:pPr>
        <w:ind w:left="440"/>
        <w:spacing w:after="0"/>
        <w:tabs>
          <w:tab w:leader="none" w:pos="1480" w:val="left"/>
        </w:tabs>
        <w:rPr>
          <w:sz w:val="20"/>
          <w:szCs w:val="20"/>
          <w:color w:val="auto"/>
        </w:rPr>
      </w:pPr>
      <w:r>
        <w:rPr>
          <w:rFonts w:ascii="Arial" w:cs="Arial" w:eastAsia="Arial" w:hAnsi="Arial"/>
          <w:sz w:val="18"/>
          <w:szCs w:val="18"/>
          <w:b w:val="1"/>
          <w:bCs w:val="1"/>
          <w:color w:val="auto"/>
        </w:rPr>
        <w:t>Section 6.5:</w:t>
      </w:r>
      <w:r>
        <w:rPr>
          <w:sz w:val="20"/>
          <w:szCs w:val="20"/>
          <w:color w:val="auto"/>
        </w:rPr>
        <w:tab/>
      </w:r>
      <w:r>
        <w:rPr>
          <w:rFonts w:ascii="Arial" w:cs="Arial" w:eastAsia="Arial" w:hAnsi="Arial"/>
          <w:sz w:val="16"/>
          <w:szCs w:val="16"/>
          <w:b w:val="1"/>
          <w:bCs w:val="1"/>
          <w:u w:val="single" w:color="auto"/>
          <w:color w:val="auto"/>
        </w:rPr>
        <w:t>Right of Indemnitee to Bring Suit</w:t>
      </w:r>
      <w:r>
        <w:rPr>
          <w:rFonts w:ascii="Arial" w:cs="Arial" w:eastAsia="Arial" w:hAnsi="Arial"/>
          <w:sz w:val="16"/>
          <w:szCs w:val="16"/>
          <w:b w:val="1"/>
          <w:bCs w:val="1"/>
          <w:color w:val="auto"/>
        </w:rPr>
        <w:t>.</w:t>
      </w:r>
    </w:p>
    <w:p>
      <w:pPr>
        <w:spacing w:after="0" w:line="229"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 xml:space="preserve">6.5.1 </w:t>
      </w:r>
      <w:r>
        <w:rPr>
          <w:rFonts w:ascii="Arial" w:cs="Arial" w:eastAsia="Arial" w:hAnsi="Arial"/>
          <w:sz w:val="18"/>
          <w:szCs w:val="18"/>
          <w:u w:val="single" w:color="auto"/>
          <w:color w:val="auto"/>
        </w:rPr>
        <w:t>Right to Bring Suit</w:t>
      </w:r>
      <w:r>
        <w:rPr>
          <w:rFonts w:ascii="Arial" w:cs="Arial" w:eastAsia="Arial" w:hAnsi="Arial"/>
          <w:sz w:val="18"/>
          <w:szCs w:val="18"/>
          <w:color w:val="auto"/>
        </w:rPr>
        <w:t>. If a claim under Section 6.1 or 6.2 of this Article VI is not paid in full by the Corporation within sixty (60) days after a written claim has been received by the Corporation, except in the case of a claim for an advancement of expenses, in which case the applicable period shall be twenty (20) days, the Indemnitee may at any time thereafter bring suit against the Corporation to recover the unpaid amount of the claim. If the Indemnitee is successful in whole or in part in any such suit, or in a suit brought by the Corporation to recover an advancement of expenses pursuant to the terms of an undertaking, the Indemnitee also shall be entitled to be paid, to the fullest extent permitted by law, the expense of prosecuting or defending such suit.</w:t>
      </w:r>
    </w:p>
    <w:p>
      <w:pPr>
        <w:spacing w:after="0" w:line="192" w:lineRule="exact"/>
        <w:rPr>
          <w:sz w:val="20"/>
          <w:szCs w:val="20"/>
          <w:color w:val="auto"/>
        </w:rPr>
      </w:pPr>
    </w:p>
    <w:p>
      <w:pPr>
        <w:ind w:right="140" w:firstLine="440"/>
        <w:spacing w:after="0" w:line="301" w:lineRule="auto"/>
        <w:rPr>
          <w:sz w:val="20"/>
          <w:szCs w:val="20"/>
          <w:color w:val="auto"/>
        </w:rPr>
      </w:pPr>
      <w:r>
        <w:rPr>
          <w:rFonts w:ascii="Arial" w:cs="Arial" w:eastAsia="Arial" w:hAnsi="Arial"/>
          <w:sz w:val="16"/>
          <w:szCs w:val="16"/>
          <w:color w:val="auto"/>
        </w:rPr>
        <w:t xml:space="preserve">6.5.2 </w:t>
      </w:r>
      <w:r>
        <w:rPr>
          <w:rFonts w:ascii="Arial" w:cs="Arial" w:eastAsia="Arial" w:hAnsi="Arial"/>
          <w:sz w:val="16"/>
          <w:szCs w:val="16"/>
          <w:u w:val="single" w:color="auto"/>
          <w:color w:val="auto"/>
        </w:rPr>
        <w:t>Effect of Determination</w:t>
      </w:r>
      <w:r>
        <w:rPr>
          <w:rFonts w:ascii="Arial" w:cs="Arial" w:eastAsia="Arial" w:hAnsi="Arial"/>
          <w:sz w:val="16"/>
          <w:szCs w:val="16"/>
          <w:color w:val="auto"/>
        </w:rPr>
        <w:t>. Neither the absence of a determination prior to the commencement of such suit that indemnification of or the providing of advancement to the Indemnitee is proper in the circumstances because the Indemnitee has met the applicable standard of conduct set forth in applicable law, nor an actual determination that the Indemnitee has not met such applicable standard of conduct, shall create a presumption that the Indemnitee has not met the applicable standard of conduct or, in the case of such a suit brought by the Indemnitee, be a defense to such suit.</w:t>
      </w:r>
    </w:p>
    <w:p>
      <w:pPr>
        <w:spacing w:after="0" w:line="157"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 xml:space="preserve">6.5.3 </w:t>
      </w:r>
      <w:r>
        <w:rPr>
          <w:rFonts w:ascii="Arial" w:cs="Arial" w:eastAsia="Arial" w:hAnsi="Arial"/>
          <w:sz w:val="16"/>
          <w:szCs w:val="16"/>
          <w:u w:val="single" w:color="auto"/>
          <w:color w:val="auto"/>
        </w:rPr>
        <w:t>Burden of Proof</w:t>
      </w:r>
      <w:r>
        <w:rPr>
          <w:rFonts w:ascii="Arial" w:cs="Arial" w:eastAsia="Arial" w:hAnsi="Arial"/>
          <w:sz w:val="16"/>
          <w:szCs w:val="16"/>
          <w:color w:val="auto"/>
        </w:rPr>
        <w: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VI, or otherwise, shall be on the Corporation.</w:t>
      </w:r>
    </w:p>
    <w:p>
      <w:pPr>
        <w:spacing w:after="0" w:line="145" w:lineRule="exact"/>
        <w:rPr>
          <w:sz w:val="20"/>
          <w:szCs w:val="20"/>
          <w:color w:val="auto"/>
        </w:rPr>
      </w:pPr>
    </w:p>
    <w:p>
      <w:pPr>
        <w:ind w:firstLine="440"/>
        <w:spacing w:after="0" w:line="347" w:lineRule="auto"/>
        <w:rPr>
          <w:sz w:val="20"/>
          <w:szCs w:val="20"/>
          <w:color w:val="auto"/>
        </w:rPr>
      </w:pPr>
      <w:r>
        <w:rPr>
          <w:rFonts w:ascii="Arial" w:cs="Arial" w:eastAsia="Arial" w:hAnsi="Arial"/>
          <w:sz w:val="16"/>
          <w:szCs w:val="16"/>
          <w:b w:val="1"/>
          <w:bCs w:val="1"/>
          <w:color w:val="auto"/>
        </w:rPr>
        <w:t xml:space="preserve">Section 6.6: </w:t>
      </w:r>
      <w:r>
        <w:rPr>
          <w:rFonts w:ascii="Arial" w:cs="Arial" w:eastAsia="Arial" w:hAnsi="Arial"/>
          <w:sz w:val="16"/>
          <w:szCs w:val="16"/>
          <w:b w:val="1"/>
          <w:bCs w:val="1"/>
          <w:u w:val="single" w:color="auto"/>
          <w:color w:val="auto"/>
        </w:rPr>
        <w:t>Nature of Rights</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rights conferred upon Indemnitees in this Article VI shall be contract rights and such rights shall continue as</w:t>
      </w:r>
      <w:r>
        <w:rPr>
          <w:rFonts w:ascii="Arial" w:cs="Arial" w:eastAsia="Arial" w:hAnsi="Arial"/>
          <w:sz w:val="16"/>
          <w:szCs w:val="16"/>
          <w:b w:val="1"/>
          <w:bCs w:val="1"/>
          <w:color w:val="auto"/>
        </w:rPr>
        <w:t xml:space="preserve"> </w:t>
      </w:r>
      <w:r>
        <w:rPr>
          <w:rFonts w:ascii="Arial" w:cs="Arial" w:eastAsia="Arial" w:hAnsi="Arial"/>
          <w:sz w:val="16"/>
          <w:szCs w:val="16"/>
          <w:color w:val="auto"/>
        </w:rPr>
        <w:t>to an Indemnitee who has ceased to be a director or officer and shall inure to the benefit of the Indemnitee’s heirs, executors and administrators.</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0" w:right="459" w:bottom="1440" w:gutter="0" w:footer="0" w:header="0"/>
        </w:sectPr>
      </w:pPr>
    </w:p>
    <w:bookmarkStart w:id="145" w:name="page146"/>
    <w:bookmarkEnd w:id="145"/>
    <w:p>
      <w:pPr>
        <w:ind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6.7: </w:t>
      </w:r>
      <w:r>
        <w:rPr>
          <w:rFonts w:ascii="Arial" w:cs="Arial" w:eastAsia="Arial" w:hAnsi="Arial"/>
          <w:sz w:val="18"/>
          <w:szCs w:val="18"/>
          <w:b w:val="1"/>
          <w:bCs w:val="1"/>
          <w:u w:val="single" w:color="auto"/>
          <w:color w:val="auto"/>
        </w:rPr>
        <w:t>Amendment or Repeal</w:t>
      </w:r>
      <w:r>
        <w:rPr>
          <w:rFonts w:ascii="Arial" w:cs="Arial" w:eastAsia="Arial" w:hAnsi="Arial"/>
          <w:sz w:val="18"/>
          <w:szCs w:val="18"/>
          <w:b w:val="1"/>
          <w:bCs w:val="1"/>
          <w:color w:val="auto"/>
        </w:rPr>
        <w:t xml:space="preserve">. </w:t>
      </w:r>
      <w:r>
        <w:rPr>
          <w:rFonts w:ascii="Arial" w:cs="Arial" w:eastAsia="Arial" w:hAnsi="Arial"/>
          <w:sz w:val="18"/>
          <w:szCs w:val="18"/>
          <w:color w:val="auto"/>
        </w:rPr>
        <w:t>Any amendment, repeal or modification of any provision of this Article VI that adversely affects any right</w:t>
      </w:r>
      <w:r>
        <w:rPr>
          <w:rFonts w:ascii="Arial" w:cs="Arial" w:eastAsia="Arial" w:hAnsi="Arial"/>
          <w:sz w:val="18"/>
          <w:szCs w:val="18"/>
          <w:b w:val="1"/>
          <w:bCs w:val="1"/>
          <w:color w:val="auto"/>
        </w:rPr>
        <w:t xml:space="preserve"> </w:t>
      </w:r>
      <w:r>
        <w:rPr>
          <w:rFonts w:ascii="Arial" w:cs="Arial" w:eastAsia="Arial" w:hAnsi="Arial"/>
          <w:sz w:val="18"/>
          <w:szCs w:val="18"/>
          <w:color w:val="auto"/>
        </w:rPr>
        <w:t>of an Indemnitee or an Indemnitee’s successors shall be prospective only, and shall not adversely affect any right or protection conferred on a person pursuant to this Article VI and existing at the time of such amendment, repeal or modification.</w:t>
      </w:r>
    </w:p>
    <w:p>
      <w:pPr>
        <w:spacing w:after="0" w:line="176" w:lineRule="exact"/>
        <w:rPr>
          <w:sz w:val="20"/>
          <w:szCs w:val="20"/>
          <w:color w:val="auto"/>
        </w:rPr>
      </w:pPr>
    </w:p>
    <w:p>
      <w:pPr>
        <w:ind w:firstLine="440"/>
        <w:spacing w:after="0" w:line="314" w:lineRule="auto"/>
        <w:rPr>
          <w:sz w:val="20"/>
          <w:szCs w:val="20"/>
          <w:color w:val="auto"/>
        </w:rPr>
      </w:pPr>
      <w:r>
        <w:rPr>
          <w:rFonts w:ascii="Arial" w:cs="Arial" w:eastAsia="Arial" w:hAnsi="Arial"/>
          <w:sz w:val="16"/>
          <w:szCs w:val="16"/>
          <w:b w:val="1"/>
          <w:bCs w:val="1"/>
          <w:color w:val="auto"/>
        </w:rPr>
        <w:t xml:space="preserve">Section 6.8: </w:t>
      </w:r>
      <w:r>
        <w:rPr>
          <w:rFonts w:ascii="Arial" w:cs="Arial" w:eastAsia="Arial" w:hAnsi="Arial"/>
          <w:sz w:val="16"/>
          <w:szCs w:val="16"/>
          <w:b w:val="1"/>
          <w:bCs w:val="1"/>
          <w:u w:val="single" w:color="auto"/>
          <w:color w:val="auto"/>
        </w:rPr>
        <w:t>Insurance</w:t>
      </w:r>
      <w:r>
        <w:rPr>
          <w:rFonts w:ascii="Arial" w:cs="Arial" w:eastAsia="Arial" w:hAnsi="Arial"/>
          <w:sz w:val="16"/>
          <w:szCs w:val="16"/>
          <w:b w:val="1"/>
          <w:bCs w:val="1"/>
          <w:color w:val="auto"/>
        </w:rPr>
        <w:t xml:space="preserve">. </w:t>
      </w:r>
      <w:r>
        <w:rPr>
          <w:rFonts w:ascii="Arial" w:cs="Arial" w:eastAsia="Arial" w:hAnsi="Arial"/>
          <w:sz w:val="16"/>
          <w:szCs w:val="16"/>
          <w:color w:val="auto"/>
        </w:rPr>
        <w:t>The Corporation may purchase and maintain insurance, at its expense, to protect itself and any director,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or agent of the Corporation or another corporation, partnership, joint venture, trust or other enterprise or non-profit entity against any expense, liability or loss, whether or not the Corporation would have the power to indemnify such person against such expense, liability or loss under the DGCL.</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 NOTICES</w:t>
      </w:r>
    </w:p>
    <w:p>
      <w:pPr>
        <w:spacing w:after="0" w:line="225" w:lineRule="exact"/>
        <w:rPr>
          <w:sz w:val="20"/>
          <w:szCs w:val="20"/>
          <w:color w:val="auto"/>
        </w:rPr>
      </w:pPr>
    </w:p>
    <w:p>
      <w:pPr>
        <w:ind w:left="440"/>
        <w:spacing w:after="0"/>
        <w:tabs>
          <w:tab w:leader="none" w:pos="1480" w:val="left"/>
        </w:tabs>
        <w:rPr>
          <w:sz w:val="20"/>
          <w:szCs w:val="20"/>
          <w:color w:val="auto"/>
        </w:rPr>
      </w:pPr>
      <w:r>
        <w:rPr>
          <w:rFonts w:ascii="Arial" w:cs="Arial" w:eastAsia="Arial" w:hAnsi="Arial"/>
          <w:sz w:val="18"/>
          <w:szCs w:val="18"/>
          <w:b w:val="1"/>
          <w:bCs w:val="1"/>
          <w:color w:val="auto"/>
        </w:rPr>
        <w:t>Section 7.1:</w:t>
      </w:r>
      <w:r>
        <w:rPr>
          <w:sz w:val="20"/>
          <w:szCs w:val="20"/>
          <w:color w:val="auto"/>
        </w:rPr>
        <w:tab/>
      </w:r>
      <w:r>
        <w:rPr>
          <w:rFonts w:ascii="Arial" w:cs="Arial" w:eastAsia="Arial" w:hAnsi="Arial"/>
          <w:sz w:val="16"/>
          <w:szCs w:val="16"/>
          <w:b w:val="1"/>
          <w:bCs w:val="1"/>
          <w:u w:val="single" w:color="auto"/>
          <w:color w:val="auto"/>
        </w:rPr>
        <w:t>Notice</w:t>
      </w:r>
      <w:r>
        <w:rPr>
          <w:rFonts w:ascii="Arial" w:cs="Arial" w:eastAsia="Arial" w:hAnsi="Arial"/>
          <w:sz w:val="16"/>
          <w:szCs w:val="16"/>
          <w:b w:val="1"/>
          <w:bCs w:val="1"/>
          <w:color w:val="auto"/>
        </w:rPr>
        <w:t>.</w:t>
      </w:r>
    </w:p>
    <w:p>
      <w:pPr>
        <w:spacing w:after="0" w:line="229"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7.1.1 </w:t>
      </w:r>
      <w:r>
        <w:rPr>
          <w:rFonts w:ascii="Arial" w:cs="Arial" w:eastAsia="Arial" w:hAnsi="Arial"/>
          <w:sz w:val="17"/>
          <w:szCs w:val="17"/>
          <w:u w:val="single" w:color="auto"/>
          <w:color w:val="auto"/>
        </w:rPr>
        <w:t>Form and Delivery</w:t>
      </w:r>
      <w:r>
        <w:rPr>
          <w:rFonts w:ascii="Arial" w:cs="Arial" w:eastAsia="Arial" w:hAnsi="Arial"/>
          <w:sz w:val="17"/>
          <w:szCs w:val="17"/>
          <w:color w:val="auto"/>
        </w:rPr>
        <w:t>. Except as otherwise specifically required in these Bylaws (including, without limitation, Section 7.1.2 of these Bylaws) or by applicable law, all notices required to be given pursuant to these Bylaws may (a) in every instance in connection with any delivery to a member of the Board, be effectively given by hand delivery (including use of a delivery service), by depositing such notice in the mail, postage prepaid, or by sending such notice by overnight express courier, facsimile, electronic mail or other form of electronic transmission and (b) be effectively delivered to a stockholder when given by hand delivery, by depositing such notice in the mail, postage prepaid, or, if specifically consented to by the stockholder as described in Section 7.1.2 of these Bylaws, by sending such notice by facsimile, electronic mail or other form of electronic transmission. Any such notice shall be addressed to the person to whom notice is to be given at such person’s address as it appears on the records of the Corporation. The notice shall be deemed given (a) in the case of hand delivery, when received by the person to whom notice is to be given or by any person accepting such notice on behalf of such person, (b) in the case of delivery by mail, upon deposit in the mail, (c) in the case of delivery by overnight express courier, when dispatched, and (d) in the case of delivery via facsimile, electronic mail or other form of electronic transmission, at the time provided in Section 7.1.2 of these Bylaws.</w:t>
      </w:r>
    </w:p>
    <w:p>
      <w:pPr>
        <w:spacing w:after="0" w:line="182"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7.1.2 </w:t>
      </w:r>
      <w:r>
        <w:rPr>
          <w:rFonts w:ascii="Arial" w:cs="Arial" w:eastAsia="Arial" w:hAnsi="Arial"/>
          <w:sz w:val="16"/>
          <w:szCs w:val="16"/>
          <w:u w:val="single" w:color="auto"/>
          <w:color w:val="auto"/>
        </w:rPr>
        <w:t>Electronic Transmission</w:t>
      </w:r>
      <w:r>
        <w:rPr>
          <w:rFonts w:ascii="Arial" w:cs="Arial" w:eastAsia="Arial" w:hAnsi="Arial"/>
          <w:sz w:val="16"/>
          <w:szCs w:val="16"/>
          <w:color w:val="auto"/>
        </w:rPr>
        <w:t xml:space="preserve">. 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in accordance with Section 232 of the DGCL. Any such consent shall be revocable by the stockholder by written notice to the Corporation. Any such consent shall be deemed revoked if (a) the Corporation is unable to deliver by electronic transmission two consecutive notices given by the Corporation in accordance with such consent and (b) such inability becomes known to the Secretary or an Assistant Secretary of the Corporation or to the transfer agent, or other person responsible for the giving of notice;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the inadvertent failure to treat such inability as a revocation shall not invalidate any meeting or other action. Notice given pursuant to this Section 7.1.2 shall be deemed given: (i) if by facsimile telecommunication, when directed to a number at which the stockholder has consented to receive notice; (ii) if by electronic mail, when directed to an electronic mail address at which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0" w:right="479" w:bottom="1440" w:gutter="0" w:footer="0" w:header="0"/>
        </w:sectPr>
      </w:pPr>
    </w:p>
    <w:bookmarkStart w:id="146" w:name="page147"/>
    <w:bookmarkEnd w:id="146"/>
    <w:p>
      <w:pPr>
        <w:ind w:right="3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stockholder has consented to receive notice; (iii) if by a posting on an electronic network together with separate notice to the stockholder of such specific posting, upon the later of such posting and the giving of such separate notice; and (iv) if by any other form of electronic transmission, when directed to the stockholder.</w:t>
      </w:r>
    </w:p>
    <w:p>
      <w:pPr>
        <w:spacing w:after="0" w:line="184"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u w:val="single" w:color="auto"/>
          <w:color w:val="auto"/>
        </w:rPr>
        <w:t>Affidavit of Giving Notice</w:t>
      </w:r>
      <w:r>
        <w:rPr>
          <w:rFonts w:ascii="Arial" w:cs="Arial" w:eastAsia="Arial" w:hAnsi="Arial"/>
          <w:sz w:val="18"/>
          <w:szCs w:val="18"/>
          <w:color w:val="auto"/>
        </w:rPr>
        <w:t>. An affidavit of the Secretary or an Assistant Secretary or of the transfer agent or other agent of the Corporation that the notice has been given in writing or by a form of electronic transmission shall, in the absence of fraud, be prima facie evidence of the facts stated therein.</w:t>
      </w:r>
    </w:p>
    <w:p>
      <w:pPr>
        <w:spacing w:after="0" w:line="180" w:lineRule="exact"/>
        <w:rPr>
          <w:sz w:val="20"/>
          <w:szCs w:val="20"/>
          <w:color w:val="auto"/>
        </w:rPr>
      </w:pPr>
    </w:p>
    <w:p>
      <w:pPr>
        <w:ind w:right="80" w:firstLine="440"/>
        <w:spacing w:after="0" w:line="274" w:lineRule="auto"/>
        <w:rPr>
          <w:sz w:val="20"/>
          <w:szCs w:val="20"/>
          <w:color w:val="auto"/>
        </w:rPr>
      </w:pPr>
      <w:r>
        <w:rPr>
          <w:rFonts w:ascii="Arial" w:cs="Arial" w:eastAsia="Arial" w:hAnsi="Arial"/>
          <w:sz w:val="17"/>
          <w:szCs w:val="17"/>
          <w:b w:val="1"/>
          <w:bCs w:val="1"/>
          <w:color w:val="auto"/>
        </w:rPr>
        <w:t xml:space="preserve">Section 7.2: </w:t>
      </w:r>
      <w:r>
        <w:rPr>
          <w:rFonts w:ascii="Arial" w:cs="Arial" w:eastAsia="Arial" w:hAnsi="Arial"/>
          <w:sz w:val="17"/>
          <w:szCs w:val="17"/>
          <w:b w:val="1"/>
          <w:bCs w:val="1"/>
          <w:u w:val="single" w:color="auto"/>
          <w:color w:val="auto"/>
        </w:rPr>
        <w:t>Waiver of Notice</w:t>
      </w:r>
      <w:r>
        <w:rPr>
          <w:rFonts w:ascii="Arial" w:cs="Arial" w:eastAsia="Arial" w:hAnsi="Arial"/>
          <w:sz w:val="17"/>
          <w:szCs w:val="17"/>
          <w:b w:val="1"/>
          <w:bCs w:val="1"/>
          <w:color w:val="auto"/>
        </w:rPr>
        <w:t xml:space="preserve">. </w:t>
      </w:r>
      <w:r>
        <w:rPr>
          <w:rFonts w:ascii="Arial" w:cs="Arial" w:eastAsia="Arial" w:hAnsi="Arial"/>
          <w:sz w:val="17"/>
          <w:szCs w:val="17"/>
          <w:color w:val="auto"/>
        </w:rPr>
        <w:t>Whenever notice is required to be given under any provision of the DGCL, the Certificate of Incorporation or</w:t>
      </w:r>
      <w:r>
        <w:rPr>
          <w:rFonts w:ascii="Arial" w:cs="Arial" w:eastAsia="Arial" w:hAnsi="Arial"/>
          <w:sz w:val="17"/>
          <w:szCs w:val="17"/>
          <w:b w:val="1"/>
          <w:bCs w:val="1"/>
          <w:color w:val="auto"/>
        </w:rPr>
        <w:t xml:space="preserve"> </w:t>
      </w:r>
      <w:r>
        <w:rPr>
          <w:rFonts w:ascii="Arial" w:cs="Arial" w:eastAsia="Arial" w:hAnsi="Arial"/>
          <w:sz w:val="17"/>
          <w:szCs w:val="17"/>
          <w:color w:val="auto"/>
        </w:rPr>
        <w:t>these Bylaws, a written waiver of notice, signed by the person entitled to notice, or waiver by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waiver of notice.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 INTERESTED DIRECTORS</w:t>
      </w:r>
    </w:p>
    <w:p>
      <w:pPr>
        <w:spacing w:after="0" w:line="225"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b w:val="1"/>
          <w:bCs w:val="1"/>
          <w:color w:val="auto"/>
        </w:rPr>
        <w:t xml:space="preserve">Section 8.1: </w:t>
      </w:r>
      <w:r>
        <w:rPr>
          <w:rFonts w:ascii="Arial" w:cs="Arial" w:eastAsia="Arial" w:hAnsi="Arial"/>
          <w:sz w:val="16"/>
          <w:szCs w:val="16"/>
          <w:b w:val="1"/>
          <w:bCs w:val="1"/>
          <w:u w:val="single" w:color="auto"/>
          <w:color w:val="auto"/>
        </w:rPr>
        <w:t>Interested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No contract or transaction between the Corporation and one or more of its members of the Board or officers,</w:t>
      </w:r>
      <w:r>
        <w:rPr>
          <w:rFonts w:ascii="Arial" w:cs="Arial" w:eastAsia="Arial" w:hAnsi="Arial"/>
          <w:sz w:val="16"/>
          <w:szCs w:val="16"/>
          <w:b w:val="1"/>
          <w:bCs w:val="1"/>
          <w:color w:val="auto"/>
        </w:rPr>
        <w:t xml:space="preserve"> </w:t>
      </w:r>
      <w:r>
        <w:rPr>
          <w:rFonts w:ascii="Arial" w:cs="Arial" w:eastAsia="Arial" w:hAnsi="Arial"/>
          <w:sz w:val="16"/>
          <w:szCs w:val="16"/>
          <w:color w:val="auto"/>
        </w:rPr>
        <w:t>or between the Corporation and any other corporation, partnership, association or other organization in which one or more of its directors or officers are members of the board of directors or officers, or have a financial interest, shall be void or voidable solely for this reason, or solely because the director or officer is present at or participates in the meeting of the Board or committee thereof that authorizes the contract or transaction, or solely because his, her or their votes are counted for such purpose, if: (a) the material facts as to his, her or their relationship or interest and as to the contract or transaction are disclosed or are known to the Board or the committee, and the Board or committee in good faith authorizes the contract or transaction by the affirmative votes of a majority of the disinterested directors, even though the disinterested directors be less than a quorum; (b) the material facts as to his, her or their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Corporation as of the time it is authorized, approved or ratified by the Board, a committee thereof, or the stockholders.</w:t>
      </w:r>
    </w:p>
    <w:p>
      <w:pPr>
        <w:spacing w:after="0" w:line="161"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b w:val="1"/>
          <w:bCs w:val="1"/>
          <w:color w:val="auto"/>
        </w:rPr>
        <w:t xml:space="preserve">Section 8.2: </w:t>
      </w:r>
      <w:r>
        <w:rPr>
          <w:rFonts w:ascii="Arial" w:cs="Arial" w:eastAsia="Arial" w:hAnsi="Arial"/>
          <w:sz w:val="18"/>
          <w:szCs w:val="18"/>
          <w:b w:val="1"/>
          <w:bCs w:val="1"/>
          <w:u w:val="single" w:color="auto"/>
          <w:color w:val="auto"/>
        </w:rPr>
        <w:t>Quorum</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Interested directors may be counted in determining the presence of a quorum at a meeting of the Board or of a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which authorizes the contract or transaction.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 MISCELLANEOUS</w:t>
      </w:r>
    </w:p>
    <w:p>
      <w:pPr>
        <w:spacing w:after="0" w:line="225" w:lineRule="exact"/>
        <w:rPr>
          <w:sz w:val="20"/>
          <w:szCs w:val="20"/>
          <w:color w:val="auto"/>
        </w:rPr>
      </w:pPr>
    </w:p>
    <w:p>
      <w:pPr>
        <w:ind w:left="440"/>
        <w:spacing w:after="0"/>
        <w:tabs>
          <w:tab w:leader="none" w:pos="1480" w:val="left"/>
        </w:tabs>
        <w:rPr>
          <w:sz w:val="20"/>
          <w:szCs w:val="20"/>
          <w:color w:val="auto"/>
        </w:rPr>
      </w:pPr>
      <w:r>
        <w:rPr>
          <w:rFonts w:ascii="Arial" w:cs="Arial" w:eastAsia="Arial" w:hAnsi="Arial"/>
          <w:sz w:val="18"/>
          <w:szCs w:val="18"/>
          <w:b w:val="1"/>
          <w:bCs w:val="1"/>
          <w:color w:val="auto"/>
        </w:rPr>
        <w:t>Section 9.1:</w:t>
      </w:r>
      <w:r>
        <w:rPr>
          <w:sz w:val="20"/>
          <w:szCs w:val="20"/>
          <w:color w:val="auto"/>
        </w:rPr>
        <w:tab/>
      </w:r>
      <w:r>
        <w:rPr>
          <w:rFonts w:ascii="Arial" w:cs="Arial" w:eastAsia="Arial" w:hAnsi="Arial"/>
          <w:sz w:val="16"/>
          <w:szCs w:val="16"/>
          <w:b w:val="1"/>
          <w:bCs w:val="1"/>
          <w:u w:val="single" w:color="auto"/>
          <w:color w:val="auto"/>
        </w:rPr>
        <w:t>Fiscal Year</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The fiscal year of the Corporation shall be determined by resolution of the Board.</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147" w:name="page148"/>
    <w:bookmarkEnd w:id="147"/>
    <w:p>
      <w:pPr>
        <w:ind w:right="62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9.2: </w:t>
      </w:r>
      <w:r>
        <w:rPr>
          <w:rFonts w:ascii="Arial" w:cs="Arial" w:eastAsia="Arial" w:hAnsi="Arial"/>
          <w:sz w:val="18"/>
          <w:szCs w:val="18"/>
          <w:b w:val="1"/>
          <w:bCs w:val="1"/>
          <w:u w:val="single" w:color="auto"/>
          <w:color w:val="auto"/>
        </w:rPr>
        <w:t>Seal</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may provide for a corporate seal, which may have the name of the Corporation inscribed thereon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be in such form as may be approved from time to time by the Board.</w:t>
      </w:r>
    </w:p>
    <w:p>
      <w:pPr>
        <w:spacing w:after="0" w:line="162" w:lineRule="exact"/>
        <w:rPr>
          <w:sz w:val="20"/>
          <w:szCs w:val="20"/>
          <w:color w:val="auto"/>
        </w:rPr>
      </w:pPr>
    </w:p>
    <w:p>
      <w:pPr>
        <w:ind w:firstLine="440"/>
        <w:spacing w:after="0" w:line="298" w:lineRule="auto"/>
        <w:rPr>
          <w:sz w:val="20"/>
          <w:szCs w:val="20"/>
          <w:color w:val="auto"/>
        </w:rPr>
      </w:pPr>
      <w:r>
        <w:rPr>
          <w:rFonts w:ascii="Arial" w:cs="Arial" w:eastAsia="Arial" w:hAnsi="Arial"/>
          <w:sz w:val="16"/>
          <w:szCs w:val="16"/>
          <w:b w:val="1"/>
          <w:bCs w:val="1"/>
          <w:color w:val="auto"/>
        </w:rPr>
        <w:t xml:space="preserve">Section 9.3: </w:t>
      </w:r>
      <w:r>
        <w:rPr>
          <w:rFonts w:ascii="Arial" w:cs="Arial" w:eastAsia="Arial" w:hAnsi="Arial"/>
          <w:sz w:val="16"/>
          <w:szCs w:val="16"/>
          <w:b w:val="1"/>
          <w:bCs w:val="1"/>
          <w:u w:val="single" w:color="auto"/>
          <w:color w:val="auto"/>
        </w:rPr>
        <w:t>Form of Records</w:t>
      </w:r>
      <w:r>
        <w:rPr>
          <w:rFonts w:ascii="Arial" w:cs="Arial" w:eastAsia="Arial" w:hAnsi="Arial"/>
          <w:sz w:val="16"/>
          <w:szCs w:val="16"/>
          <w:b w:val="1"/>
          <w:bCs w:val="1"/>
          <w:color w:val="auto"/>
        </w:rPr>
        <w:t xml:space="preserve">. </w:t>
      </w:r>
      <w:r>
        <w:rPr>
          <w:rFonts w:ascii="Arial" w:cs="Arial" w:eastAsia="Arial" w:hAnsi="Arial"/>
          <w:sz w:val="16"/>
          <w:szCs w:val="16"/>
          <w:color w:val="auto"/>
        </w:rPr>
        <w:t>Any records administered by or on behalf of the Corporation in the regular course of its business, including its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stock ledger, books of account and minute books, may be kept on or by means of, or be in the form of, any other information storage device, method or one or more electronic networks or databases (including one or more distributed electronic networks or databases), electronic or otherwise,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the records so kept can be converted into clearly legible paper form within a reasonable time and otherwise comply with the DGCL. The Corporation shall so convert any records so kept upon the request of any person entitled to inspect such records pursuant to any provision of the DGCL.</w:t>
      </w:r>
    </w:p>
    <w:p>
      <w:pPr>
        <w:spacing w:after="0" w:line="154"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color w:val="auto"/>
        </w:rPr>
        <w:t>S</w:t>
      </w:r>
      <w:r>
        <w:rPr>
          <w:rFonts w:ascii="Arial" w:cs="Arial" w:eastAsia="Arial" w:hAnsi="Arial"/>
          <w:sz w:val="18"/>
          <w:szCs w:val="18"/>
          <w:b w:val="1"/>
          <w:bCs w:val="1"/>
          <w:color w:val="auto"/>
        </w:rPr>
        <w:t>ection 9.4:</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Reliance Upon Books and Records</w:t>
      </w:r>
      <w:r>
        <w:rPr>
          <w:rFonts w:ascii="Arial" w:cs="Arial" w:eastAsia="Arial" w:hAnsi="Arial"/>
          <w:sz w:val="18"/>
          <w:szCs w:val="18"/>
          <w:b w:val="1"/>
          <w:bCs w:val="1"/>
          <w:color w:val="auto"/>
        </w:rPr>
        <w:t>.</w:t>
      </w:r>
      <w:r>
        <w:rPr>
          <w:rFonts w:ascii="Arial" w:cs="Arial" w:eastAsia="Arial" w:hAnsi="Arial"/>
          <w:sz w:val="18"/>
          <w:szCs w:val="18"/>
          <w:color w:val="auto"/>
        </w:rPr>
        <w:t xml:space="preserve"> A member of the Board, or a member of any committee designated by the Board shall, in the performance of such person’s duties, be fully protected in relying in good faith upon the books and records of the Corporation and upon such information, opinions, reports or statements presented to the Corporation by any of the Corporation’s officers or employees, or committees of the Board, or by any other person as to matters the member reasonably believes are within such other person’s professional or expert competence and who has been selected with reasonable care by or on behalf of the Corporation.</w:t>
      </w:r>
    </w:p>
    <w:p>
      <w:pPr>
        <w:spacing w:after="0" w:line="183"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b w:val="1"/>
          <w:bCs w:val="1"/>
          <w:color w:val="auto"/>
        </w:rPr>
        <w:t xml:space="preserve">Section 9.5: </w:t>
      </w:r>
      <w:r>
        <w:rPr>
          <w:rFonts w:ascii="Arial" w:cs="Arial" w:eastAsia="Arial" w:hAnsi="Arial"/>
          <w:sz w:val="18"/>
          <w:szCs w:val="18"/>
          <w:b w:val="1"/>
          <w:bCs w:val="1"/>
          <w:u w:val="single" w:color="auto"/>
          <w:color w:val="auto"/>
        </w:rPr>
        <w:t>Certificate of Incorporation Governs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any conflict between the provisions of the Certificate of Incorporation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these Bylaws, the provisions of the Certificate of Incorporation shall govern.</w:t>
      </w:r>
    </w:p>
    <w:p>
      <w:pPr>
        <w:spacing w:after="0" w:line="162"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 xml:space="preserve">Section 9.6: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any provision of these Bylaws shall be held to be invalid, illegal, unenforceable or in conflict with the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Certificate of Incorporation, then such provision shall nonetheless be enforced to the maximum extent possible consistent with such holding and the remaining provisions of these Bylaws (including without limitation, all portions of any section of these Bylaws containing any such provision held to be invalid, illegal, unenforceable or in conflict with the Certificate of Incorporation, that are not themselves invalid, illegal, unenforceable or in conflict with the Certificate of Incorporation) shall remain in full force and effect.</w:t>
      </w:r>
    </w:p>
    <w:p>
      <w:pPr>
        <w:spacing w:after="0" w:line="183" w:lineRule="exact"/>
        <w:rPr>
          <w:sz w:val="20"/>
          <w:szCs w:val="20"/>
          <w:color w:val="auto"/>
        </w:rPr>
      </w:pPr>
    </w:p>
    <w:p>
      <w:pPr>
        <w:jc w:val="both"/>
        <w:ind w:right="140" w:firstLine="440"/>
        <w:spacing w:after="0" w:line="266" w:lineRule="auto"/>
        <w:rPr>
          <w:sz w:val="20"/>
          <w:szCs w:val="20"/>
          <w:color w:val="auto"/>
        </w:rPr>
      </w:pPr>
      <w:r>
        <w:rPr>
          <w:rFonts w:ascii="Arial" w:cs="Arial" w:eastAsia="Arial" w:hAnsi="Arial"/>
          <w:sz w:val="18"/>
          <w:szCs w:val="18"/>
          <w:b w:val="1"/>
          <w:bCs w:val="1"/>
          <w:color w:val="auto"/>
        </w:rPr>
        <w:t xml:space="preserve">Section 9.7: </w:t>
      </w:r>
      <w:r>
        <w:rPr>
          <w:rFonts w:ascii="Arial" w:cs="Arial" w:eastAsia="Arial" w:hAnsi="Arial"/>
          <w:sz w:val="18"/>
          <w:szCs w:val="18"/>
          <w:b w:val="1"/>
          <w:bCs w:val="1"/>
          <w:u w:val="single" w:color="auto"/>
          <w:color w:val="auto"/>
        </w:rPr>
        <w:t>Time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In applying any provision of these Bylaws which requires that an act be done or not be done a specified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days prior to an event or that an act be done during a period of a specified number of days prior to an event, calendar days shall be used, the day of the doing of the act shall be excluded, and the day of the event shall be included.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 AMENDMENT</w:t>
      </w:r>
    </w:p>
    <w:p>
      <w:pPr>
        <w:spacing w:after="0" w:line="229" w:lineRule="exact"/>
        <w:rPr>
          <w:sz w:val="20"/>
          <w:szCs w:val="20"/>
          <w:color w:val="auto"/>
        </w:rPr>
      </w:pPr>
    </w:p>
    <w:p>
      <w:pPr>
        <w:ind w:right="340" w:firstLine="440"/>
        <w:spacing w:after="0" w:line="308" w:lineRule="auto"/>
        <w:rPr>
          <w:sz w:val="20"/>
          <w:szCs w:val="20"/>
          <w:color w:val="auto"/>
        </w:rPr>
      </w:pPr>
      <w:r>
        <w:rPr>
          <w:rFonts w:ascii="Arial" w:cs="Arial" w:eastAsia="Arial" w:hAnsi="Arial"/>
          <w:sz w:val="17"/>
          <w:szCs w:val="17"/>
          <w:color w:val="auto"/>
        </w:rPr>
        <w:t>Notwithstanding any other provision of these Bylaws, any alteration, amendment or repeal of these Bylaws, and any adoption of new Bylaws, shall require the approval of the Board or the stockholders of the Corporation as expressly provided in the Certificate of Incorporation.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0" w:right="459" w:bottom="1440" w:gutter="0" w:footer="0" w:header="0"/>
        </w:sectPr>
      </w:pPr>
    </w:p>
    <w:bookmarkStart w:id="148" w:name="page149"/>
    <w:bookmarkEnd w:id="14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XI: EXCLUSIVE FORUM</w:t>
      </w:r>
    </w:p>
    <w:p>
      <w:pPr>
        <w:spacing w:after="0" w:line="229"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Unless the Corporation consents in writing to the selection of an alternative forum, to the fullest extent permitted by law, the federal district courts of the United States shall be the exclusive forum for the resolution of any complaint asserting a cause of action arising under the Securities Act, including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Any person or entity purchasing or otherwise acquiring or holding any interest in any security of the Corporation shall be deemed to have notice of and consented to the provisions of this Article XI.</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440" w:top="270" w:right="499" w:bottom="1440" w:gutter="0" w:footer="0" w:header="0"/>
        </w:sectPr>
      </w:pPr>
    </w:p>
    <w:bookmarkStart w:id="149" w:name="page150"/>
    <w:bookmarkEnd w:id="149"/>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CERTIFICATION OF RESTATED BYLAWS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DAY ONE BIOPHARMACEUTICALS, INC.</w:t>
      </w:r>
    </w:p>
    <w:p>
      <w:pPr>
        <w:spacing w:after="0" w:line="2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 Delaware Corporation</w:t>
      </w:r>
    </w:p>
    <w:p>
      <w:pPr>
        <w:spacing w:after="0" w:line="225"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I, Charles York II, certify that I am Secretary of Day One Biopharmaceuticals, Inc., a Delaware corporation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that I am duly authorized to make and deliver this certification, that the attached Bylaws are a true and complete copy of the Restated Bylaws of the Corporation in effect as of the date of this certificate.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June 1,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Charles York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Charles York II</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Operating Officer, Chief Financial Officer and</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Secretary</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760"/>
          </w:cols>
          <w:pgMar w:left="440" w:top="270" w:right="69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16"/>
        <w:spacing w:after="0" w:line="266"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color w:val="auto"/>
        </w:rPr>
        <w:t>I, Jeremy Bender, certify that:</w:t>
      </w:r>
    </w:p>
    <w:p>
      <w:pPr>
        <w:spacing w:after="0" w:line="131" w:lineRule="exact"/>
        <w:rPr>
          <w:sz w:val="20"/>
          <w:szCs w:val="20"/>
          <w:color w:val="auto"/>
        </w:rPr>
      </w:pPr>
    </w:p>
    <w:p>
      <w:pPr>
        <w:ind w:left="424" w:hanging="424"/>
        <w:spacing w:after="0"/>
        <w:tabs>
          <w:tab w:leader="none" w:pos="424"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Day One Biopharmaceuticals,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9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320" w:hanging="424"/>
        <w:spacing w:after="0" w:line="277" w:lineRule="auto"/>
        <w:tabs>
          <w:tab w:leader="none" w:pos="424"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964" w:right="20" w:hanging="532"/>
        <w:spacing w:after="0" w:line="263" w:lineRule="auto"/>
        <w:tabs>
          <w:tab w:leader="none" w:pos="964"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9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64" w:right="560" w:hanging="532"/>
        <w:spacing w:after="0" w:line="342" w:lineRule="auto"/>
        <w:tabs>
          <w:tab w:leader="none" w:pos="964" w:val="left"/>
        </w:tabs>
        <w:numPr>
          <w:ilvl w:val="1"/>
          <w:numId w:val="9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August 10 , 2021</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Jeremy Bender, Ph.D.,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Jeremy Bender, Ph.D., MBA</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9" w:lineRule="exact"/>
        <w:rPr>
          <w:sz w:val="20"/>
          <w:szCs w:val="20"/>
          <w:color w:val="auto"/>
        </w:rPr>
      </w:pPr>
    </w:p>
    <w:p>
      <w:pPr>
        <w:ind w:left="6624"/>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024"/>
          </w:cols>
          <w:pgMar w:left="436" w:top="121" w:right="4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16"/>
        <w:spacing w:after="0" w:line="266"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color w:val="auto"/>
        </w:rPr>
        <w:t>I, Charles N. York II, certify that:</w:t>
      </w:r>
    </w:p>
    <w:p>
      <w:pPr>
        <w:spacing w:after="0" w:line="131" w:lineRule="exact"/>
        <w:rPr>
          <w:sz w:val="20"/>
          <w:szCs w:val="20"/>
          <w:color w:val="auto"/>
        </w:rPr>
      </w:pPr>
    </w:p>
    <w:p>
      <w:pPr>
        <w:ind w:left="424" w:hanging="424"/>
        <w:spacing w:after="0"/>
        <w:tabs>
          <w:tab w:leader="none" w:pos="424"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Day One Biopharmaceuticals,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9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320" w:hanging="424"/>
        <w:spacing w:after="0" w:line="277" w:lineRule="auto"/>
        <w:tabs>
          <w:tab w:leader="none" w:pos="424"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964" w:right="20" w:hanging="532"/>
        <w:spacing w:after="0" w:line="263" w:lineRule="auto"/>
        <w:tabs>
          <w:tab w:leader="none" w:pos="964"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9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9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64" w:right="560" w:hanging="532"/>
        <w:spacing w:after="0" w:line="342" w:lineRule="auto"/>
        <w:tabs>
          <w:tab w:leader="none" w:pos="964" w:val="left"/>
        </w:tabs>
        <w:numPr>
          <w:ilvl w:val="1"/>
          <w:numId w:val="9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August 10, 2021</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Charles N. York II,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Charles N. York II, M.B.A.</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i w:val="1"/>
          <w:iCs w:val="1"/>
          <w:color w:val="auto"/>
        </w:rPr>
        <w:t>Chief Operating Officer and Chief Financial Officer</w:t>
      </w:r>
    </w:p>
    <w:p>
      <w:pPr>
        <w:spacing w:after="0" w:line="9" w:lineRule="exact"/>
        <w:rPr>
          <w:sz w:val="20"/>
          <w:szCs w:val="20"/>
          <w:color w:val="auto"/>
        </w:rPr>
      </w:pPr>
    </w:p>
    <w:p>
      <w:pPr>
        <w:ind w:left="6624"/>
        <w:spacing w:after="0"/>
        <w:rPr>
          <w:sz w:val="20"/>
          <w:szCs w:val="20"/>
          <w:color w:val="auto"/>
        </w:rPr>
      </w:pPr>
      <w:r>
        <w:rPr>
          <w:rFonts w:ascii="Arial" w:cs="Arial" w:eastAsia="Arial" w:hAnsi="Arial"/>
          <w:sz w:val="18"/>
          <w:szCs w:val="18"/>
          <w:i w:val="1"/>
          <w:iCs w:val="1"/>
          <w:color w:val="auto"/>
        </w:rPr>
        <w:t>(Principal Financial Officer and Principal Accounting</w:t>
      </w:r>
    </w:p>
    <w:p>
      <w:pPr>
        <w:spacing w:after="0" w:line="9" w:lineRule="exact"/>
        <w:rPr>
          <w:sz w:val="20"/>
          <w:szCs w:val="20"/>
          <w:color w:val="auto"/>
        </w:rPr>
      </w:pPr>
    </w:p>
    <w:p>
      <w:pPr>
        <w:ind w:left="6624"/>
        <w:spacing w:after="0"/>
        <w:rPr>
          <w:sz w:val="20"/>
          <w:szCs w:val="20"/>
          <w:color w:val="auto"/>
        </w:rPr>
      </w:pPr>
      <w:r>
        <w:rPr>
          <w:rFonts w:ascii="Arial" w:cs="Arial" w:eastAsia="Arial" w:hAnsi="Arial"/>
          <w:sz w:val="18"/>
          <w:szCs w:val="18"/>
          <w:i w:val="1"/>
          <w:iCs w:val="1"/>
          <w:color w:val="auto"/>
        </w:rPr>
        <w:t>Officer)</w:t>
      </w:r>
    </w:p>
    <w:p>
      <w:pPr>
        <w:sectPr>
          <w:pgSz w:w="11900" w:h="16838" w:orient="portrait"/>
          <w:cols w:equalWidth="0" w:num="1">
            <w:col w:w="11024"/>
          </w:cols>
          <w:pgMar w:left="436" w:top="121" w:right="4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224"/>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164"/>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 Jeremy Bender, Chief Executive Officer of Day One Biopharmaceuticals, Inc. (the “Company”), do hereby certify, pursuant to 18 U.S.C.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Section 1350, as adopted pursuant to Section 906 of the Sarbanes-Oxley Act of 2002, that to the best of my knowledge:</w:t>
      </w:r>
    </w:p>
    <w:p>
      <w:pPr>
        <w:spacing w:after="0" w:line="116" w:lineRule="exact"/>
        <w:rPr>
          <w:sz w:val="20"/>
          <w:szCs w:val="20"/>
          <w:color w:val="auto"/>
        </w:rPr>
      </w:pPr>
    </w:p>
    <w:p>
      <w:pPr>
        <w:ind w:left="424" w:right="20" w:hanging="424"/>
        <w:spacing w:after="0" w:line="277" w:lineRule="auto"/>
        <w:tabs>
          <w:tab w:leader="none" w:pos="42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June 30, 2021 (the “Report”) fully complies with the requirements of Section 13(a) or 15(d) of the Securities Exchange Act of 1934, as amended; and</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Dated: August 10, 2021</w:t>
            </w:r>
          </w:p>
        </w:tc>
        <w:tc>
          <w:tcPr>
            <w:tcW w:w="51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Jeremy Bender, Ph.D., M.B.A.</w:t>
            </w:r>
          </w:p>
        </w:tc>
      </w:tr>
      <w:tr>
        <w:trPr>
          <w:trHeight w:val="195"/>
        </w:trPr>
        <w:tc>
          <w:tcPr>
            <w:tcW w:w="5840" w:type="dxa"/>
            <w:vAlign w:val="bottom"/>
          </w:tcPr>
          <w:p>
            <w:pPr>
              <w:spacing w:after="0"/>
              <w:rPr>
                <w:sz w:val="16"/>
                <w:szCs w:val="16"/>
                <w:color w:val="auto"/>
              </w:rPr>
            </w:pPr>
          </w:p>
        </w:tc>
        <w:tc>
          <w:tcPr>
            <w:tcW w:w="5180" w:type="dxa"/>
            <w:vAlign w:val="bottom"/>
          </w:tcPr>
          <w:p>
            <w:pPr>
              <w:ind w:left="100"/>
              <w:spacing w:after="0" w:line="195" w:lineRule="exact"/>
              <w:rPr>
                <w:sz w:val="20"/>
                <w:szCs w:val="20"/>
                <w:color w:val="auto"/>
              </w:rPr>
            </w:pPr>
            <w:r>
              <w:rPr>
                <w:rFonts w:ascii="Arial" w:cs="Arial" w:eastAsia="Arial" w:hAnsi="Arial"/>
                <w:sz w:val="18"/>
                <w:szCs w:val="18"/>
                <w:color w:val="auto"/>
              </w:rPr>
              <w:t>Jeremy Bender, Ph.D., MBA</w:t>
            </w:r>
          </w:p>
        </w:tc>
      </w:tr>
      <w:tr>
        <w:trPr>
          <w:trHeight w:val="216"/>
        </w:trPr>
        <w:tc>
          <w:tcPr>
            <w:tcW w:w="5840" w:type="dxa"/>
            <w:vAlign w:val="bottom"/>
          </w:tcPr>
          <w:p>
            <w:pPr>
              <w:spacing w:after="0"/>
              <w:rPr>
                <w:sz w:val="18"/>
                <w:szCs w:val="18"/>
                <w:color w:val="auto"/>
              </w:rPr>
            </w:pPr>
          </w:p>
        </w:tc>
        <w:tc>
          <w:tcPr>
            <w:tcW w:w="5180" w:type="dxa"/>
            <w:vAlign w:val="bottom"/>
          </w:tcPr>
          <w:p>
            <w:pPr>
              <w:ind w:left="100"/>
              <w:spacing w:after="0"/>
              <w:rPr>
                <w:sz w:val="20"/>
                <w:szCs w:val="20"/>
                <w:color w:val="auto"/>
              </w:rPr>
            </w:pPr>
            <w:r>
              <w:rPr>
                <w:rFonts w:ascii="Arial" w:cs="Arial" w:eastAsia="Arial" w:hAnsi="Arial"/>
                <w:sz w:val="18"/>
                <w:szCs w:val="18"/>
                <w:i w:val="1"/>
                <w:iCs w:val="1"/>
                <w:color w:val="auto"/>
              </w:rPr>
              <w:t>Chief Executive Officer and President</w:t>
            </w:r>
          </w:p>
        </w:tc>
      </w:tr>
      <w:tr>
        <w:trPr>
          <w:trHeight w:val="230"/>
        </w:trPr>
        <w:tc>
          <w:tcPr>
            <w:tcW w:w="584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024"/>
          </w:cols>
          <w:pgMar w:left="436" w:top="121" w:right="4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224"/>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164"/>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7"/>
          <w:szCs w:val="17"/>
          <w:color w:val="auto"/>
        </w:rPr>
        <w:t>I, Charles N. York II, Chief Financial Officer of Day One Biopharmaceuticals, Inc. (the “Company”), do hereby certify, pursuant to 18 U.S.C.</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Section 1350, as adopted pursuant to Section 906 of the Sarbanes-Oxley Act of 2002, that to the best of my knowledge:</w:t>
      </w:r>
    </w:p>
    <w:p>
      <w:pPr>
        <w:spacing w:after="0" w:line="116" w:lineRule="exact"/>
        <w:rPr>
          <w:sz w:val="20"/>
          <w:szCs w:val="20"/>
          <w:color w:val="auto"/>
        </w:rPr>
      </w:pPr>
    </w:p>
    <w:p>
      <w:pPr>
        <w:ind w:left="424" w:right="20" w:hanging="424"/>
        <w:spacing w:after="0" w:line="277" w:lineRule="auto"/>
        <w:tabs>
          <w:tab w:leader="none" w:pos="42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June 30, 2021 (the “Report”) fully complies with the requirements of Section 13(a) or 15(d) of the Securities Exchange Act of 1934, as amended; and</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Dated: August 10, 2021</w:t>
            </w:r>
          </w:p>
        </w:tc>
        <w:tc>
          <w:tcPr>
            <w:tcW w:w="51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Charles N. York II, M.B.A.</w:t>
            </w:r>
          </w:p>
        </w:tc>
      </w:tr>
      <w:tr>
        <w:trPr>
          <w:trHeight w:val="195"/>
        </w:trPr>
        <w:tc>
          <w:tcPr>
            <w:tcW w:w="5840" w:type="dxa"/>
            <w:vAlign w:val="bottom"/>
          </w:tcPr>
          <w:p>
            <w:pPr>
              <w:spacing w:after="0"/>
              <w:rPr>
                <w:sz w:val="16"/>
                <w:szCs w:val="16"/>
                <w:color w:val="auto"/>
              </w:rPr>
            </w:pPr>
          </w:p>
        </w:tc>
        <w:tc>
          <w:tcPr>
            <w:tcW w:w="5180" w:type="dxa"/>
            <w:vAlign w:val="bottom"/>
          </w:tcPr>
          <w:p>
            <w:pPr>
              <w:ind w:left="100"/>
              <w:spacing w:after="0" w:line="195" w:lineRule="exact"/>
              <w:rPr>
                <w:sz w:val="20"/>
                <w:szCs w:val="20"/>
                <w:color w:val="auto"/>
              </w:rPr>
            </w:pPr>
            <w:r>
              <w:rPr>
                <w:rFonts w:ascii="Arial" w:cs="Arial" w:eastAsia="Arial" w:hAnsi="Arial"/>
                <w:sz w:val="18"/>
                <w:szCs w:val="18"/>
                <w:color w:val="auto"/>
              </w:rPr>
              <w:t>Charles N. York II, M.B.A.</w:t>
            </w:r>
          </w:p>
        </w:tc>
      </w:tr>
      <w:tr>
        <w:trPr>
          <w:trHeight w:val="216"/>
        </w:trPr>
        <w:tc>
          <w:tcPr>
            <w:tcW w:w="5840" w:type="dxa"/>
            <w:vAlign w:val="bottom"/>
          </w:tcPr>
          <w:p>
            <w:pPr>
              <w:spacing w:after="0"/>
              <w:rPr>
                <w:sz w:val="18"/>
                <w:szCs w:val="18"/>
                <w:color w:val="auto"/>
              </w:rPr>
            </w:pPr>
          </w:p>
        </w:tc>
        <w:tc>
          <w:tcPr>
            <w:tcW w:w="5180" w:type="dxa"/>
            <w:vAlign w:val="bottom"/>
          </w:tcPr>
          <w:p>
            <w:pPr>
              <w:ind w:left="100"/>
              <w:spacing w:after="0"/>
              <w:rPr>
                <w:sz w:val="20"/>
                <w:szCs w:val="20"/>
                <w:color w:val="auto"/>
              </w:rPr>
            </w:pPr>
            <w:r>
              <w:rPr>
                <w:rFonts w:ascii="Arial" w:cs="Arial" w:eastAsia="Arial" w:hAnsi="Arial"/>
                <w:sz w:val="18"/>
                <w:szCs w:val="18"/>
                <w:i w:val="1"/>
                <w:iCs w:val="1"/>
                <w:color w:val="auto"/>
              </w:rPr>
              <w:t>Chief Operating Officer and Chief Financial Officer</w:t>
            </w:r>
          </w:p>
        </w:tc>
      </w:tr>
      <w:tr>
        <w:trPr>
          <w:trHeight w:val="230"/>
        </w:trPr>
        <w:tc>
          <w:tcPr>
            <w:tcW w:w="584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Arial" w:cs="Arial" w:eastAsia="Arial" w:hAnsi="Arial"/>
                <w:sz w:val="18"/>
                <w:szCs w:val="18"/>
                <w:i w:val="1"/>
                <w:iCs w:val="1"/>
                <w:color w:val="auto"/>
              </w:rPr>
              <w:t>(Principal Financial Officer and Principal Accounting Officer)</w:t>
            </w:r>
          </w:p>
        </w:tc>
      </w:tr>
    </w:tbl>
    <w:p>
      <w:pPr>
        <w:spacing w:after="0" w:line="1" w:lineRule="exact"/>
        <w:rPr>
          <w:sz w:val="20"/>
          <w:szCs w:val="20"/>
          <w:color w:val="auto"/>
        </w:rPr>
      </w:pP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1."/>
      <w:numFmt w:val="decimal"/>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1."/>
      <w:numFmt w:val="decimal"/>
      <w:start w:val="2"/>
    </w:lvl>
  </w:abstractNum>
  <w:abstractNum w:abstractNumId="5">
    <w:nsid w:val="520EEDD1"/>
    <w:multiLevelType w:val="hybridMultilevel"/>
    <w:lvl w:ilvl="0">
      <w:lvlJc w:val="left"/>
      <w:lvlText w:val="(%1)"/>
      <w:numFmt w:val="decimal"/>
      <w:start w:val="4"/>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1."/>
      <w:numFmt w:val="decimal"/>
      <w:start w:val="3"/>
    </w:lvl>
  </w:abstractNum>
  <w:abstractNum w:abstractNumId="8">
    <w:nsid w:val="23F9C13C"/>
    <w:multiLevelType w:val="hybridMultilevel"/>
    <w:lvl w:ilvl="0">
      <w:lvlJc w:val="left"/>
      <w:lvlText w:val="%1."/>
      <w:numFmt w:val="decimal"/>
      <w:start w:val="4"/>
    </w:lvl>
  </w:abstractNum>
  <w:abstractNum w:abstractNumId="9">
    <w:nsid w:val="649BB77C"/>
    <w:multiLevelType w:val="hybridMultilevel"/>
    <w:lvl w:ilvl="0">
      <w:lvlJc w:val="left"/>
      <w:lvlText w:val="%1."/>
      <w:numFmt w:val="decimal"/>
      <w:start w:val="6"/>
    </w:lvl>
  </w:abstractNum>
  <w:abstractNum w:abstractNumId="10">
    <w:nsid w:val="275AC794"/>
    <w:multiLevelType w:val="hybridMultilevel"/>
    <w:lvl w:ilvl="0">
      <w:lvlJc w:val="left"/>
      <w:lvlText w:val="%1."/>
      <w:numFmt w:val="decimal"/>
      <w:start w:val="7"/>
    </w:lvl>
  </w:abstractNum>
  <w:abstractNum w:abstractNumId="11">
    <w:nsid w:val="39386575"/>
    <w:multiLevelType w:val="hybridMultilevel"/>
    <w:lvl w:ilvl="0">
      <w:lvlJc w:val="left"/>
      <w:lvlText w:val="%1."/>
      <w:numFmt w:val="decimal"/>
      <w:start w:val="8"/>
    </w:lvl>
  </w:abstractNum>
  <w:abstractNum w:abstractNumId="12">
    <w:nsid w:val="1CF10FD8"/>
    <w:multiLevelType w:val="hybridMultilevel"/>
    <w:lvl w:ilvl="0">
      <w:lvlJc w:val="left"/>
      <w:lvlText w:val="%1."/>
      <w:numFmt w:val="decimal"/>
      <w:start w:val="9"/>
    </w:lvl>
  </w:abstractNum>
  <w:abstractNum w:abstractNumId="13">
    <w:nsid w:val="180115BE"/>
    <w:multiLevelType w:val="hybridMultilevel"/>
    <w:lvl w:ilvl="0">
      <w:lvlJc w:val="left"/>
      <w:lvlText w:val="%1."/>
      <w:numFmt w:val="decimal"/>
      <w:start w:val="10"/>
    </w:lvl>
  </w:abstractNum>
  <w:abstractNum w:abstractNumId="14">
    <w:nsid w:val="235BA861"/>
    <w:multiLevelType w:val="hybridMultilevel"/>
    <w:lvl w:ilvl="0">
      <w:lvlJc w:val="left"/>
      <w:lvlText w:val="%1."/>
      <w:numFmt w:val="decimal"/>
      <w:start w:val="11"/>
    </w:lvl>
  </w:abstractNum>
  <w:abstractNum w:abstractNumId="15">
    <w:nsid w:val="47398C89"/>
    <w:multiLevelType w:val="hybridMultilevel"/>
    <w:lvl w:ilvl="0">
      <w:lvlJc w:val="left"/>
      <w:lvlText w:val="%1."/>
      <w:numFmt w:val="decimal"/>
      <w:start w:val="12"/>
    </w:lvl>
  </w:abstractNum>
  <w:abstractNum w:abstractNumId="16">
    <w:nsid w:val="354FE9F9"/>
    <w:multiLevelType w:val="hybridMultilevel"/>
    <w:lvl w:ilvl="0">
      <w:lvlJc w:val="left"/>
      <w:lvlText w:val="%1."/>
      <w:numFmt w:val="decimal"/>
      <w:start w:val="13"/>
    </w:lvl>
  </w:abstractNum>
  <w:abstractNum w:abstractNumId="17">
    <w:nsid w:val="15B5AF5C"/>
    <w:multiLevelType w:val="hybridMultilevel"/>
    <w:lvl w:ilvl="0">
      <w:lvlJc w:val="left"/>
      <w:lvlText w:val="•"/>
      <w:numFmt w:val="bullet"/>
      <w:start w:val="1"/>
    </w:lvl>
  </w:abstractNum>
  <w:abstractNum w:abstractNumId="18">
    <w:nsid w:val="741226BB"/>
    <w:multiLevelType w:val="hybridMultilevel"/>
    <w:lvl w:ilvl="0">
      <w:lvlJc w:val="left"/>
      <w:lvlText w:val="*"/>
      <w:numFmt w:val="bullet"/>
      <w:start w:val="1"/>
    </w:lvl>
  </w:abstractNum>
  <w:abstractNum w:abstractNumId="19">
    <w:nsid w:val="D34B6A8"/>
    <w:multiLevelType w:val="hybridMultilevel"/>
    <w:lvl w:ilvl="0">
      <w:lvlJc w:val="left"/>
      <w:lvlText w:val="1"/>
      <w:numFmt w:val="bullet"/>
      <w:start w:val="1"/>
    </w:lvl>
  </w:abstractNum>
  <w:abstractNum w:abstractNumId="20">
    <w:nsid w:val="10233C99"/>
    <w:multiLevelType w:val="hybridMultilevel"/>
    <w:lvl w:ilvl="0">
      <w:lvlJc w:val="left"/>
      <w:lvlText w:val="2"/>
      <w:numFmt w:val="bullet"/>
      <w:start w:val="1"/>
    </w:lvl>
  </w:abstractNum>
  <w:abstractNum w:abstractNumId="21">
    <w:nsid w:val="3F6AB60F"/>
    <w:multiLevelType w:val="hybridMultilevel"/>
    <w:lvl w:ilvl="0">
      <w:lvlJc w:val="left"/>
      <w:lvlText w:val="3"/>
      <w:numFmt w:val="bullet"/>
      <w:start w:val="1"/>
    </w:lvl>
  </w:abstractNum>
  <w:abstractNum w:abstractNumId="22">
    <w:nsid w:val="61574095"/>
    <w:multiLevelType w:val="hybridMultilevel"/>
    <w:lvl w:ilvl="0">
      <w:lvlJc w:val="left"/>
      <w:lvlText w:val="•"/>
      <w:numFmt w:val="bullet"/>
      <w:start w:val="1"/>
    </w:lvl>
  </w:abstractNum>
  <w:abstractNum w:abstractNumId="23">
    <w:nsid w:val="7E0C57B1"/>
    <w:multiLevelType w:val="hybridMultilevel"/>
    <w:lvl w:ilvl="0">
      <w:lvlJc w:val="left"/>
      <w:lvlText w:val="•"/>
      <w:numFmt w:val="bullet"/>
      <w:start w:val="1"/>
    </w:lvl>
  </w:abstractNum>
  <w:abstractNum w:abstractNumId="24">
    <w:nsid w:val="77AE35EB"/>
    <w:multiLevelType w:val="hybridMultilevel"/>
    <w:lvl w:ilvl="0">
      <w:lvlJc w:val="left"/>
      <w:lvlText w:val="•"/>
      <w:numFmt w:val="bullet"/>
      <w:start w:val="1"/>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1)"/>
      <w:numFmt w:val="decimal"/>
      <w:start w:val="1"/>
    </w:lvl>
  </w:abstractNum>
  <w:abstractNum w:abstractNumId="27">
    <w:nsid w:val="5FF87E05"/>
    <w:multiLevelType w:val="hybridMultilevel"/>
    <w:lvl w:ilvl="0">
      <w:lvlJc w:val="left"/>
      <w:lvlText w:val="(%1)"/>
      <w:numFmt w:val="decimal"/>
      <w:start w:val="1"/>
    </w:lvl>
  </w:abstractNum>
  <w:abstractNum w:abstractNumId="28">
    <w:nsid w:val="2F305DEF"/>
    <w:multiLevelType w:val="hybridMultilevel"/>
    <w:lvl w:ilvl="0">
      <w:lvlJc w:val="left"/>
      <w:lvlText w:val="•"/>
      <w:numFmt w:val="bullet"/>
      <w:start w:val="1"/>
    </w:lvl>
  </w:abstractNum>
  <w:abstractNum w:abstractNumId="29">
    <w:nsid w:val="25A70BF7"/>
    <w:multiLevelType w:val="hybridMultilevel"/>
    <w:lvl w:ilvl="0">
      <w:lvlJc w:val="left"/>
      <w:lvlText w:val="•"/>
      <w:numFmt w:val="bullet"/>
      <w:start w:val="1"/>
    </w:lvl>
  </w:abstractNum>
  <w:abstractNum w:abstractNumId="30">
    <w:nsid w:val="1DBABF00"/>
    <w:multiLevelType w:val="hybridMultilevel"/>
    <w:lvl w:ilvl="0">
      <w:lvlJc w:val="left"/>
      <w:lvlText w:val="•"/>
      <w:numFmt w:val="bullet"/>
      <w:start w:val="1"/>
    </w:lvl>
  </w:abstractNum>
  <w:abstractNum w:abstractNumId="31">
    <w:nsid w:val="4AD084E9"/>
    <w:multiLevelType w:val="hybridMultilevel"/>
    <w:lvl w:ilvl="0">
      <w:lvlJc w:val="left"/>
      <w:lvlText w:val="•"/>
      <w:numFmt w:val="bullet"/>
      <w:start w:val="1"/>
    </w:lvl>
  </w:abstractNum>
  <w:abstractNum w:abstractNumId="32">
    <w:nsid w:val="1F48EAA1"/>
    <w:multiLevelType w:val="hybridMultilevel"/>
    <w:lvl w:ilvl="0">
      <w:lvlJc w:val="left"/>
      <w:lvlText w:val="•"/>
      <w:numFmt w:val="bullet"/>
      <w:start w:val="1"/>
    </w:lvl>
  </w:abstractNum>
  <w:abstractNum w:abstractNumId="33">
    <w:nsid w:val="1381823A"/>
    <w:multiLevelType w:val="hybridMultilevel"/>
    <w:lvl w:ilvl="0">
      <w:lvlJc w:val="left"/>
      <w:lvlText w:val="•"/>
      <w:numFmt w:val="bullet"/>
      <w:start w:val="1"/>
    </w:lvl>
  </w:abstractNum>
  <w:abstractNum w:abstractNumId="34">
    <w:nsid w:val="5DB70AE5"/>
    <w:multiLevelType w:val="hybridMultilevel"/>
    <w:lvl w:ilvl="0">
      <w:lvlJc w:val="left"/>
      <w:lvlText w:val="•"/>
      <w:numFmt w:val="bullet"/>
      <w:start w:val="1"/>
    </w:lvl>
  </w:abstractNum>
  <w:abstractNum w:abstractNumId="35">
    <w:nsid w:val="100F8FCA"/>
    <w:multiLevelType w:val="hybridMultilevel"/>
    <w:lvl w:ilvl="0">
      <w:lvlJc w:val="left"/>
      <w:lvlText w:val="•"/>
      <w:numFmt w:val="bullet"/>
      <w:start w:val="1"/>
    </w:lvl>
  </w:abstractNum>
  <w:abstractNum w:abstractNumId="36">
    <w:nsid w:val="6590700B"/>
    <w:multiLevelType w:val="hybridMultilevel"/>
    <w:lvl w:ilvl="0">
      <w:lvlJc w:val="left"/>
      <w:lvlText w:val="•"/>
      <w:numFmt w:val="bullet"/>
      <w:start w:val="1"/>
    </w:lvl>
  </w:abstractNum>
  <w:abstractNum w:abstractNumId="37">
    <w:nsid w:val="15014ACB"/>
    <w:multiLevelType w:val="hybridMultilevel"/>
    <w:lvl w:ilvl="0">
      <w:lvlJc w:val="left"/>
      <w:lvlText w:val="•"/>
      <w:numFmt w:val="bullet"/>
      <w:start w:val="1"/>
    </w:lvl>
  </w:abstractNum>
  <w:abstractNum w:abstractNumId="38">
    <w:nsid w:val="5F5E7FD0"/>
    <w:multiLevelType w:val="hybridMultilevel"/>
    <w:lvl w:ilvl="0">
      <w:lvlJc w:val="left"/>
      <w:lvlText w:val="•"/>
      <w:numFmt w:val="bullet"/>
      <w:start w:val="1"/>
    </w:lvl>
  </w:abstractNum>
  <w:abstractNum w:abstractNumId="39">
    <w:nsid w:val="98A3148"/>
    <w:multiLevelType w:val="hybridMultilevel"/>
    <w:lvl w:ilvl="0">
      <w:lvlJc w:val="left"/>
      <w:lvlText w:val="•"/>
      <w:numFmt w:val="bullet"/>
      <w:start w:val="1"/>
    </w:lvl>
  </w:abstractNum>
  <w:abstractNum w:abstractNumId="40">
    <w:nsid w:val="799D0247"/>
    <w:multiLevelType w:val="hybridMultilevel"/>
    <w:lvl w:ilvl="0">
      <w:lvlJc w:val="left"/>
      <w:lvlText w:val="•"/>
      <w:numFmt w:val="bullet"/>
      <w:start w:val="1"/>
    </w:lvl>
  </w:abstractNum>
  <w:abstractNum w:abstractNumId="41">
    <w:nsid w:val="6B94764"/>
    <w:multiLevelType w:val="hybridMultilevel"/>
    <w:lvl w:ilvl="0">
      <w:lvlJc w:val="left"/>
      <w:lvlText w:val="(%1)"/>
      <w:numFmt w:val="lowerRoman"/>
      <w:start w:val="1"/>
    </w:lvl>
  </w:abstractNum>
  <w:abstractNum w:abstractNumId="42">
    <w:nsid w:val="42C296BD"/>
    <w:multiLevelType w:val="hybridMultilevel"/>
    <w:lvl w:ilvl="0">
      <w:lvlJc w:val="left"/>
      <w:lvlText w:val="•"/>
      <w:numFmt w:val="bullet"/>
      <w:start w:val="1"/>
    </w:lvl>
  </w:abstractNum>
  <w:abstractNum w:abstractNumId="43">
    <w:nsid w:val="168E121F"/>
    <w:multiLevelType w:val="hybridMultilevel"/>
    <w:lvl w:ilvl="0">
      <w:lvlJc w:val="left"/>
      <w:lvlText w:val="•"/>
      <w:numFmt w:val="bullet"/>
      <w:start w:val="1"/>
    </w:lvl>
  </w:abstractNum>
  <w:abstractNum w:abstractNumId="44">
    <w:nsid w:val="1EBA5D23"/>
    <w:multiLevelType w:val="hybridMultilevel"/>
    <w:lvl w:ilvl="0">
      <w:lvlJc w:val="left"/>
      <w:lvlText w:val="•"/>
      <w:numFmt w:val="bullet"/>
      <w:start w:val="1"/>
    </w:lvl>
  </w:abstractNum>
  <w:abstractNum w:abstractNumId="45">
    <w:nsid w:val="661E3F1E"/>
    <w:multiLevelType w:val="hybridMultilevel"/>
    <w:lvl w:ilvl="0">
      <w:lvlJc w:val="left"/>
      <w:lvlText w:val="•"/>
      <w:numFmt w:val="bullet"/>
      <w:start w:val="1"/>
    </w:lvl>
  </w:abstractNum>
  <w:abstractNum w:abstractNumId="46">
    <w:nsid w:val="5DC79EA8"/>
    <w:multiLevelType w:val="hybridMultilevel"/>
    <w:lvl w:ilvl="0">
      <w:lvlJc w:val="left"/>
      <w:lvlText w:val="•"/>
      <w:numFmt w:val="bullet"/>
      <w:start w:val="1"/>
    </w:lvl>
  </w:abstractNum>
  <w:abstractNum w:abstractNumId="47">
    <w:nsid w:val="540A471C"/>
    <w:multiLevelType w:val="hybridMultilevel"/>
    <w:lvl w:ilvl="0">
      <w:lvlJc w:val="left"/>
      <w:lvlText w:val="•"/>
      <w:numFmt w:val="bullet"/>
      <w:start w:val="1"/>
    </w:lvl>
  </w:abstractNum>
  <w:abstractNum w:abstractNumId="48">
    <w:nsid w:val="7BD3EE7B"/>
    <w:multiLevelType w:val="hybridMultilevel"/>
    <w:lvl w:ilvl="0">
      <w:lvlJc w:val="left"/>
      <w:lvlText w:val="•"/>
      <w:numFmt w:val="bullet"/>
      <w:start w:val="1"/>
    </w:lvl>
  </w:abstractNum>
  <w:abstractNum w:abstractNumId="49">
    <w:nsid w:val="51D9C564"/>
    <w:multiLevelType w:val="hybridMultilevel"/>
    <w:lvl w:ilvl="0">
      <w:lvlJc w:val="left"/>
      <w:lvlText w:val="•"/>
      <w:numFmt w:val="bullet"/>
      <w:start w:val="1"/>
    </w:lvl>
  </w:abstractNum>
  <w:abstractNum w:abstractNumId="50">
    <w:nsid w:val="613EFDC5"/>
    <w:multiLevelType w:val="hybridMultilevel"/>
    <w:lvl w:ilvl="0">
      <w:lvlJc w:val="left"/>
      <w:lvlText w:val="•"/>
      <w:numFmt w:val="bullet"/>
      <w:start w:val="1"/>
    </w:lvl>
  </w:abstractNum>
  <w:abstractNum w:abstractNumId="51">
    <w:nsid w:val="BF72B14"/>
    <w:multiLevelType w:val="hybridMultilevel"/>
    <w:lvl w:ilvl="0">
      <w:lvlJc w:val="left"/>
      <w:lvlText w:val="•"/>
      <w:numFmt w:val="bullet"/>
      <w:start w:val="1"/>
    </w:lvl>
  </w:abstractNum>
  <w:abstractNum w:abstractNumId="52">
    <w:nsid w:val="11447B73"/>
    <w:multiLevelType w:val="hybridMultilevel"/>
    <w:lvl w:ilvl="0">
      <w:lvlJc w:val="left"/>
      <w:lvlText w:val="•"/>
      <w:numFmt w:val="bullet"/>
      <w:start w:val="1"/>
    </w:lvl>
  </w:abstractNum>
  <w:abstractNum w:abstractNumId="53">
    <w:nsid w:val="42963E5A"/>
    <w:multiLevelType w:val="hybridMultilevel"/>
    <w:lvl w:ilvl="0">
      <w:lvlJc w:val="left"/>
      <w:lvlText w:val="•"/>
      <w:numFmt w:val="bullet"/>
      <w:start w:val="1"/>
    </w:lvl>
  </w:abstractNum>
  <w:abstractNum w:abstractNumId="54">
    <w:nsid w:val="A0382C5"/>
    <w:multiLevelType w:val="hybridMultilevel"/>
    <w:lvl w:ilvl="0">
      <w:lvlJc w:val="left"/>
      <w:lvlText w:val="•"/>
      <w:numFmt w:val="bullet"/>
      <w:start w:val="1"/>
    </w:lvl>
  </w:abstractNum>
  <w:abstractNum w:abstractNumId="55">
    <w:nsid w:val="8F2B15E"/>
    <w:multiLevelType w:val="hybridMultilevel"/>
    <w:lvl w:ilvl="0">
      <w:lvlJc w:val="left"/>
      <w:lvlText w:val="•"/>
      <w:numFmt w:val="bullet"/>
      <w:start w:val="1"/>
    </w:lvl>
  </w:abstractNum>
  <w:abstractNum w:abstractNumId="56">
    <w:nsid w:val="1A32234B"/>
    <w:multiLevelType w:val="hybridMultilevel"/>
    <w:lvl w:ilvl="0">
      <w:lvlJc w:val="left"/>
      <w:lvlText w:val="•"/>
      <w:numFmt w:val="bullet"/>
      <w:start w:val="1"/>
    </w:lvl>
  </w:abstractNum>
  <w:abstractNum w:abstractNumId="57">
    <w:nsid w:val="3B0FD379"/>
    <w:multiLevelType w:val="hybridMultilevel"/>
    <w:lvl w:ilvl="0">
      <w:lvlJc w:val="left"/>
      <w:lvlText w:val="•"/>
      <w:numFmt w:val="bullet"/>
      <w:start w:val="1"/>
    </w:lvl>
  </w:abstractNum>
  <w:abstractNum w:abstractNumId="58">
    <w:nsid w:val="68EB2F63"/>
    <w:multiLevelType w:val="hybridMultilevel"/>
    <w:lvl w:ilvl="0">
      <w:lvlJc w:val="left"/>
      <w:lvlText w:val="•"/>
      <w:numFmt w:val="bullet"/>
      <w:start w:val="1"/>
    </w:lvl>
  </w:abstractNum>
  <w:abstractNum w:abstractNumId="59">
    <w:nsid w:val="4962813B"/>
    <w:multiLevelType w:val="hybridMultilevel"/>
    <w:lvl w:ilvl="0">
      <w:lvlJc w:val="left"/>
      <w:lvlText w:val="•"/>
      <w:numFmt w:val="bullet"/>
      <w:start w:val="1"/>
    </w:lvl>
  </w:abstractNum>
  <w:abstractNum w:abstractNumId="60">
    <w:nsid w:val="60B6DF70"/>
    <w:multiLevelType w:val="hybridMultilevel"/>
    <w:lvl w:ilvl="0">
      <w:lvlJc w:val="left"/>
      <w:lvlText w:val="•"/>
      <w:numFmt w:val="bullet"/>
      <w:start w:val="1"/>
    </w:lvl>
  </w:abstractNum>
  <w:abstractNum w:abstractNumId="61">
    <w:nsid w:val="6A5EE64"/>
    <w:multiLevelType w:val="hybridMultilevel"/>
    <w:lvl w:ilvl="0">
      <w:lvlJc w:val="left"/>
      <w:lvlText w:val="•"/>
      <w:numFmt w:val="bullet"/>
      <w:start w:val="1"/>
    </w:lvl>
  </w:abstractNum>
  <w:abstractNum w:abstractNumId="62">
    <w:nsid w:val="14330624"/>
    <w:multiLevelType w:val="hybridMultilevel"/>
    <w:lvl w:ilvl="0">
      <w:lvlJc w:val="left"/>
      <w:lvlText w:val="•"/>
      <w:numFmt w:val="bullet"/>
      <w:start w:val="1"/>
    </w:lvl>
  </w:abstractNum>
  <w:abstractNum w:abstractNumId="63">
    <w:nsid w:val="7FFFCA11"/>
    <w:multiLevelType w:val="hybridMultilevel"/>
    <w:lvl w:ilvl="0">
      <w:lvlJc w:val="left"/>
      <w:lvlText w:val="•"/>
      <w:numFmt w:val="bullet"/>
      <w:start w:val="1"/>
    </w:lvl>
  </w:abstractNum>
  <w:abstractNum w:abstractNumId="64">
    <w:nsid w:val="1A27709E"/>
    <w:multiLevelType w:val="hybridMultilevel"/>
    <w:lvl w:ilvl="0">
      <w:lvlJc w:val="left"/>
      <w:lvlText w:val="•"/>
      <w:numFmt w:val="bullet"/>
      <w:start w:val="1"/>
    </w:lvl>
  </w:abstractNum>
  <w:abstractNum w:abstractNumId="65">
    <w:nsid w:val="71EA1109"/>
    <w:multiLevelType w:val="hybridMultilevel"/>
    <w:lvl w:ilvl="0">
      <w:lvlJc w:val="left"/>
      <w:lvlText w:val="•"/>
      <w:numFmt w:val="bullet"/>
      <w:start w:val="1"/>
    </w:lvl>
  </w:abstractNum>
  <w:abstractNum w:abstractNumId="66">
    <w:nsid w:val="100F59DC"/>
    <w:multiLevelType w:val="hybridMultilevel"/>
    <w:lvl w:ilvl="0">
      <w:lvlJc w:val="left"/>
      <w:lvlText w:val="•"/>
      <w:numFmt w:val="bullet"/>
      <w:start w:val="1"/>
    </w:lvl>
  </w:abstractNum>
  <w:abstractNum w:abstractNumId="67">
    <w:nsid w:val="7FB7E0AA"/>
    <w:multiLevelType w:val="hybridMultilevel"/>
    <w:lvl w:ilvl="0">
      <w:lvlJc w:val="left"/>
      <w:lvlText w:val="•"/>
      <w:numFmt w:val="bullet"/>
      <w:start w:val="1"/>
    </w:lvl>
  </w:abstractNum>
  <w:abstractNum w:abstractNumId="68">
    <w:nsid w:val="6EB5BD4"/>
    <w:multiLevelType w:val="hybridMultilevel"/>
    <w:lvl w:ilvl="0">
      <w:lvlJc w:val="left"/>
      <w:lvlText w:val="•"/>
      <w:numFmt w:val="bullet"/>
      <w:start w:val="1"/>
    </w:lvl>
  </w:abstractNum>
  <w:abstractNum w:abstractNumId="69">
    <w:nsid w:val="6F6DD9AC"/>
    <w:multiLevelType w:val="hybridMultilevel"/>
    <w:lvl w:ilvl="0">
      <w:lvlJc w:val="left"/>
      <w:lvlText w:val="•"/>
      <w:numFmt w:val="bullet"/>
      <w:start w:val="1"/>
    </w:lvl>
  </w:abstractNum>
  <w:abstractNum w:abstractNumId="70">
    <w:nsid w:val="94211F2"/>
    <w:multiLevelType w:val="hybridMultilevel"/>
    <w:lvl w:ilvl="0">
      <w:lvlJc w:val="left"/>
      <w:lvlText w:val="•"/>
      <w:numFmt w:val="bullet"/>
      <w:start w:val="1"/>
    </w:lvl>
  </w:abstractNum>
  <w:abstractNum w:abstractNumId="71">
    <w:nsid w:val="885E1B"/>
    <w:multiLevelType w:val="hybridMultilevel"/>
    <w:lvl w:ilvl="0">
      <w:lvlJc w:val="left"/>
      <w:lvlText w:val="•"/>
      <w:numFmt w:val="bullet"/>
      <w:start w:val="1"/>
    </w:lvl>
  </w:abstractNum>
  <w:abstractNum w:abstractNumId="72">
    <w:nsid w:val="76272110"/>
    <w:multiLevelType w:val="hybridMultilevel"/>
    <w:lvl w:ilvl="0">
      <w:lvlJc w:val="left"/>
      <w:lvlText w:val="(%1)"/>
      <w:numFmt w:val="lowerRoman"/>
      <w:start w:val="2"/>
    </w:lvl>
  </w:abstractNum>
  <w:abstractNum w:abstractNumId="73">
    <w:nsid w:val="4C04A8AF"/>
    <w:multiLevelType w:val="hybridMultilevel"/>
    <w:lvl w:ilvl="0">
      <w:lvlJc w:val="left"/>
      <w:lvlText w:val="•"/>
      <w:numFmt w:val="bullet"/>
      <w:start w:val="1"/>
    </w:lvl>
  </w:abstractNum>
  <w:abstractNum w:abstractNumId="74">
    <w:nsid w:val="1716703B"/>
    <w:multiLevelType w:val="hybridMultilevel"/>
    <w:lvl w:ilvl="0">
      <w:lvlJc w:val="left"/>
      <w:lvlText w:val="*"/>
      <w:numFmt w:val="bullet"/>
      <w:start w:val="1"/>
    </w:lvl>
  </w:abstractNum>
  <w:abstractNum w:abstractNumId="75">
    <w:nsid w:val="14E17E33"/>
    <w:multiLevelType w:val="hybridMultilevel"/>
    <w:lvl w:ilvl="0">
      <w:lvlJc w:val="left"/>
      <w:lvlText w:val="%1."/>
      <w:numFmt w:val="decimal"/>
      <w:start w:val="1"/>
    </w:lvl>
  </w:abstractNum>
  <w:abstractNum w:abstractNumId="76">
    <w:nsid w:val="3222E7CD"/>
    <w:multiLevelType w:val="hybridMultilevel"/>
    <w:lvl w:ilvl="0">
      <w:lvlJc w:val="left"/>
      <w:lvlText w:val="%1."/>
      <w:numFmt w:val="decimal"/>
      <w:start w:val="1"/>
    </w:lvl>
  </w:abstractNum>
  <w:abstractNum w:abstractNumId="77">
    <w:nsid w:val="74DE0EE3"/>
    <w:multiLevelType w:val="hybridMultilevel"/>
    <w:lvl w:ilvl="0">
      <w:lvlJc w:val="left"/>
      <w:lvlText w:val="%1."/>
      <w:numFmt w:val="decimal"/>
      <w:start w:val="1"/>
    </w:lvl>
  </w:abstractNum>
  <w:abstractNum w:abstractNumId="78">
    <w:nsid w:val="68EBC550"/>
    <w:multiLevelType w:val="hybridMultilevel"/>
    <w:lvl w:ilvl="0">
      <w:lvlJc w:val="left"/>
      <w:lvlText w:val="%1."/>
      <w:numFmt w:val="decimal"/>
      <w:start w:val="5"/>
    </w:lvl>
  </w:abstractNum>
  <w:abstractNum w:abstractNumId="79">
    <w:nsid w:val="2DF6D648"/>
    <w:multiLevelType w:val="hybridMultilevel"/>
    <w:lvl w:ilvl="0">
      <w:lvlJc w:val="left"/>
      <w:lvlText w:val="%1."/>
      <w:numFmt w:val="decimal"/>
      <w:start w:val="1"/>
    </w:lvl>
  </w:abstractNum>
  <w:abstractNum w:abstractNumId="80">
    <w:nsid w:val="46B7D447"/>
    <w:multiLevelType w:val="hybridMultilevel"/>
    <w:lvl w:ilvl="0">
      <w:lvlJc w:val="left"/>
      <w:lvlText w:val="%1."/>
      <w:numFmt w:val="decimal"/>
      <w:start w:val="1"/>
    </w:lvl>
  </w:abstractNum>
  <w:abstractNum w:abstractNumId="81">
    <w:nsid w:val="4A2AC315"/>
    <w:multiLevelType w:val="hybridMultilevel"/>
    <w:lvl w:ilvl="0">
      <w:lvlJc w:val="left"/>
      <w:lvlText w:val="(%1)"/>
      <w:numFmt w:val="lowerLetter"/>
      <w:start w:val="4"/>
    </w:lvl>
  </w:abstractNum>
  <w:abstractNum w:abstractNumId="82">
    <w:nsid w:val="39EE015C"/>
    <w:multiLevelType w:val="hybridMultilevel"/>
    <w:lvl w:ilvl="0">
      <w:lvlJc w:val="left"/>
      <w:lvlText w:val="(%1)"/>
      <w:numFmt w:val="lowerLetter"/>
      <w:start w:val="4"/>
    </w:lvl>
  </w:abstractNum>
  <w:abstractNum w:abstractNumId="83">
    <w:nsid w:val="57FC4FBB"/>
    <w:multiLevelType w:val="hybridMultilevel"/>
    <w:lvl w:ilvl="0">
      <w:lvlJc w:val="left"/>
      <w:lvlText w:val="(%1)"/>
      <w:numFmt w:val="lowerLetter"/>
      <w:start w:val="1"/>
    </w:lvl>
    <w:lvl w:ilvl="1">
      <w:lvlJc w:val="left"/>
      <w:lvlText w:val="(%2)"/>
      <w:numFmt w:val="lowerRoman"/>
      <w:start w:val="1"/>
    </w:lvl>
  </w:abstractNum>
  <w:abstractNum w:abstractNumId="84">
    <w:nsid w:val="CC1016F"/>
    <w:multiLevelType w:val="hybridMultilevel"/>
    <w:lvl w:ilvl="0">
      <w:lvlJc w:val="left"/>
      <w:lvlText w:val="(%1)"/>
      <w:numFmt w:val="lowerLetter"/>
      <w:start w:val="3"/>
    </w:lvl>
    <w:lvl w:ilvl="1">
      <w:lvlJc w:val="left"/>
      <w:lvlText w:val="(%2)"/>
      <w:numFmt w:val="lowerRoman"/>
      <w:start w:val="1"/>
    </w:lvl>
  </w:abstractNum>
  <w:abstractNum w:abstractNumId="85">
    <w:nsid w:val="43F18422"/>
    <w:multiLevelType w:val="hybridMultilevel"/>
    <w:lvl w:ilvl="0">
      <w:lvlJc w:val="left"/>
      <w:lvlText w:val="%1"/>
      <w:numFmt w:val="lowerLetter"/>
      <w:start w:val="1"/>
    </w:lvl>
    <w:lvl w:ilvl="1">
      <w:lvlJc w:val="left"/>
      <w:lvlText w:val="(%2)"/>
      <w:numFmt w:val="lowerRoman"/>
      <w:start w:val="9"/>
    </w:lvl>
  </w:abstractNum>
  <w:abstractNum w:abstractNumId="86">
    <w:nsid w:val="60EF0119"/>
    <w:multiLevelType w:val="hybridMultilevel"/>
    <w:lvl w:ilvl="0">
      <w:lvlJc w:val="left"/>
      <w:lvlText w:val="(%1)"/>
      <w:numFmt w:val="lowerLetter"/>
      <w:start w:val="4"/>
    </w:lvl>
    <w:lvl w:ilvl="1">
      <w:lvlJc w:val="left"/>
      <w:lvlText w:val="(%2)"/>
      <w:numFmt w:val="lowerRoman"/>
      <w:start w:val="1"/>
    </w:lvl>
  </w:abstractNum>
  <w:abstractNum w:abstractNumId="87">
    <w:nsid w:val="26F324BA"/>
    <w:multiLevelType w:val="hybridMultilevel"/>
    <w:lvl w:ilvl="0">
      <w:lvlJc w:val="left"/>
      <w:lvlText w:val="(%1)"/>
      <w:numFmt w:val="lowerRoman"/>
      <w:start w:val="4"/>
    </w:lvl>
  </w:abstractNum>
  <w:abstractNum w:abstractNumId="88">
    <w:nsid w:val="7F01579B"/>
    <w:multiLevelType w:val="hybridMultilevel"/>
    <w:lvl w:ilvl="0">
      <w:lvlJc w:val="left"/>
      <w:lvlText w:val="(%1)"/>
      <w:numFmt w:val="lowerRoman"/>
      <w:start w:val="11"/>
    </w:lvl>
  </w:abstractNum>
  <w:abstractNum w:abstractNumId="89">
    <w:nsid w:val="49DA307D"/>
    <w:multiLevelType w:val="hybridMultilevel"/>
    <w:lvl w:ilvl="0">
      <w:lvlJc w:val="left"/>
      <w:lvlText w:val="(%1)"/>
      <w:numFmt w:val="lowerRoman"/>
      <w:start w:val="12"/>
    </w:lvl>
  </w:abstractNum>
  <w:abstractNum w:abstractNumId="90">
    <w:nsid w:val="7055A5F5"/>
    <w:multiLevelType w:val="hybridMultilevel"/>
    <w:lvl w:ilvl="0">
      <w:lvlJc w:val="left"/>
      <w:lvlText w:val="(%1)"/>
      <w:numFmt w:val="lowerLetter"/>
      <w:start w:val="6"/>
    </w:lvl>
  </w:abstractNum>
  <w:abstractNum w:abstractNumId="91">
    <w:nsid w:val="5FB8370B"/>
    <w:multiLevelType w:val="hybridMultilevel"/>
    <w:lvl w:ilvl="0">
      <w:lvlJc w:val="left"/>
      <w:lvlText w:val="(%1)"/>
      <w:numFmt w:val="lowerLetter"/>
      <w:start w:val="4"/>
    </w:lvl>
  </w:abstractNum>
  <w:abstractNum w:abstractNumId="92">
    <w:nsid w:val="50801EE1"/>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93">
    <w:nsid w:val="488AC1A"/>
    <w:multiLevelType w:val="hybridMultilevel"/>
    <w:lvl w:ilvl="0">
      <w:lvlJc w:val="left"/>
      <w:lvlText w:val="(%1)"/>
      <w:numFmt w:val="lowerLetter"/>
      <w:start w:val="2"/>
    </w:lvl>
    <w:lvl w:ilvl="1">
      <w:lvlJc w:val="left"/>
      <w:lvlText w:val="(%2)"/>
      <w:numFmt w:val="lowerLetter"/>
      <w:start w:val="3"/>
    </w:lvl>
    <w:lvl w:ilvl="2">
      <w:lvlJc w:val="left"/>
      <w:lvlText w:val="(%3)"/>
      <w:numFmt w:val="upperLetter"/>
      <w:start w:val="1"/>
    </w:lvl>
  </w:abstractNum>
  <w:abstractNum w:abstractNumId="94">
    <w:nsid w:val="5FB8011C"/>
    <w:multiLevelType w:val="hybridMultilevel"/>
    <w:lvl w:ilvl="0">
      <w:lvlJc w:val="left"/>
      <w:lvlText w:val="(%1)"/>
      <w:numFmt w:val="upperLetter"/>
      <w:start w:val="2"/>
    </w:lvl>
  </w:abstractNum>
  <w:abstractNum w:abstractNumId="95">
    <w:nsid w:val="6AA78F7F"/>
    <w:multiLevelType w:val="hybridMultilevel"/>
    <w:lvl w:ilvl="0">
      <w:lvlJc w:val="left"/>
      <w:lvlText w:val="(%1)"/>
      <w:numFmt w:val="upperLetter"/>
      <w:start w:val="8"/>
    </w:lvl>
  </w:abstractNum>
  <w:abstractNum w:abstractNumId="96">
    <w:nsid w:val="7672BD23"/>
    <w:multiLevelType w:val="hybridMultilevel"/>
    <w:lvl w:ilvl="0">
      <w:lvlJc w:val="left"/>
      <w:lvlText w:val="(%1)"/>
      <w:numFmt w:val="lowerLetter"/>
      <w:start w:val="1"/>
    </w:lvl>
  </w:abstractNum>
  <w:abstractNum w:abstractNumId="97">
    <w:nsid w:val="6FC75AF8"/>
    <w:multiLevelType w:val="hybridMultilevel"/>
    <w:lvl w:ilvl="0">
      <w:lvlJc w:val="left"/>
      <w:lvlText w:val="%1."/>
      <w:numFmt w:val="decimal"/>
      <w:start w:val="1"/>
    </w:lvl>
    <w:lvl w:ilvl="1">
      <w:lvlJc w:val="left"/>
      <w:lvlText w:val="%2."/>
      <w:numFmt w:val="lowerLetter"/>
      <w:start w:val="1"/>
    </w:lvl>
  </w:abstractNum>
  <w:abstractNum w:abstractNumId="98">
    <w:nsid w:val="6A5F7029"/>
    <w:multiLevelType w:val="hybridMultilevel"/>
    <w:lvl w:ilvl="0">
      <w:lvlJc w:val="left"/>
      <w:lvlText w:val="%1."/>
      <w:numFmt w:val="decimal"/>
      <w:start w:val="1"/>
    </w:lvl>
    <w:lvl w:ilvl="1">
      <w:lvlJc w:val="left"/>
      <w:lvlText w:val="%2."/>
      <w:numFmt w:val="lowerLetter"/>
      <w:start w:val="1"/>
    </w:lvl>
  </w:abstractNum>
  <w:abstractNum w:abstractNumId="99">
    <w:nsid w:val="7D5E18F8"/>
    <w:multiLevelType w:val="hybridMultilevel"/>
    <w:lvl w:ilvl="0">
      <w:lvlJc w:val="left"/>
      <w:lvlText w:val="%1."/>
      <w:numFmt w:val="decimal"/>
      <w:start w:val="1"/>
    </w:lvl>
  </w:abstractNum>
  <w:abstractNum w:abstractNumId="100">
    <w:nsid w:val="5F3534A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 Id="rId172" Type="http://schemas.openxmlformats.org/officeDocument/2006/relationships/image" Target="media/image160.png"/><Relationship Id="rId173" Type="http://schemas.openxmlformats.org/officeDocument/2006/relationships/image" Target="media/image161.png"/><Relationship Id="rId174" Type="http://schemas.openxmlformats.org/officeDocument/2006/relationships/image" Target="media/image162.png"/><Relationship Id="rId175" Type="http://schemas.openxmlformats.org/officeDocument/2006/relationships/image" Target="media/image163.png"/><Relationship Id="rId176" Type="http://schemas.openxmlformats.org/officeDocument/2006/relationships/image" Target="media/image164.png"/><Relationship Id="rId129" Type="http://schemas.openxmlformats.org/officeDocument/2006/relationships/hyperlink" Target="http://www.sec.gov/Archives/edgar/data/1845337/000119312521169895/d155073dex41.htm" TargetMode="External"/><Relationship Id="rId130" Type="http://schemas.openxmlformats.org/officeDocument/2006/relationships/hyperlink" Target="http://www.sec.gov/Archives/edgar/data/1845337/000119312521150017/d155073dex101.htm" TargetMode="External"/><Relationship Id="rId131" Type="http://schemas.openxmlformats.org/officeDocument/2006/relationships/hyperlink" Target="http://www.sec.gov/Archives/edgar/data/1845337/000119312521150017/d155073dex102.htm" TargetMode="External"/><Relationship Id="rId132" Type="http://schemas.openxmlformats.org/officeDocument/2006/relationships/hyperlink" Target="http://www.sec.gov/Archives/edgar/data/1845337/000119312521150017/d155073dex103.htm" TargetMode="External"/><Relationship Id="rId133" Type="http://schemas.openxmlformats.org/officeDocument/2006/relationships/hyperlink" Target="http://www.sec.gov/Archives/edgar/data/1845337/000119312521150017/d155073dex1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2021-08-10T16:46:54Z</dcterms:created>
  <dcterms:modified xsi:type="dcterms:W3CDTF">2021-08-10T16:46:54Z</dcterms:modified>
</cp:coreProperties>
</file>