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85725</wp:posOffset>
            </wp:positionV>
            <wp:extent cx="15430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4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109220</wp:posOffset>
            </wp:positionV>
            <wp:extent cx="15430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1"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4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2024</w:t>
      </w:r>
    </w:p>
    <w:p>
      <w:pPr>
        <w:spacing w:after="0" w:line="7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5"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65" w:lineRule="exact"/>
        <w:rPr>
          <w:sz w:val="24"/>
          <w:szCs w:val="24"/>
          <w:color w:val="auto"/>
        </w:rPr>
      </w:pPr>
    </w:p>
    <w:p>
      <w:pPr>
        <w:ind w:left="3660"/>
        <w:spacing w:after="0"/>
        <w:tabs>
          <w:tab w:leader="none" w:pos="66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3678555</wp:posOffset>
            </wp:positionH>
            <wp:positionV relativeFrom="paragraph">
              <wp:posOffset>-3175</wp:posOffset>
            </wp:positionV>
            <wp:extent cx="5143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5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Commission File Number: 001-40431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107315</wp:posOffset>
            </wp:positionV>
            <wp:extent cx="15430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5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1"/>
          <w:szCs w:val="41"/>
          <w:b w:val="1"/>
          <w:bCs w:val="1"/>
          <w:color w:val="auto"/>
        </w:rPr>
        <w:t>DAY ONE BIOPHARMACEUTICALS, INC.</w:t>
      </w:r>
    </w:p>
    <w:p>
      <w:pPr>
        <w:spacing w:after="0" w:line="64" w:lineRule="exact"/>
        <w:rPr>
          <w:sz w:val="24"/>
          <w:szCs w:val="24"/>
          <w:color w:val="auto"/>
        </w:rPr>
      </w:pPr>
    </w:p>
    <w:tbl>
      <w:tblPr>
        <w:tblLayout w:type="fixed"/>
        <w:tblInd w:w="1520" w:type="dxa"/>
        <w:tblCellMar>
          <w:top w:w="0" w:type="dxa"/>
          <w:left w:w="0" w:type="dxa"/>
          <w:bottom w:w="0" w:type="dxa"/>
          <w:right w:w="0" w:type="dxa"/>
        </w:tblCellMar>
      </w:tblPr>
      <w:tr>
        <w:trPr>
          <w:trHeight w:val="212"/>
        </w:trPr>
        <w:tc>
          <w:tcPr>
            <w:tcW w:w="6180" w:type="dxa"/>
            <w:vAlign w:val="bottom"/>
            <w:gridSpan w:val="3"/>
          </w:tcPr>
          <w:p>
            <w:pPr>
              <w:jc w:val="center"/>
              <w:ind w:left="1905"/>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1220" w:type="dxa"/>
            <w:vAlign w:val="bottom"/>
          </w:tcPr>
          <w:p>
            <w:pPr>
              <w:spacing w:after="0"/>
              <w:rPr>
                <w:sz w:val="18"/>
                <w:szCs w:val="18"/>
                <w:color w:val="auto"/>
              </w:rPr>
            </w:pPr>
          </w:p>
        </w:tc>
      </w:tr>
      <w:tr>
        <w:trPr>
          <w:trHeight w:val="121"/>
        </w:trPr>
        <w:tc>
          <w:tcPr>
            <w:tcW w:w="2880" w:type="dxa"/>
            <w:vAlign w:val="bottom"/>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366"/>
        </w:trPr>
        <w:tc>
          <w:tcPr>
            <w:tcW w:w="6180" w:type="dxa"/>
            <w:vAlign w:val="bottom"/>
            <w:gridSpan w:val="3"/>
          </w:tcPr>
          <w:p>
            <w:pPr>
              <w:jc w:val="center"/>
              <w:ind w:right="360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83-2415215</w:t>
            </w:r>
          </w:p>
        </w:tc>
      </w:tr>
      <w:tr>
        <w:trPr>
          <w:trHeight w:val="148"/>
        </w:trPr>
        <w:tc>
          <w:tcPr>
            <w:tcW w:w="6180" w:type="dxa"/>
            <w:vAlign w:val="bottom"/>
            <w:gridSpan w:val="3"/>
          </w:tcPr>
          <w:p>
            <w:pPr>
              <w:jc w:val="center"/>
              <w:ind w:right="3600"/>
              <w:spacing w:after="0" w:line="148"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220" w:type="dxa"/>
            <w:vAlign w:val="bottom"/>
          </w:tcPr>
          <w:p>
            <w:pPr>
              <w:jc w:val="center"/>
              <w:ind w:left="170"/>
              <w:spacing w:after="0" w:line="148"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6180" w:type="dxa"/>
            <w:vAlign w:val="bottom"/>
            <w:gridSpan w:val="3"/>
          </w:tcPr>
          <w:p>
            <w:pPr>
              <w:jc w:val="center"/>
              <w:ind w:right="3580"/>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432"/>
        </w:trPr>
        <w:tc>
          <w:tcPr>
            <w:tcW w:w="6180" w:type="dxa"/>
            <w:vAlign w:val="bottom"/>
            <w:gridSpan w:val="3"/>
          </w:tcPr>
          <w:p>
            <w:pPr>
              <w:jc w:val="center"/>
              <w:ind w:right="3600"/>
              <w:spacing w:after="0"/>
              <w:rPr>
                <w:sz w:val="20"/>
                <w:szCs w:val="20"/>
                <w:color w:val="auto"/>
              </w:rPr>
            </w:pPr>
            <w:r>
              <w:rPr>
                <w:rFonts w:ascii="Times New Roman" w:cs="Times New Roman" w:eastAsia="Times New Roman" w:hAnsi="Times New Roman"/>
                <w:sz w:val="16"/>
                <w:szCs w:val="16"/>
                <w:b w:val="1"/>
                <w:bCs w:val="1"/>
                <w:color w:val="auto"/>
              </w:rPr>
              <w:t>2000 Sierra Point Parkway, Suite 501</w:t>
            </w: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94005</w:t>
            </w:r>
          </w:p>
        </w:tc>
      </w:tr>
      <w:tr>
        <w:trPr>
          <w:trHeight w:val="212"/>
        </w:trPr>
        <w:tc>
          <w:tcPr>
            <w:tcW w:w="6180" w:type="dxa"/>
            <w:vAlign w:val="bottom"/>
            <w:gridSpan w:val="3"/>
          </w:tcPr>
          <w:p>
            <w:pPr>
              <w:jc w:val="center"/>
              <w:ind w:right="3600"/>
              <w:spacing w:after="0"/>
              <w:rPr>
                <w:sz w:val="20"/>
                <w:szCs w:val="20"/>
                <w:color w:val="auto"/>
              </w:rPr>
            </w:pPr>
            <w:r>
              <w:rPr>
                <w:rFonts w:ascii="Times New Roman" w:cs="Times New Roman" w:eastAsia="Times New Roman" w:hAnsi="Times New Roman"/>
                <w:sz w:val="16"/>
                <w:szCs w:val="16"/>
                <w:b w:val="1"/>
                <w:bCs w:val="1"/>
                <w:color w:val="auto"/>
              </w:rPr>
              <w:t>Brisbane, CA</w:t>
            </w:r>
          </w:p>
        </w:tc>
        <w:tc>
          <w:tcPr>
            <w:tcW w:w="1220" w:type="dxa"/>
            <w:vAlign w:val="bottom"/>
          </w:tcPr>
          <w:p>
            <w:pPr>
              <w:spacing w:after="0"/>
              <w:rPr>
                <w:sz w:val="18"/>
                <w:szCs w:val="18"/>
                <w:color w:val="auto"/>
              </w:rPr>
            </w:pPr>
          </w:p>
        </w:tc>
      </w:tr>
      <w:tr>
        <w:trPr>
          <w:trHeight w:val="179"/>
        </w:trPr>
        <w:tc>
          <w:tcPr>
            <w:tcW w:w="6180" w:type="dxa"/>
            <w:vAlign w:val="bottom"/>
            <w:gridSpan w:val="3"/>
          </w:tcPr>
          <w:p>
            <w:pPr>
              <w:jc w:val="center"/>
              <w:ind w:right="358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203"/>
        </w:trPr>
        <w:tc>
          <w:tcPr>
            <w:tcW w:w="5320" w:type="dxa"/>
            <w:vAlign w:val="bottom"/>
            <w:gridSpan w:val="2"/>
          </w:tcPr>
          <w:p>
            <w:pPr>
              <w:jc w:val="center"/>
              <w:ind w:left="2825"/>
              <w:spacing w:after="0"/>
              <w:rPr>
                <w:sz w:val="20"/>
                <w:szCs w:val="20"/>
                <w:color w:val="auto"/>
              </w:rPr>
            </w:pPr>
            <w:r>
              <w:rPr>
                <w:rFonts w:ascii="Times New Roman" w:cs="Times New Roman" w:eastAsia="Times New Roman" w:hAnsi="Times New Roman"/>
                <w:sz w:val="16"/>
                <w:szCs w:val="16"/>
                <w:b w:val="1"/>
                <w:bCs w:val="1"/>
                <w:color w:val="auto"/>
              </w:rPr>
              <w:t>(650) 484-0899</w:t>
            </w: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2"/>
        </w:trPr>
        <w:tc>
          <w:tcPr>
            <w:tcW w:w="6180" w:type="dxa"/>
            <w:vAlign w:val="bottom"/>
            <w:gridSpan w:val="3"/>
          </w:tcPr>
          <w:p>
            <w:pPr>
              <w:jc w:val="center"/>
              <w:ind w:left="196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220" w:type="dxa"/>
            <w:vAlign w:val="bottom"/>
          </w:tcPr>
          <w:p>
            <w:pPr>
              <w:spacing w:after="0"/>
              <w:rPr>
                <w:sz w:val="18"/>
                <w:szCs w:val="18"/>
                <w:color w:val="auto"/>
              </w:rPr>
            </w:pPr>
          </w:p>
        </w:tc>
      </w:tr>
    </w:tbl>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5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106680</wp:posOffset>
            </wp:positionV>
            <wp:extent cx="15430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9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352" w:lineRule="exact"/>
        <w:rPr>
          <w:sz w:val="24"/>
          <w:szCs w:val="24"/>
          <w:color w:val="auto"/>
        </w:rPr>
      </w:pPr>
    </w:p>
    <w:tbl>
      <w:tblPr>
        <w:tblLayout w:type="fixed"/>
        <w:tblInd w:w="20" w:type="dxa"/>
        <w:tblCellMar>
          <w:top w:w="0" w:type="dxa"/>
          <w:left w:w="0" w:type="dxa"/>
          <w:bottom w:w="0" w:type="dxa"/>
          <w:right w:w="0" w:type="dxa"/>
        </w:tblCellMar>
      </w:tblPr>
      <w:tr>
        <w:trPr>
          <w:trHeight w:val="169"/>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160" w:type="dxa"/>
            <w:vAlign w:val="bottom"/>
          </w:tcPr>
          <w:p>
            <w:pPr>
              <w:spacing w:after="0"/>
              <w:rPr>
                <w:sz w:val="14"/>
                <w:szCs w:val="14"/>
                <w:color w:val="auto"/>
              </w:rPr>
            </w:pPr>
          </w:p>
        </w:tc>
        <w:tc>
          <w:tcPr>
            <w:tcW w:w="358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3"/>
                <w:szCs w:val="13"/>
                <w:b w:val="1"/>
                <w:bCs w:val="1"/>
                <w:color w:val="auto"/>
              </w:rPr>
              <w:t>Trading Symbol</w:t>
            </w:r>
          </w:p>
        </w:tc>
        <w:tc>
          <w:tcPr>
            <w:tcW w:w="160" w:type="dxa"/>
            <w:vAlign w:val="bottom"/>
          </w:tcPr>
          <w:p>
            <w:pPr>
              <w:spacing w:after="0"/>
              <w:rPr>
                <w:sz w:val="14"/>
                <w:szCs w:val="14"/>
                <w:color w:val="auto"/>
              </w:rPr>
            </w:pPr>
          </w:p>
        </w:tc>
        <w:tc>
          <w:tcPr>
            <w:tcW w:w="35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379"/>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$0.0001 per share</w:t>
            </w:r>
          </w:p>
        </w:tc>
        <w:tc>
          <w:tcPr>
            <w:tcW w:w="160" w:type="dxa"/>
            <w:vAlign w:val="bottom"/>
          </w:tcPr>
          <w:p>
            <w:pPr>
              <w:spacing w:after="0"/>
              <w:rPr>
                <w:sz w:val="24"/>
                <w:szCs w:val="24"/>
                <w:color w:val="auto"/>
              </w:rPr>
            </w:pPr>
          </w:p>
        </w:tc>
        <w:tc>
          <w:tcPr>
            <w:tcW w:w="358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auto"/>
              </w:rPr>
              <w:t>DAWN</w:t>
            </w:r>
          </w:p>
        </w:tc>
        <w:tc>
          <w:tcPr>
            <w:tcW w:w="160" w:type="dxa"/>
            <w:vAlign w:val="bottom"/>
          </w:tcPr>
          <w:p>
            <w:pPr>
              <w:spacing w:after="0"/>
              <w:rPr>
                <w:sz w:val="24"/>
                <w:szCs w:val="24"/>
                <w:color w:val="auto"/>
              </w:rPr>
            </w:pPr>
          </w:p>
        </w:tc>
        <w:tc>
          <w:tcPr>
            <w:tcW w:w="3580" w:type="dxa"/>
            <w:vAlign w:val="bottom"/>
          </w:tcPr>
          <w:p>
            <w:pPr>
              <w:ind w:left="720"/>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bl>
    <w:p>
      <w:pPr>
        <w:spacing w:after="0" w:line="73"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2960"/>
              <w:spacing w:after="0"/>
              <w:rPr>
                <w:sz w:val="20"/>
                <w:szCs w:val="20"/>
                <w:color w:val="auto"/>
              </w:rPr>
            </w:pPr>
            <w:r>
              <w:rPr>
                <w:rFonts w:ascii="Times New Roman" w:cs="Times New Roman" w:eastAsia="Times New Roman" w:hAnsi="Times New Roman"/>
                <w:sz w:val="16"/>
                <w:szCs w:val="16"/>
                <w:color w:val="auto"/>
              </w:rPr>
              <w:t>Accelerated filer</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7"/>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29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8"/>
        </w:trPr>
        <w:tc>
          <w:tcPr>
            <w:tcW w:w="17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300" w:type="dxa"/>
            <w:vAlign w:val="bottom"/>
          </w:tcPr>
          <w:p>
            <w:pPr>
              <w:ind w:left="2960"/>
              <w:spacing w:after="0"/>
              <w:rPr>
                <w:sz w:val="20"/>
                <w:szCs w:val="20"/>
                <w:color w:val="auto"/>
              </w:rPr>
            </w:pPr>
            <w:r>
              <w:rPr>
                <w:rFonts w:ascii="Times New Roman" w:cs="Times New Roman" w:eastAsia="Times New Roman" w:hAnsi="Times New Roman"/>
                <w:sz w:val="16"/>
                <w:szCs w:val="16"/>
                <w:color w:val="auto"/>
              </w:rPr>
              <w:t>Emerging growth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4"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660"/>
        <w:spacing w:after="0" w:line="24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1, 2024, the registrant had 87,389,859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797560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4" w:right="3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21E of the Securities Exchange Act of 1934, as amended, or the Exchange Act, and section 27A of the Securities Act of 1933, as amended, or the Securities Act. All statements contained in this Quarterly Report other than statements of historical fact, including statements regarding our future results of operations and financial position, business strategy, market size, potential growth opportunities, nonclinical and clinical development activities, efficacy and safety profile of OJEMDA™ (tovorafenib) and our product candidates, potential therapeutic benefits and economic value of OJEMDA and product candidates, our ability to market and sell OJEMDA while maintaining full compliance with applicable federal and state laws, rules and regulations, use of net proceeds from our public offerings, our ability to maintain and recognize the benefits of certain designations received by products and product candidates, the timing and results of nonclinical studies and clinical trials, commercial collaboration with third parties, and our ability to recognize milestone and royalty payments from commercialization agreements, the potential impact of global business or macroeconomic conditions, including as a result of inflation, changing interest rates, cybersecurity incidents, potential instability in the global banking system, uncertainty with respect to the federal debt ceiling and budget and potential government shutdowns related thereto and global regional conflicts on our operations, and the receipt and timing of potential regulatory designations, approvals and commercialization of product candidates, are forward-looking statements. The words “believe,” “may,” “will,” “potentially,” “estimate,” “continue,” “anticipate,” “predict,” “target,” “intend,” “could,” “would,” “should,” “project,” “plan,” “expect,” and other similar expressions that convey uncertainty of future events or outcomes are intended to identify forward-looking statements, although not all forward-looking statements contain these identifying words.</w:t>
      </w:r>
    </w:p>
    <w:p>
      <w:pPr>
        <w:spacing w:after="0" w:line="19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described in Part II, Item 1A, “Risk Factors” and elsewhere in this Quarterly Report.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spacing w:after="0" w:line="18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report to conform these statements to actual results or to changes in our expectations, except as required by law. You should read this Quarterly Report with the understanding that our actual future results, levels of activity, performance and events and circumstances may be materially different from what we expect.</w:t>
      </w:r>
    </w:p>
    <w:p>
      <w:pPr>
        <w:spacing w:after="0" w:line="187"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As used in this Quarterly Report on Form 10-Q, the terms “Day One,” “the Company,” “we,” “us,” and “our” refer to Day One Biopharmaceuticals, Inc., a Delaware corporation. “Day One” and all product and product candidate names are our common law trademarks.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669290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96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3"/>
        </w:trPr>
        <w:tc>
          <w:tcPr>
            <w:tcW w:w="112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PART I.</w:t>
            </w:r>
          </w:p>
        </w:tc>
        <w:tc>
          <w:tcPr>
            <w:tcW w:w="838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0000FF"/>
              </w:rPr>
              <w:t>FINANCIAL INFORMATION</w:t>
            </w:r>
          </w:p>
        </w:tc>
        <w:tc>
          <w:tcPr>
            <w:tcW w:w="1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Interim Condensed Financial Statements (Unaudited)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Balance Sheets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Statements of Operations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Statements of Comprehensive Loss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Statements of Stockholders’ Equity</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Statements of Cash Flows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Condensed Financial Statements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680" w:type="dxa"/>
            <w:vAlign w:val="bottom"/>
            <w:tcBorders>
              <w:right w:val="single" w:sz="8" w:color="0000EE"/>
            </w:tcBorders>
            <w:gridSpan w:val="3"/>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gridSpan w:val="3"/>
            <w:vMerge w:val="continue"/>
          </w:tcPr>
          <w:p>
            <w:pPr>
              <w:spacing w:after="0"/>
              <w:rPr>
                <w:sz w:val="20"/>
                <w:szCs w:val="20"/>
                <w:color w:val="auto"/>
              </w:rPr>
            </w:pPr>
          </w:p>
        </w:tc>
        <w:tc>
          <w:tcPr>
            <w:tcW w:w="8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 Securities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4820" w:type="dxa"/>
            <w:vAlign w:val="bottom"/>
            <w:gridSpan w:val="8"/>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040" w:type="dxa"/>
            <w:vAlign w:val="bottom"/>
            <w:gridSpan w:val="9"/>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600" w:type="dxa"/>
            <w:vAlign w:val="bottom"/>
            <w:gridSpan w:val="1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060" w:type="dxa"/>
            <w:vAlign w:val="bottom"/>
            <w:gridSpan w:val="1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7"/>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6460" w:type="dxa"/>
            <w:vAlign w:val="bottom"/>
            <w:gridSpan w:val="14"/>
          </w:tcPr>
          <w:p>
            <w:pPr>
              <w:ind w:left="4460"/>
              <w:spacing w:after="0"/>
              <w:rPr>
                <w:sz w:val="20"/>
                <w:szCs w:val="20"/>
                <w:color w:val="auto"/>
              </w:rPr>
            </w:pPr>
            <w:r>
              <w:rPr>
                <w:rFonts w:ascii="Times New Roman" w:cs="Times New Roman" w:eastAsia="Times New Roman" w:hAnsi="Times New Roman"/>
                <w:sz w:val="18"/>
                <w:szCs w:val="18"/>
                <w:color w:val="auto"/>
              </w:rPr>
              <w:t>3</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40" w:type="dxa"/>
            <w:vAlign w:val="bottom"/>
          </w:tcPr>
          <w:p>
            <w:pPr>
              <w:spacing w:after="0"/>
              <w:rPr>
                <w:sz w:val="17"/>
                <w:szCs w:val="17"/>
                <w:color w:val="auto"/>
              </w:rPr>
            </w:pP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5"/>
        </w:trPr>
        <w:tc>
          <w:tcPr>
            <w:tcW w:w="7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29"/>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270,391</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230,784</w:t>
            </w:r>
          </w:p>
        </w:tc>
        <w:tc>
          <w:tcPr>
            <w:tcW w:w="100" w:type="dxa"/>
            <w:vAlign w:val="bottom"/>
            <w:shd w:val="clear" w:color="auto" w:fill="CFF0FC"/>
          </w:tcPr>
          <w:p>
            <w:pPr>
              <w:spacing w:after="0"/>
              <w:rPr>
                <w:sz w:val="20"/>
                <w:szCs w:val="20"/>
                <w:color w:val="auto"/>
              </w:rPr>
            </w:pPr>
          </w:p>
        </w:tc>
      </w:tr>
      <w:tr>
        <w:trPr>
          <w:trHeight w:val="220"/>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investments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47,553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135,563</w:t>
            </w:r>
          </w:p>
        </w:tc>
        <w:tc>
          <w:tcPr>
            <w:tcW w:w="100" w:type="dxa"/>
            <w:vAlign w:val="bottom"/>
          </w:tcPr>
          <w:p>
            <w:pPr>
              <w:spacing w:after="0"/>
              <w:rPr>
                <w:sz w:val="19"/>
                <w:szCs w:val="19"/>
                <w:color w:val="auto"/>
              </w:rPr>
            </w:pPr>
          </w:p>
        </w:tc>
      </w:tr>
      <w:tr>
        <w:trPr>
          <w:trHeight w:val="233"/>
        </w:trPr>
        <w:tc>
          <w:tcPr>
            <w:tcW w:w="7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8,090</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8,927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3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326,034</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375,274</w:t>
            </w:r>
          </w:p>
        </w:tc>
        <w:tc>
          <w:tcPr>
            <w:tcW w:w="100" w:type="dxa"/>
            <w:vAlign w:val="bottom"/>
          </w:tcPr>
          <w:p>
            <w:pPr>
              <w:spacing w:after="0"/>
              <w:rPr>
                <w:sz w:val="19"/>
                <w:szCs w:val="19"/>
                <w:color w:val="auto"/>
              </w:rPr>
            </w:pPr>
          </w:p>
        </w:tc>
      </w:tr>
      <w:tr>
        <w:trPr>
          <w:trHeight w:val="230"/>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shd w:val="clear" w:color="auto" w:fill="CFF0FC"/>
          </w:tcPr>
          <w:p>
            <w:pPr>
              <w:spacing w:after="0"/>
              <w:rPr>
                <w:sz w:val="19"/>
                <w:szCs w:val="19"/>
                <w:color w:val="auto"/>
              </w:rPr>
            </w:pPr>
          </w:p>
        </w:tc>
      </w:tr>
      <w:tr>
        <w:trPr>
          <w:trHeight w:val="220"/>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Pr>
          <w:p>
            <w:pPr>
              <w:spacing w:after="0"/>
              <w:rPr>
                <w:sz w:val="19"/>
                <w:szCs w:val="19"/>
                <w:color w:val="auto"/>
              </w:rPr>
            </w:pPr>
          </w:p>
        </w:tc>
      </w:tr>
      <w:tr>
        <w:trPr>
          <w:trHeight w:val="233"/>
        </w:trPr>
        <w:tc>
          <w:tcPr>
            <w:tcW w:w="7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Deposits and other long-term assets</w:t>
            </w:r>
          </w:p>
        </w:tc>
        <w:tc>
          <w:tcPr>
            <w:tcW w:w="30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3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326,645</w:t>
            </w:r>
          </w:p>
        </w:tc>
        <w:tc>
          <w:tcPr>
            <w:tcW w:w="300" w:type="dxa"/>
            <w:vAlign w:val="bottom"/>
          </w:tcPr>
          <w:p>
            <w:pPr>
              <w:spacing w:after="0"/>
              <w:rPr>
                <w:sz w:val="19"/>
                <w:szCs w:val="19"/>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376,048</w:t>
            </w:r>
          </w:p>
        </w:tc>
        <w:tc>
          <w:tcPr>
            <w:tcW w:w="100" w:type="dxa"/>
            <w:vAlign w:val="bottom"/>
          </w:tcPr>
          <w:p>
            <w:pPr>
              <w:spacing w:after="0"/>
              <w:rPr>
                <w:sz w:val="19"/>
                <w:szCs w:val="19"/>
                <w:color w:val="auto"/>
              </w:rPr>
            </w:pPr>
          </w:p>
        </w:tc>
      </w:tr>
      <w:tr>
        <w:trPr>
          <w:trHeight w:val="20"/>
        </w:trPr>
        <w:tc>
          <w:tcPr>
            <w:tcW w:w="7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4,780</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2,576</w:t>
            </w:r>
          </w:p>
        </w:tc>
        <w:tc>
          <w:tcPr>
            <w:tcW w:w="100" w:type="dxa"/>
            <w:vAlign w:val="bottom"/>
            <w:shd w:val="clear" w:color="auto" w:fill="CFF0FC"/>
          </w:tcPr>
          <w:p>
            <w:pPr>
              <w:spacing w:after="0"/>
              <w:rPr>
                <w:sz w:val="20"/>
                <w:szCs w:val="20"/>
                <w:color w:val="auto"/>
              </w:rPr>
            </w:pPr>
          </w:p>
        </w:tc>
      </w:tr>
      <w:tr>
        <w:trPr>
          <w:trHeight w:val="220"/>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26,524</w:t>
            </w:r>
          </w:p>
        </w:tc>
        <w:tc>
          <w:tcPr>
            <w:tcW w:w="100" w:type="dxa"/>
            <w:vAlign w:val="bottom"/>
          </w:tcPr>
          <w:p>
            <w:pPr>
              <w:spacing w:after="0"/>
              <w:rPr>
                <w:sz w:val="19"/>
                <w:szCs w:val="19"/>
                <w:color w:val="auto"/>
              </w:rPr>
            </w:pPr>
          </w:p>
        </w:tc>
      </w:tr>
      <w:tr>
        <w:trPr>
          <w:trHeight w:val="233"/>
        </w:trPr>
        <w:tc>
          <w:tcPr>
            <w:tcW w:w="7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30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3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29,839</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29,508</w:t>
            </w:r>
          </w:p>
        </w:tc>
        <w:tc>
          <w:tcPr>
            <w:tcW w:w="100" w:type="dxa"/>
            <w:vAlign w:val="bottom"/>
          </w:tcPr>
          <w:p>
            <w:pPr>
              <w:spacing w:after="0"/>
              <w:rPr>
                <w:sz w:val="19"/>
                <w:szCs w:val="19"/>
                <w:color w:val="auto"/>
              </w:rPr>
            </w:pPr>
          </w:p>
        </w:tc>
      </w:tr>
      <w:tr>
        <w:trPr>
          <w:trHeight w:val="223"/>
        </w:trPr>
        <w:tc>
          <w:tcPr>
            <w:tcW w:w="73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29,839</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29,508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6)</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0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02"/>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stock, $0.0001 par value; 500,000,000 shares authorized as of March 31, 2024 and December</w:t>
            </w: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31, 2023; 87,377,163 and 87,227,132 shares issued and outstanding as of March 31, 2024 and December</w:t>
            </w: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31, 2023, respectively</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r>
      <w:tr>
        <w:trPr>
          <w:trHeight w:val="239"/>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Additional paid-in-capital</w:t>
            </w:r>
          </w:p>
        </w:tc>
        <w:tc>
          <w:tcPr>
            <w:tcW w:w="3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817,799</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805,107</w:t>
            </w:r>
          </w:p>
        </w:tc>
        <w:tc>
          <w:tcPr>
            <w:tcW w:w="100" w:type="dxa"/>
            <w:vAlign w:val="bottom"/>
            <w:shd w:val="clear" w:color="auto" w:fill="CFF0FC"/>
          </w:tcPr>
          <w:p>
            <w:pPr>
              <w:spacing w:after="0"/>
              <w:rPr>
                <w:sz w:val="20"/>
                <w:szCs w:val="20"/>
                <w:color w:val="auto"/>
              </w:rPr>
            </w:pPr>
          </w:p>
        </w:tc>
      </w:tr>
      <w:tr>
        <w:trPr>
          <w:trHeight w:val="220"/>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300" w:type="dxa"/>
            <w:vAlign w:val="bottom"/>
          </w:tcPr>
          <w:p>
            <w:pPr>
              <w:spacing w:after="0"/>
              <w:rPr>
                <w:sz w:val="19"/>
                <w:szCs w:val="19"/>
                <w:color w:val="auto"/>
              </w:rPr>
            </w:pP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(5 )</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r>
      <w:tr>
        <w:trPr>
          <w:trHeight w:val="233"/>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Accumulated deficit</w:t>
            </w:r>
          </w:p>
        </w:tc>
        <w:tc>
          <w:tcPr>
            <w:tcW w:w="30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(520,997 )</w:t>
            </w:r>
          </w:p>
        </w:tc>
        <w:tc>
          <w:tcPr>
            <w:tcW w:w="2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(458,585 )</w:t>
            </w:r>
          </w:p>
        </w:tc>
      </w:tr>
      <w:tr>
        <w:trPr>
          <w:trHeight w:val="223"/>
        </w:trPr>
        <w:tc>
          <w:tcPr>
            <w:tcW w:w="734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296,806</w:t>
            </w:r>
          </w:p>
        </w:tc>
        <w:tc>
          <w:tcPr>
            <w:tcW w:w="30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346,540</w:t>
            </w:r>
          </w:p>
        </w:tc>
        <w:tc>
          <w:tcPr>
            <w:tcW w:w="100" w:type="dxa"/>
            <w:vAlign w:val="bottom"/>
            <w:tcBorders>
              <w:top w:val="single" w:sz="8" w:color="CFF0FC"/>
            </w:tcBorders>
          </w:tcPr>
          <w:p>
            <w:pPr>
              <w:spacing w:after="0"/>
              <w:rPr>
                <w:sz w:val="19"/>
                <w:szCs w:val="19"/>
                <w:color w:val="auto"/>
              </w:rPr>
            </w:pPr>
          </w:p>
        </w:tc>
      </w:tr>
      <w:tr>
        <w:trPr>
          <w:trHeight w:val="263"/>
        </w:trPr>
        <w:tc>
          <w:tcPr>
            <w:tcW w:w="73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326,645</w:t>
            </w:r>
          </w:p>
        </w:tc>
        <w:tc>
          <w:tcPr>
            <w:tcW w:w="3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376,048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-3291205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-3291205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-2691130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-1782445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-1473835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-334010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 w:name="page5"/>
    <w:bookmarkEnd w:id="4"/>
    <w:p>
      <w:pPr>
        <w:ind w:left="4300"/>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48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r>
      <w:tr>
        <w:trPr>
          <w:trHeight w:val="229"/>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40,210</w:t>
            </w:r>
          </w:p>
        </w:tc>
        <w:tc>
          <w:tcPr>
            <w:tcW w:w="3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27,828</w:t>
            </w:r>
          </w:p>
        </w:tc>
        <w:tc>
          <w:tcPr>
            <w:tcW w:w="100" w:type="dxa"/>
            <w:vAlign w:val="bottom"/>
          </w:tcPr>
          <w:p>
            <w:pPr>
              <w:spacing w:after="0"/>
              <w:rPr>
                <w:sz w:val="19"/>
                <w:szCs w:val="19"/>
                <w:color w:val="auto"/>
              </w:rPr>
            </w:pPr>
          </w:p>
        </w:tc>
      </w:tr>
      <w:tr>
        <w:trPr>
          <w:trHeight w:val="233"/>
        </w:trPr>
        <w:tc>
          <w:tcPr>
            <w:tcW w:w="7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26,557</w:t>
            </w:r>
          </w:p>
        </w:tc>
        <w:tc>
          <w:tcPr>
            <w:tcW w:w="3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18,027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66,767</w:t>
            </w: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45,855</w:t>
            </w:r>
          </w:p>
        </w:tc>
        <w:tc>
          <w:tcPr>
            <w:tcW w:w="100" w:type="dxa"/>
            <w:vAlign w:val="bottom"/>
          </w:tcPr>
          <w:p>
            <w:pPr>
              <w:spacing w:after="0"/>
              <w:rPr>
                <w:sz w:val="19"/>
                <w:szCs w:val="19"/>
                <w:color w:val="auto"/>
              </w:rPr>
            </w:pPr>
          </w:p>
        </w:tc>
      </w:tr>
      <w:tr>
        <w:trPr>
          <w:trHeight w:val="223"/>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4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(66,767 )</w:t>
            </w: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(45,855 )</w:t>
            </w:r>
          </w:p>
        </w:tc>
      </w:tr>
      <w:tr>
        <w:trPr>
          <w:trHeight w:val="220"/>
        </w:trPr>
        <w:tc>
          <w:tcPr>
            <w:tcW w:w="74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Investment income, net</w:t>
            </w:r>
          </w:p>
        </w:tc>
        <w:tc>
          <w:tcPr>
            <w:tcW w:w="4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4,365</w:t>
            </w:r>
          </w:p>
        </w:tc>
        <w:tc>
          <w:tcPr>
            <w:tcW w:w="300" w:type="dxa"/>
            <w:vAlign w:val="bottom"/>
            <w:tcBorders>
              <w:top w:val="single" w:sz="8" w:color="CFF0FC"/>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3,466</w:t>
            </w:r>
          </w:p>
        </w:tc>
        <w:tc>
          <w:tcPr>
            <w:tcW w:w="100" w:type="dxa"/>
            <w:vAlign w:val="bottom"/>
            <w:tcBorders>
              <w:top w:val="single" w:sz="8" w:color="CFF0FC"/>
            </w:tcBorders>
          </w:tcPr>
          <w:p>
            <w:pPr>
              <w:spacing w:after="0"/>
              <w:rPr>
                <w:sz w:val="19"/>
                <w:szCs w:val="19"/>
                <w:color w:val="auto"/>
              </w:rPr>
            </w:pPr>
          </w:p>
        </w:tc>
      </w:tr>
      <w:tr>
        <w:trPr>
          <w:trHeight w:val="229"/>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4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(10 )</w:t>
            </w: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(4 )</w:t>
            </w:r>
          </w:p>
        </w:tc>
      </w:tr>
      <w:tr>
        <w:trPr>
          <w:trHeight w:val="23"/>
        </w:trPr>
        <w:tc>
          <w:tcPr>
            <w:tcW w:w="7480" w:type="dxa"/>
            <w:vAlign w:val="bottom"/>
            <w:shd w:val="clear" w:color="auto" w:fill="CFF0FC"/>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40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(62,412 )</w:t>
            </w:r>
          </w:p>
        </w:tc>
        <w:tc>
          <w:tcPr>
            <w:tcW w:w="38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(42,393 )</w:t>
            </w:r>
          </w:p>
        </w:tc>
      </w:tr>
      <w:tr>
        <w:trPr>
          <w:trHeight w:val="23"/>
        </w:trPr>
        <w:tc>
          <w:tcPr>
            <w:tcW w:w="74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63"/>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(0.72 )</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(0.59 )</w:t>
            </w:r>
          </w:p>
        </w:tc>
      </w:tr>
      <w:tr>
        <w:trPr>
          <w:trHeight w:val="210"/>
        </w:trPr>
        <w:tc>
          <w:tcPr>
            <w:tcW w:w="74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used in computing net loss per share, basic and diluted</w:t>
            </w: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86,679,282</w:t>
            </w:r>
          </w:p>
        </w:tc>
        <w:tc>
          <w:tcPr>
            <w:tcW w:w="30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71,972,888</w:t>
            </w:r>
          </w:p>
        </w:tc>
        <w:tc>
          <w:tcPr>
            <w:tcW w:w="100" w:type="dxa"/>
            <w:vAlign w:val="bottom"/>
            <w:tcBorders>
              <w:top w:val="single" w:sz="8" w:color="CFF0FC"/>
            </w:tcBorders>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-1113790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-805180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-505460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-196850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-179705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-196850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ind w:left="4300"/>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Loss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48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r>
      <w:tr>
        <w:trPr>
          <w:trHeight w:val="229"/>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(62,412 )</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(42,393 )</w:t>
            </w:r>
          </w:p>
        </w:tc>
      </w:tr>
      <w:tr>
        <w:trPr>
          <w:trHeight w:val="220"/>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Unrealized (loss) gain on available-for-sale securities</w:t>
            </w:r>
          </w:p>
        </w:tc>
        <w:tc>
          <w:tcPr>
            <w:tcW w:w="10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(14 )</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shd w:val="clear" w:color="auto" w:fill="CFF0FC"/>
          </w:tcPr>
          <w:p>
            <w:pPr>
              <w:spacing w:after="0"/>
              <w:rPr>
                <w:sz w:val="19"/>
                <w:szCs w:val="19"/>
                <w:color w:val="auto"/>
              </w:rPr>
            </w:pPr>
          </w:p>
        </w:tc>
      </w:tr>
      <w:tr>
        <w:trPr>
          <w:trHeight w:val="23"/>
        </w:trPr>
        <w:tc>
          <w:tcPr>
            <w:tcW w:w="7480" w:type="dxa"/>
            <w:vAlign w:val="bottom"/>
            <w:shd w:val="clear" w:color="auto" w:fill="CFF0F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loss</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(62,426 )</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(42,255 )</w:t>
            </w:r>
          </w:p>
        </w:tc>
      </w:tr>
      <w:tr>
        <w:trPr>
          <w:trHeight w:val="20"/>
        </w:trPr>
        <w:tc>
          <w:tcPr>
            <w:tcW w:w="74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-179070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0" w:type="dxa"/>
            <w:vAlign w:val="bottom"/>
          </w:tcPr>
          <w:p>
            <w:pPr>
              <w:spacing w:after="0"/>
              <w:rPr>
                <w:sz w:val="17"/>
                <w:szCs w:val="17"/>
                <w:color w:val="auto"/>
              </w:rPr>
            </w:pPr>
          </w:p>
        </w:tc>
        <w:tc>
          <w:tcPr>
            <w:tcW w:w="2500" w:type="dxa"/>
            <w:vAlign w:val="bottom"/>
            <w:gridSpan w:val="3"/>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2"/>
        </w:trPr>
        <w:tc>
          <w:tcPr>
            <w:tcW w:w="2600" w:type="dxa"/>
            <w:vAlign w:val="bottom"/>
          </w:tcPr>
          <w:p>
            <w:pPr>
              <w:spacing w:after="0"/>
              <w:rPr>
                <w:sz w:val="18"/>
                <w:szCs w:val="18"/>
                <w:color w:val="auto"/>
              </w:rPr>
            </w:pPr>
          </w:p>
        </w:tc>
        <w:tc>
          <w:tcPr>
            <w:tcW w:w="2500" w:type="dxa"/>
            <w:vAlign w:val="bottom"/>
            <w:tcBorders>
              <w:bottom w:val="single" w:sz="8" w:color="auto"/>
            </w:tcBorders>
            <w:gridSpan w:val="3"/>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8"/>
                <w:szCs w:val="18"/>
                <w:color w:val="auto"/>
              </w:rPr>
            </w:pPr>
          </w:p>
        </w:tc>
        <w:tc>
          <w:tcPr>
            <w:tcW w:w="144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0"/>
        </w:trPr>
        <w:tc>
          <w:tcPr>
            <w:tcW w:w="2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600" w:type="dxa"/>
            <w:vAlign w:val="bottom"/>
          </w:tcPr>
          <w:p>
            <w:pPr>
              <w:spacing w:after="0"/>
              <w:rPr>
                <w:sz w:val="19"/>
                <w:szCs w:val="19"/>
                <w:color w:val="auto"/>
              </w:rPr>
            </w:pPr>
          </w:p>
        </w:tc>
        <w:tc>
          <w:tcPr>
            <w:tcW w:w="12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87,227,132</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805,107</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(458,585 )  $</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346,540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w:t>
            </w:r>
          </w:p>
        </w:tc>
        <w:tc>
          <w:tcPr>
            <w:tcW w:w="12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4,862</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w:t>
            </w: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release of restricted stock units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157,724</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44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common stock forfeiture</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(12,555 )</w:t>
            </w:r>
          </w:p>
        </w:tc>
        <w:tc>
          <w:tcPr>
            <w:tcW w:w="9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expenses</w:t>
            </w: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12,644</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44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12,644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loss on available-for-sale</w:t>
            </w: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Pr>
          <w:p>
            <w:pPr>
              <w:spacing w:after="0"/>
              <w:rPr>
                <w:sz w:val="19"/>
                <w:szCs w:val="19"/>
                <w:color w:val="auto"/>
              </w:rPr>
            </w:pPr>
          </w:p>
        </w:tc>
        <w:tc>
          <w:tcPr>
            <w:tcW w:w="14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12"/>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restart"/>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(62,412 )</w:t>
            </w:r>
          </w:p>
        </w:tc>
        <w:tc>
          <w:tcPr>
            <w:tcW w:w="120" w:type="dxa"/>
            <w:vAlign w:val="bottom"/>
            <w:shd w:val="clear" w:color="auto" w:fill="CFF0FC"/>
          </w:tcPr>
          <w:p>
            <w:pPr>
              <w:spacing w:after="0"/>
              <w:rPr>
                <w:sz w:val="18"/>
                <w:szCs w:val="18"/>
                <w:color w:val="auto"/>
              </w:rPr>
            </w:pPr>
          </w:p>
        </w:tc>
        <w:tc>
          <w:tcPr>
            <w:tcW w:w="12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(62,412 )</w:t>
            </w:r>
          </w:p>
        </w:tc>
        <w:tc>
          <w:tcPr>
            <w:tcW w:w="0" w:type="dxa"/>
            <w:vAlign w:val="bottom"/>
          </w:tcPr>
          <w:p>
            <w:pPr>
              <w:spacing w:after="0"/>
              <w:rPr>
                <w:sz w:val="1"/>
                <w:szCs w:val="1"/>
                <w:color w:val="auto"/>
              </w:rPr>
            </w:pPr>
          </w:p>
        </w:tc>
      </w:tr>
      <w:tr>
        <w:trPr>
          <w:trHeight w:val="21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stockholders</w:t>
            </w:r>
          </w:p>
        </w:tc>
        <w:tc>
          <w:tcPr>
            <w:tcW w:w="1260" w:type="dxa"/>
            <w:vAlign w:val="bottom"/>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87,377,163</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817,799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(5 )</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(520,997 )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296,806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-1567815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-1567815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-1567815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-1567815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-1567815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-179070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-179070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-179070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-179070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-179070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40" w:type="dxa"/>
            <w:vAlign w:val="bottom"/>
          </w:tcPr>
          <w:p>
            <w:pPr>
              <w:spacing w:after="0"/>
              <w:rPr>
                <w:sz w:val="17"/>
                <w:szCs w:val="17"/>
                <w:color w:val="auto"/>
              </w:rPr>
            </w:pPr>
          </w:p>
        </w:tc>
        <w:tc>
          <w:tcPr>
            <w:tcW w:w="2580" w:type="dxa"/>
            <w:vAlign w:val="bottom"/>
            <w:gridSpan w:val="3"/>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2"/>
        </w:trPr>
        <w:tc>
          <w:tcPr>
            <w:tcW w:w="2340" w:type="dxa"/>
            <w:vAlign w:val="bottom"/>
          </w:tcPr>
          <w:p>
            <w:pPr>
              <w:spacing w:after="0"/>
              <w:rPr>
                <w:sz w:val="18"/>
                <w:szCs w:val="18"/>
                <w:color w:val="auto"/>
              </w:rPr>
            </w:pPr>
          </w:p>
        </w:tc>
        <w:tc>
          <w:tcPr>
            <w:tcW w:w="2580" w:type="dxa"/>
            <w:vAlign w:val="bottom"/>
            <w:tcBorders>
              <w:bottom w:val="single" w:sz="8" w:color="auto"/>
            </w:tcBorders>
            <w:gridSpan w:val="3"/>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8"/>
                <w:szCs w:val="18"/>
                <w:color w:val="auto"/>
              </w:rPr>
            </w:pPr>
          </w:p>
        </w:tc>
        <w:tc>
          <w:tcPr>
            <w:tcW w:w="146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0"/>
        </w:trPr>
        <w:tc>
          <w:tcPr>
            <w:tcW w:w="2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340" w:type="dxa"/>
            <w:vAlign w:val="bottom"/>
          </w:tcPr>
          <w:p>
            <w:pPr>
              <w:spacing w:after="0"/>
              <w:rPr>
                <w:sz w:val="19"/>
                <w:szCs w:val="19"/>
                <w:color w:val="auto"/>
              </w:rPr>
            </w:pPr>
          </w:p>
        </w:tc>
        <w:tc>
          <w:tcPr>
            <w:tcW w:w="13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9"/>
                <w:szCs w:val="19"/>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Paid-In Capital</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73,458,176</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601,771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(71 )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(269,668 )  $</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3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w:t>
            </w:r>
          </w:p>
        </w:tc>
        <w:tc>
          <w:tcPr>
            <w:tcW w:w="13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75,184</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46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w:t>
            </w: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release of restricted stock units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60,673</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common stock</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forfeiture</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(21,400 )</w:t>
            </w:r>
          </w:p>
        </w:tc>
        <w:tc>
          <w:tcPr>
            <w:tcW w:w="10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46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9,447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 on available-for-</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 securities</w:t>
            </w: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w:t>
            </w: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(42,393 )</w:t>
            </w:r>
          </w:p>
        </w:tc>
        <w:tc>
          <w:tcPr>
            <w:tcW w:w="140" w:type="dxa"/>
            <w:vAlign w:val="bottom"/>
            <w:shd w:val="clear" w:color="auto" w:fill="CFF0FC"/>
          </w:tcPr>
          <w:p>
            <w:pPr>
              <w:spacing w:after="0"/>
              <w:rPr>
                <w:sz w:val="18"/>
                <w:szCs w:val="18"/>
                <w:color w:val="auto"/>
              </w:rPr>
            </w:pPr>
          </w:p>
        </w:tc>
        <w:tc>
          <w:tcPr>
            <w:tcW w:w="12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(42,393 )</w:t>
            </w:r>
          </w:p>
        </w:tc>
        <w:tc>
          <w:tcPr>
            <w:tcW w:w="0" w:type="dxa"/>
            <w:vAlign w:val="bottom"/>
          </w:tcPr>
          <w:p>
            <w:pPr>
              <w:spacing w:after="0"/>
              <w:rPr>
                <w:sz w:val="1"/>
                <w:szCs w:val="1"/>
                <w:color w:val="auto"/>
              </w:rPr>
            </w:pPr>
          </w:p>
        </w:tc>
      </w:tr>
      <w:tr>
        <w:trPr>
          <w:trHeight w:val="213"/>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stockholders</w:t>
            </w:r>
          </w:p>
        </w:tc>
        <w:tc>
          <w:tcPr>
            <w:tcW w:w="1320" w:type="dxa"/>
            <w:vAlign w:val="bottom"/>
            <w:vMerge w:val="continue"/>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4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73,572,633</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612,402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(312,061 )</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-1825625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-1825625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-1825625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-1825625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-1825625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-1825625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-179705</wp:posOffset>
            </wp:positionV>
            <wp:extent cx="768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-179705</wp:posOffset>
            </wp:positionV>
            <wp:extent cx="77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-179705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-179705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-179705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p>
      <w:pPr>
        <w:ind w:left="4300"/>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7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2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28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1"/>
                <w:szCs w:val="21"/>
                <w:color w:val="auto"/>
              </w:rPr>
            </w:pPr>
          </w:p>
        </w:tc>
      </w:tr>
      <w:tr>
        <w:trPr>
          <w:trHeight w:val="229"/>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(62,412 )</w:t>
            </w:r>
          </w:p>
        </w:tc>
        <w:tc>
          <w:tcPr>
            <w:tcW w:w="180" w:type="dxa"/>
            <w:vAlign w:val="bottom"/>
          </w:tcPr>
          <w:p>
            <w:pPr>
              <w:spacing w:after="0"/>
              <w:rPr>
                <w:sz w:val="19"/>
                <w:szCs w:val="19"/>
                <w:color w:val="auto"/>
              </w:rPr>
            </w:pPr>
          </w:p>
        </w:tc>
        <w:tc>
          <w:tcPr>
            <w:tcW w:w="6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(42,393 )</w:t>
            </w:r>
          </w:p>
        </w:tc>
      </w:tr>
      <w:tr>
        <w:trPr>
          <w:trHeight w:val="239"/>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1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9,447</w:t>
            </w:r>
          </w:p>
        </w:tc>
        <w:tc>
          <w:tcPr>
            <w:tcW w:w="100" w:type="dxa"/>
            <w:vAlign w:val="bottom"/>
          </w:tcPr>
          <w:p>
            <w:pPr>
              <w:spacing w:after="0"/>
              <w:rPr>
                <w:sz w:val="19"/>
                <w:szCs w:val="19"/>
                <w:color w:val="auto"/>
              </w:rPr>
            </w:pPr>
          </w:p>
        </w:tc>
      </w:tr>
      <w:tr>
        <w:trPr>
          <w:trHeight w:val="239"/>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Depreciation expense</w:t>
            </w:r>
          </w:p>
        </w:tc>
        <w:tc>
          <w:tcPr>
            <w:tcW w:w="1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FF0FC"/>
          </w:tcPr>
          <w:p>
            <w:pPr>
              <w:spacing w:after="0"/>
              <w:rPr>
                <w:sz w:val="20"/>
                <w:szCs w:val="20"/>
                <w:color w:val="auto"/>
              </w:rPr>
            </w:pPr>
          </w:p>
        </w:tc>
      </w:tr>
      <w:tr>
        <w:trPr>
          <w:trHeight w:val="220"/>
        </w:trPr>
        <w:tc>
          <w:tcPr>
            <w:tcW w:w="7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Accretion of discounts on short-term investments, net</w:t>
            </w:r>
          </w:p>
        </w:tc>
        <w:tc>
          <w:tcPr>
            <w:tcW w:w="1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(1,292 )</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(599 )</w:t>
            </w:r>
          </w:p>
        </w:tc>
      </w:tr>
      <w:tr>
        <w:trPr>
          <w:trHeight w:val="239"/>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of operating right-of-use assets</w:t>
            </w:r>
          </w:p>
        </w:tc>
        <w:tc>
          <w:tcPr>
            <w:tcW w:w="1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FF0FC"/>
          </w:tcPr>
          <w:p>
            <w:pPr>
              <w:spacing w:after="0"/>
              <w:rPr>
                <w:sz w:val="20"/>
                <w:szCs w:val="20"/>
                <w:color w:val="auto"/>
              </w:rPr>
            </w:pPr>
          </w:p>
        </w:tc>
      </w:tr>
      <w:tr>
        <w:trPr>
          <w:trHeight w:val="220"/>
        </w:trPr>
        <w:tc>
          <w:tcPr>
            <w:tcW w:w="7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00" w:type="dxa"/>
            <w:vAlign w:val="bottom"/>
            <w:shd w:val="clear" w:color="auto" w:fill="CFF0FC"/>
          </w:tcPr>
          <w:p>
            <w:pPr>
              <w:spacing w:after="0"/>
              <w:rPr>
                <w:sz w:val="20"/>
                <w:szCs w:val="20"/>
                <w:color w:val="auto"/>
              </w:rPr>
            </w:pPr>
          </w:p>
        </w:tc>
      </w:tr>
      <w:tr>
        <w:trPr>
          <w:trHeight w:val="220"/>
        </w:trPr>
        <w:tc>
          <w:tcPr>
            <w:tcW w:w="7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Deposits and other long-term assets</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(18 )</w:t>
            </w:r>
          </w:p>
        </w:tc>
      </w:tr>
      <w:tr>
        <w:trPr>
          <w:trHeight w:val="239"/>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1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2,204</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4,379</w:t>
            </w:r>
          </w:p>
        </w:tc>
        <w:tc>
          <w:tcPr>
            <w:tcW w:w="100" w:type="dxa"/>
            <w:vAlign w:val="bottom"/>
            <w:shd w:val="clear" w:color="auto" w:fill="CFF0FC"/>
          </w:tcPr>
          <w:p>
            <w:pPr>
              <w:spacing w:after="0"/>
              <w:rPr>
                <w:sz w:val="20"/>
                <w:szCs w:val="20"/>
                <w:color w:val="auto"/>
              </w:rPr>
            </w:pPr>
          </w:p>
        </w:tc>
      </w:tr>
      <w:tr>
        <w:trPr>
          <w:trHeight w:val="220"/>
        </w:trPr>
        <w:tc>
          <w:tcPr>
            <w:tcW w:w="7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(1,765 )</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100" w:type="dxa"/>
            <w:vAlign w:val="bottom"/>
          </w:tcPr>
          <w:p>
            <w:pPr>
              <w:spacing w:after="0"/>
              <w:rPr>
                <w:sz w:val="19"/>
                <w:szCs w:val="19"/>
                <w:color w:val="auto"/>
              </w:rPr>
            </w:pPr>
          </w:p>
        </w:tc>
      </w:tr>
      <w:tr>
        <w:trPr>
          <w:trHeight w:val="229"/>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(108 )</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(96 )</w:t>
            </w:r>
          </w:p>
        </w:tc>
      </w:tr>
      <w:tr>
        <w:trPr>
          <w:trHeight w:val="23"/>
        </w:trPr>
        <w:tc>
          <w:tcPr>
            <w:tcW w:w="7280" w:type="dxa"/>
            <w:vAlign w:val="bottom"/>
            <w:shd w:val="clear" w:color="auto" w:fill="CFF0F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72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(49,729 )</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(25,985 )</w:t>
            </w:r>
          </w:p>
        </w:tc>
      </w:tr>
      <w:tr>
        <w:trPr>
          <w:trHeight w:val="239"/>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1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paid for purchase of short-term investments</w:t>
            </w:r>
          </w:p>
        </w:tc>
        <w:tc>
          <w:tcPr>
            <w:tcW w:w="1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(47,162 )</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(160,014 )</w:t>
            </w:r>
          </w:p>
        </w:tc>
      </w:tr>
      <w:tr>
        <w:trPr>
          <w:trHeight w:val="239"/>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maturity of short-term investments</w:t>
            </w:r>
          </w:p>
        </w:tc>
        <w:tc>
          <w:tcPr>
            <w:tcW w:w="1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136,450</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148,847</w:t>
            </w:r>
          </w:p>
        </w:tc>
        <w:tc>
          <w:tcPr>
            <w:tcW w:w="100" w:type="dxa"/>
            <w:vAlign w:val="bottom"/>
            <w:shd w:val="clear" w:color="auto" w:fill="CFF0FC"/>
          </w:tcPr>
          <w:p>
            <w:pPr>
              <w:spacing w:after="0"/>
              <w:rPr>
                <w:sz w:val="20"/>
                <w:szCs w:val="20"/>
                <w:color w:val="auto"/>
              </w:rPr>
            </w:pPr>
          </w:p>
        </w:tc>
      </w:tr>
      <w:tr>
        <w:trPr>
          <w:trHeight w:val="220"/>
        </w:trPr>
        <w:tc>
          <w:tcPr>
            <w:tcW w:w="7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paid for purchase of property and equipment</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(26 )</w:t>
            </w:r>
          </w:p>
        </w:tc>
      </w:tr>
      <w:tr>
        <w:trPr>
          <w:trHeight w:val="23"/>
        </w:trPr>
        <w:tc>
          <w:tcPr>
            <w:tcW w:w="7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72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89,288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(11,193 )</w:t>
            </w:r>
          </w:p>
        </w:tc>
      </w:tr>
      <w:tr>
        <w:trPr>
          <w:trHeight w:val="221"/>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2"/>
        </w:trPr>
        <w:tc>
          <w:tcPr>
            <w:tcW w:w="7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stock upon stock option exercises</w:t>
            </w:r>
          </w:p>
        </w:tc>
        <w:tc>
          <w:tcPr>
            <w:tcW w:w="112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2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Cash provided by financing activities</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100" w:type="dxa"/>
            <w:vAlign w:val="bottom"/>
          </w:tcPr>
          <w:p>
            <w:pPr>
              <w:spacing w:after="0"/>
              <w:rPr>
                <w:sz w:val="19"/>
                <w:szCs w:val="19"/>
                <w:color w:val="auto"/>
              </w:rPr>
            </w:pPr>
          </w:p>
        </w:tc>
      </w:tr>
      <w:tr>
        <w:trPr>
          <w:trHeight w:val="230"/>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39,607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(35,994 )</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230,784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85,262</w:t>
            </w:r>
          </w:p>
        </w:tc>
        <w:tc>
          <w:tcPr>
            <w:tcW w:w="100" w:type="dxa"/>
            <w:vAlign w:val="bottom"/>
          </w:tcPr>
          <w:p>
            <w:pPr>
              <w:spacing w:after="0"/>
              <w:rPr>
                <w:sz w:val="19"/>
                <w:szCs w:val="19"/>
                <w:color w:val="auto"/>
              </w:rPr>
            </w:pPr>
          </w:p>
        </w:tc>
      </w:tr>
      <w:tr>
        <w:trPr>
          <w:trHeight w:val="263"/>
        </w:trPr>
        <w:tc>
          <w:tcPr>
            <w:tcW w:w="7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1120" w:type="dxa"/>
            <w:vAlign w:val="bottom"/>
            <w:tcBorders>
              <w:bottom w:val="single" w:sz="8" w:color="auto"/>
            </w:tcBorders>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270,391</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Borders>
              <w:bottom w:val="single" w:sz="8" w:color="auto"/>
            </w:tcBorders>
            <w:shd w:val="clear" w:color="auto" w:fill="CFF0FC"/>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49,268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-1816735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-633730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 w:name="page10"/>
    <w:bookmarkEnd w:id="9"/>
    <w:p>
      <w:pPr>
        <w:ind w:left="4292"/>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p>
      <w:pPr>
        <w:spacing w:after="0" w:line="31" w:lineRule="exact"/>
        <w:rPr>
          <w:sz w:val="20"/>
          <w:szCs w:val="20"/>
          <w:color w:val="auto"/>
        </w:rPr>
      </w:pPr>
    </w:p>
    <w:p>
      <w:pPr>
        <w:ind w:left="3852"/>
        <w:spacing w:after="0"/>
        <w:rPr>
          <w:sz w:val="20"/>
          <w:szCs w:val="20"/>
          <w:color w:val="auto"/>
        </w:rPr>
      </w:pPr>
      <w:r>
        <w:rPr>
          <w:rFonts w:ascii="Times New Roman" w:cs="Times New Roman" w:eastAsia="Times New Roman" w:hAnsi="Times New Roman"/>
          <w:sz w:val="18"/>
          <w:szCs w:val="18"/>
          <w:b w:val="1"/>
          <w:bCs w:val="1"/>
          <w:color w:val="auto"/>
        </w:rPr>
        <w:t>Notes to the Condensed Financial Statements</w:t>
      </w:r>
    </w:p>
    <w:p>
      <w:pPr>
        <w:spacing w:after="0" w:line="203" w:lineRule="exact"/>
        <w:rPr>
          <w:sz w:val="20"/>
          <w:szCs w:val="20"/>
          <w:color w:val="auto"/>
        </w:rPr>
      </w:pPr>
    </w:p>
    <w:p>
      <w:pPr>
        <w:ind w:left="512" w:right="7540" w:hanging="512"/>
        <w:spacing w:after="0" w:line="377" w:lineRule="auto"/>
        <w:tabs>
          <w:tab w:leader="none" w:pos="512"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and Organization </w:t>
      </w:r>
      <w:r>
        <w:rPr>
          <w:rFonts w:ascii="Times New Roman" w:cs="Times New Roman" w:eastAsia="Times New Roman" w:hAnsi="Times New Roman"/>
          <w:sz w:val="18"/>
          <w:szCs w:val="18"/>
          <w:b w:val="1"/>
          <w:bCs w:val="1"/>
          <w:i w:val="1"/>
          <w:iCs w:val="1"/>
          <w:color w:val="auto"/>
        </w:rPr>
        <w:t>Organization and Business</w:t>
      </w:r>
    </w:p>
    <w:p>
      <w:pPr>
        <w:spacing w:after="0" w:line="2" w:lineRule="exact"/>
        <w:rPr>
          <w:sz w:val="20"/>
          <w:szCs w:val="20"/>
          <w:color w:val="auto"/>
        </w:rPr>
      </w:pPr>
    </w:p>
    <w:p>
      <w:pPr>
        <w:ind w:left="512" w:firstLine="509"/>
        <w:spacing w:after="0" w:line="256" w:lineRule="auto"/>
        <w:rPr>
          <w:sz w:val="20"/>
          <w:szCs w:val="20"/>
          <w:color w:val="auto"/>
        </w:rPr>
      </w:pPr>
      <w:r>
        <w:rPr>
          <w:rFonts w:ascii="Times New Roman" w:cs="Times New Roman" w:eastAsia="Times New Roman" w:hAnsi="Times New Roman"/>
          <w:sz w:val="18"/>
          <w:szCs w:val="18"/>
          <w:color w:val="auto"/>
        </w:rPr>
        <w:t>Day One Biopharmaceuticals, Inc., or the Company, is a commercial-stage biopharmaceutical company dedicated to developing and commercializing targeted therapies for people of all ages with life-threatening diseases. The Company was formed as a limited liability company under the laws of the State of Delaware in November 2018, under the name Hero Therapeutics Holding Company, LLC. Subsequently, the Company changed its name to Day One Therapeutics Holding Company, LLC in December 2018 and to Day One Biopharmaceuticals Holding Company, LLC, or Day One Holding LLC, in March 2020. On May 26, 2021, the Company completed a conversion by filing a certificate of conversion with the Secretary of State of the State of Delaware and changed its name to Day One Biopharmaceuticals, Inc.</w:t>
      </w:r>
    </w:p>
    <w:p>
      <w:pPr>
        <w:spacing w:after="0" w:line="291" w:lineRule="exact"/>
        <w:rPr>
          <w:sz w:val="20"/>
          <w:szCs w:val="20"/>
          <w:color w:val="auto"/>
        </w:rPr>
      </w:pPr>
    </w:p>
    <w:p>
      <w:pPr>
        <w:ind w:left="512" w:right="7340" w:hanging="512"/>
        <w:spacing w:after="0" w:line="378" w:lineRule="auto"/>
        <w:tabs>
          <w:tab w:leader="none" w:pos="51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left="512" w:right="20" w:firstLine="509"/>
        <w:spacing w:after="0" w:line="274" w:lineRule="auto"/>
        <w:rPr>
          <w:sz w:val="20"/>
          <w:szCs w:val="20"/>
          <w:color w:val="auto"/>
        </w:rPr>
      </w:pPr>
      <w:r>
        <w:rPr>
          <w:rFonts w:ascii="Times New Roman" w:cs="Times New Roman" w:eastAsia="Times New Roman" w:hAnsi="Times New Roman"/>
          <w:sz w:val="17"/>
          <w:szCs w:val="17"/>
          <w:color w:val="auto"/>
        </w:rPr>
        <w:t>The Company’s unaudited condensed financial statements have been prepared in accordance with accounting principles generally accepted in the United States, or U.S. GAAP, for interim financial information and Article 10 of Regulation S-X of the Securities and Exchange Commission, or SEC, and should be read in conjunction with the Company's consolidated financial statements and notes thereto contained in the Company's Annual Report on Form 10-K for the year ended December 31, 2023, filed with the SEC on February 26, 2024. The condensed financial statements presented in this Quarterly Report on Form 10-Q are unaudited; however, in the opinion of management, such financial statements reflect all adjustments, consisting solely of normal recurring adjustments, necessary for a fair presentation of the results for the interim periods presented.</w:t>
      </w:r>
    </w:p>
    <w:p>
      <w:pPr>
        <w:spacing w:after="0" w:line="65" w:lineRule="exact"/>
        <w:rPr>
          <w:sz w:val="20"/>
          <w:szCs w:val="20"/>
          <w:color w:val="auto"/>
        </w:rPr>
      </w:pPr>
    </w:p>
    <w:p>
      <w:pPr>
        <w:ind w:left="512" w:right="860" w:firstLine="509"/>
        <w:spacing w:after="0" w:line="282" w:lineRule="auto"/>
        <w:rPr>
          <w:sz w:val="20"/>
          <w:szCs w:val="20"/>
          <w:color w:val="auto"/>
        </w:rPr>
      </w:pPr>
      <w:r>
        <w:rPr>
          <w:rFonts w:ascii="Times New Roman" w:cs="Times New Roman" w:eastAsia="Times New Roman" w:hAnsi="Times New Roman"/>
          <w:sz w:val="18"/>
          <w:szCs w:val="18"/>
          <w:color w:val="auto"/>
        </w:rPr>
        <w:t>Any reference in these notes to applicable guidance is meant to refer to the authoritative GAAP as found in Accounting Standards Codification, or ASC, and Accounting Standards Updates, or ASU, of the Financial Accounting Standards Board, or FASB.</w:t>
      </w:r>
    </w:p>
    <w:p>
      <w:pPr>
        <w:spacing w:after="0" w:line="50"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512" w:right="140"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condensed financial statements in conformity with U.S. GAAP requires management to make estimates and assumptions that affect the reported amounts of assets, liabilities and disclosure of contingent assets and liabilities at the date of the condensed financial statements, and the reported amounts of expenses during the reporting period. Estimates and assumptions made in the accompanying condensed financial statements include, but are not limited to, the valuation of share-based awards, the valuation of deferred tax assets and income tax uncertainties, and accruals for research and development activities. The Company bases its estimates on historical experience and on various other assumptions that are believed to be reasonable. Actual results may differ from those estimates or assumptions.</w:t>
      </w:r>
    </w:p>
    <w:p>
      <w:pPr>
        <w:spacing w:after="0" w:line="75"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337" w:lineRule="exact"/>
        <w:rPr>
          <w:sz w:val="20"/>
          <w:szCs w:val="20"/>
          <w:color w:val="auto"/>
        </w:rPr>
      </w:pPr>
    </w:p>
    <w:p>
      <w:pPr>
        <w:ind w:left="512"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has determined that its chief executive officer is the chief operating decision maker, or CODM. The Company operates and manages the business as one reporting and one operating segment, which is the business of identifying and advancing targeted therapies for people of all ages with genomically-defined cancers. The Company’s CODM reviews financial information on an aggregate basis for purposes of allocating resources and evaluating financial performance. All of the Company’s assets are located in the United States.</w:t>
      </w:r>
    </w:p>
    <w:p>
      <w:pPr>
        <w:spacing w:after="0" w:line="68"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21" w:lineRule="exact"/>
        <w:rPr>
          <w:sz w:val="20"/>
          <w:szCs w:val="20"/>
          <w:color w:val="auto"/>
        </w:rPr>
      </w:pPr>
    </w:p>
    <w:p>
      <w:pPr>
        <w:ind w:left="512" w:right="200" w:firstLine="509"/>
        <w:spacing w:after="0" w:line="258" w:lineRule="auto"/>
        <w:rPr>
          <w:sz w:val="20"/>
          <w:szCs w:val="20"/>
          <w:color w:val="auto"/>
        </w:rPr>
      </w:pPr>
      <w:r>
        <w:rPr>
          <w:rFonts w:ascii="Times New Roman" w:cs="Times New Roman" w:eastAsia="Times New Roman" w:hAnsi="Times New Roman"/>
          <w:sz w:val="18"/>
          <w:szCs w:val="18"/>
          <w:color w:val="auto"/>
        </w:rPr>
        <w:t>Financial instruments that subject the Company to significant concentrations of credit risk consist primarily of cash, cash equivalents and short-term investments. Amounts on deposit may at times exceed federally insured limits. The Company is exposed to credit risk in the event of default by the financial institutions holding its cash, cash equivalents and short-term investments that are recorded on its balance sheet. Per policy, the Company mitigates its risk by investing in high-grade instruments and limiting the concentration in any one issuer, which limits its exposure. The Company has not experienced any losses on its cash, cash equivalents and short-term investments.</w:t>
      </w:r>
    </w:p>
    <w:p>
      <w:pPr>
        <w:spacing w:after="0" w:line="75" w:lineRule="exact"/>
        <w:rPr>
          <w:sz w:val="20"/>
          <w:szCs w:val="20"/>
          <w:color w:val="auto"/>
        </w:rPr>
      </w:pPr>
    </w:p>
    <w:p>
      <w:pPr>
        <w:ind w:left="512" w:right="200" w:firstLine="509"/>
        <w:spacing w:after="0" w:line="261" w:lineRule="auto"/>
        <w:rPr>
          <w:sz w:val="20"/>
          <w:szCs w:val="20"/>
          <w:color w:val="auto"/>
        </w:rPr>
      </w:pPr>
      <w:r>
        <w:rPr>
          <w:rFonts w:ascii="Times New Roman" w:cs="Times New Roman" w:eastAsia="Times New Roman" w:hAnsi="Times New Roman"/>
          <w:sz w:val="18"/>
          <w:szCs w:val="18"/>
          <w:color w:val="auto"/>
        </w:rPr>
        <w:t>The Company is subject to certain risks and uncertainties and believes that changes in any of the following areas could have a material adverse effect on the Company's future financial position or results of its operations: ability to obtain future financing; regulatory requirements for approval and market acceptance of, and reimbursement for, product candidates; performance of third-party clinical research organizations and manufacturers upon which the Company relies; development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584200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8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Financial Statements</w:t>
      </w:r>
    </w:p>
    <w:p>
      <w:pPr>
        <w:spacing w:after="0" w:line="121" w:lineRule="exact"/>
        <w:rPr>
          <w:sz w:val="20"/>
          <w:szCs w:val="20"/>
          <w:color w:val="auto"/>
        </w:rPr>
      </w:pPr>
    </w:p>
    <w:p>
      <w:pPr>
        <w:ind w:left="520" w:right="20"/>
        <w:spacing w:after="0" w:line="266" w:lineRule="auto"/>
        <w:rPr>
          <w:sz w:val="20"/>
          <w:szCs w:val="20"/>
          <w:color w:val="auto"/>
        </w:rPr>
      </w:pPr>
      <w:r>
        <w:rPr>
          <w:rFonts w:ascii="Times New Roman" w:cs="Times New Roman" w:eastAsia="Times New Roman" w:hAnsi="Times New Roman"/>
          <w:sz w:val="18"/>
          <w:szCs w:val="18"/>
          <w:color w:val="auto"/>
        </w:rPr>
        <w:t>sales channels; protection of the Company’s intellectual property; litigation or claims against the Company based on intellectual property, patent, product, regulatory or other factors; changes to the market landscape; and the Company’s ability to attract and retain employees necessary to support its growth.</w:t>
      </w:r>
    </w:p>
    <w:p>
      <w:pPr>
        <w:spacing w:after="0" w:line="68" w:lineRule="exact"/>
        <w:rPr>
          <w:sz w:val="20"/>
          <w:szCs w:val="20"/>
          <w:color w:val="auto"/>
        </w:rPr>
      </w:pPr>
    </w:p>
    <w:p>
      <w:pPr>
        <w:ind w:left="520"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is dependent on third-party manufacturers to supply products for research and development activities in its programs. In particular,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left="520" w:right="80" w:firstLine="509"/>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 Improvements to Reportable Segment Disclosures, which requires incremental disclosure of segment information on an interim and annual basis. This ASU is effective for public entities for fiscal years beginning after December 15, 2023, and interim periods within fiscal years beginning after December 15, 2024. Retrospective application to all prior periods presented in the financial statements is required for public entities. The Company is currently evaluating the effect of this update on its financial statement disclosures.</w:t>
      </w:r>
    </w:p>
    <w:p>
      <w:pPr>
        <w:spacing w:after="0" w:line="75" w:lineRule="exact"/>
        <w:rPr>
          <w:sz w:val="20"/>
          <w:szCs w:val="20"/>
          <w:color w:val="auto"/>
        </w:rPr>
      </w:pPr>
    </w:p>
    <w:p>
      <w:pPr>
        <w:ind w:left="520" w:right="100" w:firstLine="509"/>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 Improvements to Income Tax Disclosures, which enhances the transparency and decision usefulness of income tax disclosures by requiring disclosure of disaggregated income taxes paid, prescribes standard categories for the components of the effective tax rate reconciliation, and modifies other income tax-related disclosures. The ASU is effective for fiscal years beginning after December 15, 2024 and allows for adoption on a prospective basis, with a retrospective option. The Company is currently evaluating the effect of this update on its financial statement disclosures.</w:t>
      </w:r>
    </w:p>
    <w:p>
      <w:pPr>
        <w:spacing w:after="0" w:line="287"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Recurring Fair Value Measurements</w:t>
      </w:r>
    </w:p>
    <w:p>
      <w:pPr>
        <w:spacing w:after="0" w:line="121" w:lineRule="exact"/>
        <w:rPr>
          <w:sz w:val="20"/>
          <w:szCs w:val="20"/>
          <w:color w:val="auto"/>
        </w:rPr>
      </w:pPr>
    </w:p>
    <w:p>
      <w:pPr>
        <w:ind w:left="520" w:right="60"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Company’s financial instruments as of March 31, 2024 and December 31, 2023, which are measured at fair value on a recurring basis by level within the fair value hierarchy (in thousands):</w:t>
      </w:r>
    </w:p>
    <w:tbl>
      <w:tblPr>
        <w:tblLayout w:type="fixed"/>
        <w:tblInd w:w="0" w:type="dxa"/>
        <w:tblCellMar>
          <w:top w:w="0" w:type="dxa"/>
          <w:left w:w="0" w:type="dxa"/>
          <w:bottom w:w="0" w:type="dxa"/>
          <w:right w:w="0" w:type="dxa"/>
        </w:tblCellMar>
      </w:tblPr>
      <w:tr>
        <w:trPr>
          <w:trHeight w:val="176"/>
        </w:trPr>
        <w:tc>
          <w:tcPr>
            <w:tcW w:w="42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5"/>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422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0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71,447</w:t>
            </w:r>
          </w:p>
        </w:tc>
        <w:tc>
          <w:tcPr>
            <w:tcW w:w="5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71,447</w:t>
            </w:r>
          </w:p>
        </w:tc>
        <w:tc>
          <w:tcPr>
            <w:tcW w:w="100" w:type="dxa"/>
            <w:vAlign w:val="bottom"/>
          </w:tcPr>
          <w:p>
            <w:pPr>
              <w:spacing w:after="0"/>
              <w:rPr>
                <w:sz w:val="20"/>
                <w:szCs w:val="20"/>
                <w:color w:val="auto"/>
              </w:rPr>
            </w:pPr>
          </w:p>
        </w:tc>
      </w:tr>
      <w:tr>
        <w:trPr>
          <w:trHeight w:val="247"/>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149,855</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6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149,855</w:t>
            </w:r>
          </w:p>
        </w:tc>
        <w:tc>
          <w:tcPr>
            <w:tcW w:w="100" w:type="dxa"/>
            <w:vAlign w:val="bottom"/>
            <w:shd w:val="clear" w:color="auto" w:fill="CFF0FC"/>
          </w:tcPr>
          <w:p>
            <w:pPr>
              <w:spacing w:after="0"/>
              <w:rPr>
                <w:sz w:val="21"/>
                <w:szCs w:val="21"/>
                <w:color w:val="auto"/>
              </w:rPr>
            </w:pPr>
          </w:p>
        </w:tc>
      </w:tr>
      <w:tr>
        <w:trPr>
          <w:trHeight w:val="239"/>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81,216</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gridSpan w:val="2"/>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81,216</w:t>
            </w:r>
          </w:p>
        </w:tc>
        <w:tc>
          <w:tcPr>
            <w:tcW w:w="100" w:type="dxa"/>
            <w:vAlign w:val="bottom"/>
          </w:tcPr>
          <w:p>
            <w:pPr>
              <w:spacing w:after="0"/>
              <w:rPr>
                <w:sz w:val="20"/>
                <w:szCs w:val="20"/>
                <w:color w:val="auto"/>
              </w:rPr>
            </w:pPr>
          </w:p>
        </w:tc>
      </w:tr>
      <w:tr>
        <w:trPr>
          <w:trHeight w:val="277"/>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020" w:type="dxa"/>
            <w:vAlign w:val="bottom"/>
            <w:tcBorders>
              <w:bottom w:val="single" w:sz="8" w:color="auto"/>
            </w:tcBorders>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71,447</w:t>
            </w:r>
          </w:p>
        </w:tc>
        <w:tc>
          <w:tcPr>
            <w:tcW w:w="260" w:type="dxa"/>
            <w:vAlign w:val="bottom"/>
            <w:tcBorders>
              <w:bottom w:val="single" w:sz="8" w:color="CFF0FC"/>
            </w:tcBorders>
            <w:gridSpan w:val="2"/>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231,071</w:t>
            </w:r>
          </w:p>
        </w:tc>
        <w:tc>
          <w:tcPr>
            <w:tcW w:w="2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auto"/>
            </w:tcBorders>
            <w:gridSpan w:val="2"/>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gridSpan w:val="2"/>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302,518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03"/>
        </w:trPr>
        <w:tc>
          <w:tcPr>
            <w:tcW w:w="42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0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47,003</w:t>
            </w:r>
          </w:p>
        </w:tc>
        <w:tc>
          <w:tcPr>
            <w:tcW w:w="580" w:type="dxa"/>
            <w:vAlign w:val="bottom"/>
            <w:gridSpan w:val="3"/>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47,003</w:t>
            </w:r>
          </w:p>
        </w:tc>
        <w:tc>
          <w:tcPr>
            <w:tcW w:w="100" w:type="dxa"/>
            <w:vAlign w:val="bottom"/>
            <w:shd w:val="clear" w:color="auto" w:fill="CFF0FC"/>
          </w:tcPr>
          <w:p>
            <w:pPr>
              <w:spacing w:after="0"/>
              <w:rPr>
                <w:sz w:val="21"/>
                <w:szCs w:val="21"/>
                <w:color w:val="auto"/>
              </w:rPr>
            </w:pPr>
          </w:p>
        </w:tc>
      </w:tr>
      <w:tr>
        <w:trPr>
          <w:trHeight w:val="239"/>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246,208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246,208</w:t>
            </w:r>
          </w:p>
        </w:tc>
        <w:tc>
          <w:tcPr>
            <w:tcW w:w="100" w:type="dxa"/>
            <w:vAlign w:val="bottom"/>
          </w:tcPr>
          <w:p>
            <w:pPr>
              <w:spacing w:after="0"/>
              <w:rPr>
                <w:sz w:val="20"/>
                <w:szCs w:val="20"/>
                <w:color w:val="auto"/>
              </w:rPr>
            </w:pPr>
          </w:p>
        </w:tc>
      </w:tr>
      <w:tr>
        <w:trPr>
          <w:trHeight w:val="243"/>
        </w:trPr>
        <w:tc>
          <w:tcPr>
            <w:tcW w:w="42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63,202</w:t>
            </w: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63,202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47,003</w:t>
            </w:r>
          </w:p>
        </w:tc>
        <w:tc>
          <w:tcPr>
            <w:tcW w:w="5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309,410</w:t>
            </w:r>
          </w:p>
        </w:tc>
        <w:tc>
          <w:tcPr>
            <w:tcW w:w="20" w:type="dxa"/>
            <w:vAlign w:val="bottom"/>
          </w:tcPr>
          <w:p>
            <w:pPr>
              <w:spacing w:after="0"/>
              <w:rPr>
                <w:sz w:val="20"/>
                <w:szCs w:val="20"/>
                <w:color w:val="auto"/>
              </w:rPr>
            </w:pPr>
          </w:p>
        </w:tc>
        <w:tc>
          <w:tcPr>
            <w:tcW w:w="1400" w:type="dxa"/>
            <w:vAlign w:val="bottom"/>
            <w:gridSpan w:val="3"/>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356,413</w:t>
            </w:r>
          </w:p>
        </w:tc>
        <w:tc>
          <w:tcPr>
            <w:tcW w:w="100" w:type="dxa"/>
            <w:vAlign w:val="bottom"/>
          </w:tcPr>
          <w:p>
            <w:pPr>
              <w:spacing w:after="0"/>
              <w:rPr>
                <w:sz w:val="20"/>
                <w:szCs w:val="20"/>
                <w:color w:val="auto"/>
              </w:rPr>
            </w:pPr>
          </w:p>
        </w:tc>
      </w:tr>
      <w:tr>
        <w:trPr>
          <w:trHeight w:val="20"/>
        </w:trPr>
        <w:tc>
          <w:tcPr>
            <w:tcW w:w="4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-1224915</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-1207770</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-1224915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-1207770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-1224915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-1207770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-187960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-187960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-187960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Company's money market funds are classified as Level 1 because they are measured using observable inputs from active markets for identical assets.</w:t>
      </w:r>
    </w:p>
    <w:p>
      <w:pPr>
        <w:spacing w:after="0" w:line="54" w:lineRule="exact"/>
        <w:rPr>
          <w:sz w:val="20"/>
          <w:szCs w:val="20"/>
          <w:color w:val="auto"/>
        </w:rPr>
      </w:pPr>
    </w:p>
    <w:p>
      <w:pPr>
        <w:ind w:left="520"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Company's U.S. treasury securities and U.S. government agency securities are classified as Level 2 because they are measured with inputs that are either directly or indirectly observable for the asset which include quoted prices for similar assets in active markets and quoted prices for identical or similar assets in markets that are not active.</w:t>
      </w:r>
    </w:p>
    <w:p>
      <w:pPr>
        <w:spacing w:after="0" w:line="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There were no assets or liabilities classified as Level 3 as of March 31, 2024 and December 31, 2023.</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categories during the periods presented.</w:t>
      </w:r>
    </w:p>
    <w:p>
      <w:pPr>
        <w:spacing w:after="0" w:line="117" w:lineRule="exact"/>
        <w:rPr>
          <w:sz w:val="20"/>
          <w:szCs w:val="20"/>
          <w:color w:val="auto"/>
        </w:rPr>
      </w:pPr>
    </w:p>
    <w:p>
      <w:pPr>
        <w:ind w:left="520" w:right="180"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tables summarize the estimated fair value of the Company's cash equivalents, available-for-sale securities classified as short-term investments, and associated unrealized gains and losses (in thousands):</w:t>
      </w: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Financial Statements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5"/>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00" w:type="dxa"/>
            <w:vAlign w:val="bottom"/>
          </w:tcPr>
          <w:p>
            <w:pPr>
              <w:spacing w:after="0"/>
              <w:rPr>
                <w:sz w:val="14"/>
                <w:szCs w:val="14"/>
                <w:color w:val="auto"/>
              </w:rPr>
            </w:pPr>
          </w:p>
        </w:tc>
      </w:tr>
      <w:tr>
        <w:trPr>
          <w:trHeight w:val="237"/>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71,447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71,447</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81,216</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81,216</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102,302</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102,302</w:t>
            </w:r>
          </w:p>
        </w:tc>
        <w:tc>
          <w:tcPr>
            <w:tcW w:w="100" w:type="dxa"/>
            <w:vAlign w:val="bottom"/>
          </w:tcPr>
          <w:p>
            <w:pPr>
              <w:spacing w:after="0"/>
              <w:rPr>
                <w:sz w:val="20"/>
                <w:szCs w:val="20"/>
                <w:color w:val="auto"/>
              </w:rPr>
            </w:pPr>
          </w:p>
        </w:tc>
      </w:tr>
      <w:tr>
        <w:trPr>
          <w:trHeight w:val="23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254,965</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254,965</w:t>
            </w:r>
          </w:p>
        </w:tc>
        <w:tc>
          <w:tcPr>
            <w:tcW w:w="100" w:type="dxa"/>
            <w:vAlign w:val="bottom"/>
            <w:shd w:val="clear" w:color="auto" w:fill="CFF0FC"/>
          </w:tcPr>
          <w:p>
            <w:pPr>
              <w:spacing w:after="0"/>
              <w:rPr>
                <w:sz w:val="20"/>
                <w:szCs w:val="20"/>
                <w:color w:val="auto"/>
              </w:rPr>
            </w:pPr>
          </w:p>
        </w:tc>
      </w:tr>
      <w:tr>
        <w:trPr>
          <w:trHeight w:val="477"/>
        </w:trPr>
        <w:tc>
          <w:tcPr>
            <w:tcW w:w="4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45"/>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47,557</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(4 )</w:t>
            </w:r>
          </w:p>
        </w:tc>
        <w:tc>
          <w:tcPr>
            <w:tcW w:w="4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47,553</w:t>
            </w:r>
          </w:p>
        </w:tc>
        <w:tc>
          <w:tcPr>
            <w:tcW w:w="100" w:type="dxa"/>
            <w:vAlign w:val="bottom"/>
            <w:shd w:val="clear" w:color="auto" w:fill="CFF0FC"/>
          </w:tcPr>
          <w:p>
            <w:pPr>
              <w:spacing w:after="0"/>
              <w:rPr>
                <w:sz w:val="21"/>
                <w:szCs w:val="2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47,557</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(4 )</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47,553</w:t>
            </w:r>
          </w:p>
        </w:tc>
        <w:tc>
          <w:tcPr>
            <w:tcW w:w="100" w:type="dxa"/>
            <w:vAlign w:val="bottom"/>
          </w:tcPr>
          <w:p>
            <w:pPr>
              <w:spacing w:after="0"/>
              <w:rPr>
                <w:sz w:val="20"/>
                <w:szCs w:val="20"/>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6"/>
        </w:trPr>
        <w:tc>
          <w:tcPr>
            <w:tcW w:w="4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00" w:type="dxa"/>
            <w:vAlign w:val="bottom"/>
          </w:tcPr>
          <w:p>
            <w:pPr>
              <w:spacing w:after="0"/>
              <w:rPr>
                <w:sz w:val="14"/>
                <w:szCs w:val="14"/>
                <w:color w:val="auto"/>
              </w:rPr>
            </w:pPr>
          </w:p>
        </w:tc>
      </w:tr>
      <w:tr>
        <w:trPr>
          <w:trHeight w:val="237"/>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47,003</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63,202</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63,202</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110,645</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110,645</w:t>
            </w:r>
          </w:p>
        </w:tc>
        <w:tc>
          <w:tcPr>
            <w:tcW w:w="100" w:type="dxa"/>
            <w:vAlign w:val="bottom"/>
          </w:tcPr>
          <w:p>
            <w:pPr>
              <w:spacing w:after="0"/>
              <w:rPr>
                <w:sz w:val="20"/>
                <w:szCs w:val="20"/>
                <w:color w:val="auto"/>
              </w:rPr>
            </w:pPr>
          </w:p>
        </w:tc>
      </w:tr>
      <w:tr>
        <w:trPr>
          <w:trHeight w:val="23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220,850</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220,850</w:t>
            </w:r>
          </w:p>
        </w:tc>
        <w:tc>
          <w:tcPr>
            <w:tcW w:w="100" w:type="dxa"/>
            <w:vAlign w:val="bottom"/>
            <w:shd w:val="clear" w:color="auto" w:fill="CFF0FC"/>
          </w:tcPr>
          <w:p>
            <w:pPr>
              <w:spacing w:after="0"/>
              <w:rPr>
                <w:sz w:val="20"/>
                <w:szCs w:val="20"/>
                <w:color w:val="auto"/>
              </w:rPr>
            </w:pPr>
          </w:p>
        </w:tc>
      </w:tr>
      <w:tr>
        <w:trPr>
          <w:trHeight w:val="477"/>
        </w:trPr>
        <w:tc>
          <w:tcPr>
            <w:tcW w:w="4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45"/>
        </w:trPr>
        <w:tc>
          <w:tcPr>
            <w:tcW w:w="4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135,554</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135,554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135,563</w:t>
            </w:r>
          </w:p>
        </w:tc>
        <w:tc>
          <w:tcPr>
            <w:tcW w:w="100" w:type="dxa"/>
            <w:vAlign w:val="bottom"/>
          </w:tcPr>
          <w:p>
            <w:pPr>
              <w:spacing w:after="0"/>
              <w:rPr>
                <w:sz w:val="20"/>
                <w:szCs w:val="20"/>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-2477135</wp:posOffset>
            </wp:positionV>
            <wp:extent cx="768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-2477135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-2477135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-2477135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-2005330</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-2005330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-2005330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-659765</wp:posOffset>
            </wp:positionV>
            <wp:extent cx="768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-659765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-659765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-187960</wp:posOffset>
            </wp:positionV>
            <wp:extent cx="768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-187960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-187960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summarizes the maturities of our cash equivalents and available-for-sale securities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232"/>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Mature in one year or less</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302,522</w:t>
            </w:r>
          </w:p>
        </w:tc>
        <w:tc>
          <w:tcPr>
            <w:tcW w:w="30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302,518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302,522</w:t>
            </w:r>
          </w:p>
        </w:tc>
        <w:tc>
          <w:tcPr>
            <w:tcW w:w="300" w:type="dxa"/>
            <w:vAlign w:val="bottom"/>
          </w:tcPr>
          <w:p>
            <w:pPr>
              <w:spacing w:after="0"/>
              <w:rPr>
                <w:sz w:val="20"/>
                <w:szCs w:val="20"/>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302,518</w:t>
            </w:r>
          </w:p>
        </w:tc>
        <w:tc>
          <w:tcPr>
            <w:tcW w:w="100" w:type="dxa"/>
            <w:vAlign w:val="bottom"/>
          </w:tcPr>
          <w:p>
            <w:pPr>
              <w:spacing w:after="0"/>
              <w:rPr>
                <w:sz w:val="20"/>
                <w:szCs w:val="20"/>
                <w:color w:val="auto"/>
              </w:rPr>
            </w:pPr>
          </w:p>
        </w:tc>
      </w:tr>
      <w:tr>
        <w:trPr>
          <w:trHeight w:val="20"/>
        </w:trPr>
        <w:tc>
          <w:tcPr>
            <w:tcW w:w="6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5"/>
        </w:trPr>
        <w:tc>
          <w:tcPr>
            <w:tcW w:w="62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6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232"/>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Mature in one year or less</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356,404</w:t>
            </w:r>
          </w:p>
        </w:tc>
        <w:tc>
          <w:tcPr>
            <w:tcW w:w="30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356,413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356,404</w:t>
            </w:r>
          </w:p>
        </w:tc>
        <w:tc>
          <w:tcPr>
            <w:tcW w:w="9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356,413</w:t>
            </w:r>
          </w:p>
        </w:tc>
        <w:tc>
          <w:tcPr>
            <w:tcW w:w="100" w:type="dxa"/>
            <w:vAlign w:val="bottom"/>
          </w:tcPr>
          <w:p>
            <w:pPr>
              <w:spacing w:after="0"/>
              <w:rPr>
                <w:sz w:val="20"/>
                <w:szCs w:val="20"/>
                <w:color w:val="auto"/>
              </w:rPr>
            </w:pPr>
          </w:p>
        </w:tc>
      </w:tr>
      <w:tr>
        <w:trPr>
          <w:trHeight w:val="20"/>
        </w:trPr>
        <w:tc>
          <w:tcPr>
            <w:tcW w:w="6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-1028065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-187960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right="100" w:firstLine="509"/>
        <w:spacing w:after="0" w:line="256" w:lineRule="auto"/>
        <w:rPr>
          <w:sz w:val="20"/>
          <w:szCs w:val="20"/>
          <w:color w:val="auto"/>
        </w:rPr>
      </w:pPr>
      <w:r>
        <w:rPr>
          <w:rFonts w:ascii="Times New Roman" w:cs="Times New Roman" w:eastAsia="Times New Roman" w:hAnsi="Times New Roman"/>
          <w:sz w:val="18"/>
          <w:szCs w:val="18"/>
          <w:color w:val="auto"/>
        </w:rPr>
        <w:t>The Company regularly reviews the changes to the rating of its securities and monitors the surrounding economic conditions to assess the risk of expected credit losses. As of March 31, 2024 and December 31, 2023, there were no securities that were in an unrealized loss position for more than 12 months. As of March 31, 2024, the unrealized losses, if any, on the Company’s short-term investments were primarily caused by interest rate increases. The Company does not expect the issuers to settle any security at a price less than the amortized cost basis of the investment with the contractual cash flows of these investments guaranteed by the issuer. No allowance for credit losses has been recorded since it is not more-likely-than-not that the Company will be required to sell the investments before recovery of their amortized cost basis.</w:t>
      </w:r>
    </w:p>
    <w:p>
      <w:pPr>
        <w:spacing w:after="0" w:line="291"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Items</w:t>
      </w:r>
    </w:p>
    <w:p>
      <w:pPr>
        <w:spacing w:after="0" w:line="11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48"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4"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36"/>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80" w:type="dxa"/>
            <w:vAlign w:val="bottom"/>
            <w:shd w:val="clear" w:color="auto" w:fill="CFF0FC"/>
          </w:tcPr>
          <w:p>
            <w:pPr>
              <w:spacing w:after="0"/>
              <w:rPr>
                <w:sz w:val="20"/>
                <w:szCs w:val="20"/>
                <w:color w:val="auto"/>
              </w:rPr>
            </w:pPr>
          </w:p>
        </w:tc>
      </w:tr>
      <w:tr>
        <w:trPr>
          <w:trHeight w:val="23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80" w:type="dxa"/>
            <w:vAlign w:val="bottom"/>
          </w:tcPr>
          <w:p>
            <w:pPr>
              <w:spacing w:after="0"/>
              <w:rPr>
                <w:sz w:val="20"/>
                <w:szCs w:val="20"/>
                <w:color w:val="auto"/>
              </w:rPr>
            </w:pPr>
          </w:p>
        </w:tc>
      </w:tr>
      <w:tr>
        <w:trPr>
          <w:trHeight w:val="243"/>
        </w:trPr>
        <w:tc>
          <w:tcPr>
            <w:tcW w:w="5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prepaid expenses and other assets</w:t>
            </w:r>
          </w:p>
        </w:tc>
        <w:tc>
          <w:tcPr>
            <w:tcW w:w="1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8,927</w:t>
            </w:r>
          </w:p>
        </w:tc>
        <w:tc>
          <w:tcPr>
            <w:tcW w:w="80" w:type="dxa"/>
            <w:vAlign w:val="bottom"/>
          </w:tcPr>
          <w:p>
            <w:pPr>
              <w:spacing w:after="0"/>
              <w:rPr>
                <w:sz w:val="20"/>
                <w:szCs w:val="20"/>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-187960</wp:posOffset>
            </wp:positionV>
            <wp:extent cx="514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-187960</wp:posOffset>
            </wp:positionV>
            <wp:extent cx="514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2" w:name="page13"/>
    <w:bookmarkEnd w:id="12"/>
    <w:p>
      <w:pPr>
        <w:ind w:left="3892"/>
        <w:spacing w:after="0"/>
        <w:rPr>
          <w:sz w:val="20"/>
          <w:szCs w:val="20"/>
          <w:color w:val="auto"/>
        </w:rPr>
      </w:pPr>
      <w:r>
        <w:rPr>
          <w:rFonts w:ascii="Times New Roman" w:cs="Times New Roman" w:eastAsia="Times New Roman" w:hAnsi="Times New Roman"/>
          <w:sz w:val="18"/>
          <w:szCs w:val="18"/>
          <w:b w:val="1"/>
          <w:bCs w:val="1"/>
          <w:color w:val="auto"/>
        </w:rPr>
        <w:t>Notes to the Condensed Financial Statements</w:t>
      </w:r>
    </w:p>
    <w:p>
      <w:pPr>
        <w:spacing w:after="0" w:line="117"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ind w:left="1012"/>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4" w:lineRule="exact"/>
        <w:rPr>
          <w:sz w:val="20"/>
          <w:szCs w:val="20"/>
          <w:color w:val="auto"/>
        </w:rPr>
      </w:pPr>
    </w:p>
    <w:tbl>
      <w:tblPr>
        <w:tblLayout w:type="fixed"/>
        <w:tblInd w:w="1352"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37"/>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12,643</w:t>
            </w:r>
          </w:p>
        </w:tc>
        <w:tc>
          <w:tcPr>
            <w:tcW w:w="80" w:type="dxa"/>
            <w:vAlign w:val="bottom"/>
            <w:shd w:val="clear" w:color="auto" w:fill="CFF0FC"/>
          </w:tcPr>
          <w:p>
            <w:pPr>
              <w:spacing w:after="0"/>
              <w:rPr>
                <w:sz w:val="20"/>
                <w:szCs w:val="20"/>
                <w:color w:val="auto"/>
              </w:rPr>
            </w:pPr>
          </w:p>
        </w:tc>
      </w:tr>
      <w:tr>
        <w:trPr>
          <w:trHeight w:val="23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related expenses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9,165</w:t>
            </w:r>
          </w:p>
        </w:tc>
        <w:tc>
          <w:tcPr>
            <w:tcW w:w="80" w:type="dxa"/>
            <w:vAlign w:val="bottom"/>
          </w:tcPr>
          <w:p>
            <w:pPr>
              <w:spacing w:after="0"/>
              <w:rPr>
                <w:sz w:val="20"/>
                <w:szCs w:val="20"/>
                <w:color w:val="auto"/>
              </w:rPr>
            </w:pPr>
          </w:p>
        </w:tc>
      </w:tr>
      <w:tr>
        <w:trPr>
          <w:trHeight w:val="247"/>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professional service expenses</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80" w:type="dxa"/>
            <w:vAlign w:val="bottom"/>
            <w:shd w:val="clear" w:color="auto" w:fill="CFF0FC"/>
          </w:tcPr>
          <w:p>
            <w:pPr>
              <w:spacing w:after="0"/>
              <w:rPr>
                <w:sz w:val="21"/>
                <w:szCs w:val="21"/>
                <w:color w:val="auto"/>
              </w:rPr>
            </w:pPr>
          </w:p>
        </w:tc>
      </w:tr>
      <w:tr>
        <w:trPr>
          <w:trHeight w:val="23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tcPr>
          <w:p>
            <w:pPr>
              <w:spacing w:after="0"/>
              <w:rPr>
                <w:sz w:val="20"/>
                <w:szCs w:val="20"/>
                <w:color w:val="auto"/>
              </w:rPr>
            </w:pPr>
          </w:p>
        </w:tc>
      </w:tr>
      <w:tr>
        <w:trPr>
          <w:trHeight w:val="277"/>
        </w:trPr>
        <w:tc>
          <w:tcPr>
            <w:tcW w:w="5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24,759</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26,524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-24765</wp:posOffset>
            </wp:positionV>
            <wp:extent cx="514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5340350</wp:posOffset>
            </wp:positionH>
            <wp:positionV relativeFrom="paragraph">
              <wp:posOffset>-7620</wp:posOffset>
            </wp:positionV>
            <wp:extent cx="51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6223635</wp:posOffset>
            </wp:positionH>
            <wp:positionV relativeFrom="paragraph">
              <wp:posOffset>-24765</wp:posOffset>
            </wp:positionV>
            <wp:extent cx="514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6223635</wp:posOffset>
            </wp:positionH>
            <wp:positionV relativeFrom="paragraph">
              <wp:posOffset>-7620</wp:posOffset>
            </wp:positionV>
            <wp:extent cx="51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12" w:hanging="512"/>
        <w:spacing w:after="0"/>
        <w:tabs>
          <w:tab w:leader="none" w:pos="51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Agreements</w:t>
      </w:r>
    </w:p>
    <w:p>
      <w:pPr>
        <w:spacing w:after="0" w:line="117" w:lineRule="exact"/>
        <w:rPr>
          <w:rFonts w:ascii="Times New Roman" w:cs="Times New Roman" w:eastAsia="Times New Roman" w:hAnsi="Times New Roman"/>
          <w:sz w:val="18"/>
          <w:szCs w:val="18"/>
          <w:b w:val="1"/>
          <w:bCs w:val="1"/>
          <w:color w:val="auto"/>
        </w:rPr>
      </w:pPr>
    </w:p>
    <w:p>
      <w:pPr>
        <w:ind w:left="51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Takeda asset purchase agreement</w:t>
      </w:r>
    </w:p>
    <w:p>
      <w:pPr>
        <w:spacing w:after="0" w:line="121" w:lineRule="exact"/>
        <w:rPr>
          <w:sz w:val="20"/>
          <w:szCs w:val="20"/>
          <w:color w:val="auto"/>
        </w:rPr>
      </w:pPr>
    </w:p>
    <w:p>
      <w:pPr>
        <w:ind w:left="512" w:firstLine="509"/>
        <w:spacing w:after="0" w:line="253" w:lineRule="auto"/>
        <w:rPr>
          <w:sz w:val="20"/>
          <w:szCs w:val="20"/>
          <w:color w:val="auto"/>
        </w:rPr>
      </w:pPr>
      <w:r>
        <w:rPr>
          <w:rFonts w:ascii="Times New Roman" w:cs="Times New Roman" w:eastAsia="Times New Roman" w:hAnsi="Times New Roman"/>
          <w:sz w:val="18"/>
          <w:szCs w:val="18"/>
          <w:color w:val="auto"/>
        </w:rPr>
        <w:t>On December 16, 2019, a subsidiary of the Company entered into an asset purchase agreement, or the Takeda Asset Agreement, with Millennium Pharmaceuticals, Inc., a related party and an affiliate of Takeda Pharmaceutical Company Limited, or Takeda. Effective December 31, 2021, the subsidiary was merged with and into the Company, with the Company being the surviving corporation and assuming the subsidiary’s obligations under the Takeda Assets Purchase Agreement. Pursuant to the Takeda Asset Agreement, the Company purchased certain technology rights and know-how related to TAK-580 (which is now OJEMDA™ (tovorafenib)) that provides a new approach for treating patients with primary brain tumors or brain metastases of solid tumors. The Company also received clinical inventory supplies to use in the Company's research and development activities of such RAF-inhibitor and an assigned investigator clinical trial agreement. Takeda also assigned to the Company its exclusive license agreement, or the Viracta License Agreement, with Viracta Therapeutics, Inc. (f/k/a Sunesis Pharmaceuticals, Inc.), or Viracta. Takeda also granted the Company a worldwide, sublicensable exclusive license under specified patents and know-how and non-exclusive license under other patents and know-how generated by Takeda under the Takeda Asset Agreement. The Company also granted Takeda a grant back license, as defined in the Takeda Asset Agreement, which is terminable either automatically or by the Company in the event Takeda does not achieve specified development milestones within the applicable timeframes set forth under the Takeda Asset Agreement. This grant back license to Takeda was terminated at the time of conversion in connection with the Millennium Stock Exchange Agreement.</w:t>
      </w:r>
    </w:p>
    <w:p>
      <w:pPr>
        <w:spacing w:after="0" w:line="79" w:lineRule="exact"/>
        <w:rPr>
          <w:sz w:val="20"/>
          <w:szCs w:val="20"/>
          <w:color w:val="auto"/>
        </w:rPr>
      </w:pPr>
    </w:p>
    <w:p>
      <w:pPr>
        <w:ind w:left="512" w:firstLine="509"/>
        <w:spacing w:after="0" w:line="255" w:lineRule="auto"/>
        <w:rPr>
          <w:sz w:val="20"/>
          <w:szCs w:val="20"/>
          <w:color w:val="auto"/>
        </w:rPr>
      </w:pPr>
      <w:r>
        <w:rPr>
          <w:rFonts w:ascii="Times New Roman" w:cs="Times New Roman" w:eastAsia="Times New Roman" w:hAnsi="Times New Roman"/>
          <w:sz w:val="18"/>
          <w:szCs w:val="18"/>
          <w:color w:val="auto"/>
        </w:rPr>
        <w:t>The term of the Takeda Asset Agreement will expire on a country-by-country basis upon expiration of all assigned patent rights and all licensed patent rights in such country. Takeda may terminate the Takeda Asset Agreement prior to the Company's first commercial sale of a product if the Company ceases conducting any development activities for a continuous and specified period of time and such cessation is not agreed upon by the parties and is not done in response to guidance from a regulatory authority. Additionally, Takeda can terminate the Takeda Asset Agreement in the event of the Company's bankruptcy. In the event of termination of the Takeda Asset Agreement by Takeda as a result of the Company's cessation of development or bankruptcy, all assigned patents, know-how and contracts (other than the Viracta License Agreement) will be assigned back to Takeda and Takeda will obtain a reversion license under patents and know-how generated to exploit all such terminated products.</w:t>
      </w:r>
    </w:p>
    <w:p>
      <w:pPr>
        <w:spacing w:after="0" w:line="81" w:lineRule="exact"/>
        <w:rPr>
          <w:sz w:val="20"/>
          <w:szCs w:val="20"/>
          <w:color w:val="auto"/>
        </w:rPr>
      </w:pPr>
    </w:p>
    <w:p>
      <w:pPr>
        <w:ind w:left="512" w:right="20" w:firstLine="509"/>
        <w:spacing w:after="0" w:line="256" w:lineRule="auto"/>
        <w:rPr>
          <w:sz w:val="20"/>
          <w:szCs w:val="20"/>
          <w:color w:val="auto"/>
        </w:rPr>
      </w:pPr>
      <w:r>
        <w:rPr>
          <w:rFonts w:ascii="Times New Roman" w:cs="Times New Roman" w:eastAsia="Times New Roman" w:hAnsi="Times New Roman"/>
          <w:sz w:val="18"/>
          <w:szCs w:val="18"/>
          <w:color w:val="auto"/>
        </w:rPr>
        <w:t>In consideration for the sale and assignment of assets and the grant of the license under the Takeda Asset Agreement, the Company made an upfront payment of $1.0 million in cash and issued 9,857,143 shares of Series A redeemable convertible preferred stock in the Company’s subsidiary in December 2019. The fair value of issued shares was estimated as $9.9 million, based on the price paid by other investors for issued shares in the Series A financing of the Company’s subsidiary. Based on the terms of the Millennium Stock Exchange Agreement, Takeda exchanged the 9,857,143 shares of Series A redeemable convertible preferred stock of the Company’s subsidiary for 6,470,382 shares of the Company's common stock upon the effectiveness of the conversion, on May 26, 2021.</w:t>
      </w:r>
    </w:p>
    <w:p>
      <w:pPr>
        <w:spacing w:after="0" w:line="75"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i w:val="1"/>
          <w:iCs w:val="1"/>
          <w:color w:val="auto"/>
        </w:rPr>
        <w:t>Viracta license agreement</w:t>
      </w:r>
    </w:p>
    <w:p>
      <w:pPr>
        <w:spacing w:after="0" w:line="121" w:lineRule="exact"/>
        <w:rPr>
          <w:sz w:val="20"/>
          <w:szCs w:val="20"/>
          <w:color w:val="auto"/>
        </w:rPr>
      </w:pPr>
    </w:p>
    <w:p>
      <w:pPr>
        <w:ind w:left="512" w:right="60" w:firstLine="509"/>
        <w:spacing w:after="0" w:line="258" w:lineRule="auto"/>
        <w:rPr>
          <w:sz w:val="20"/>
          <w:szCs w:val="20"/>
          <w:color w:val="auto"/>
        </w:rPr>
      </w:pPr>
      <w:r>
        <w:rPr>
          <w:rFonts w:ascii="Times New Roman" w:cs="Times New Roman" w:eastAsia="Times New Roman" w:hAnsi="Times New Roman"/>
          <w:sz w:val="18"/>
          <w:szCs w:val="18"/>
          <w:color w:val="auto"/>
        </w:rPr>
        <w:t>On December 16, 2019, a subsidiary of the Company amended and restated the Viracta License Agreement that was assigned pursuant to the Takeda Asset Agreement. Effective December 31, 2021, the subsidiary was merged with and into the Company, with the Company being the surviving corporation and assuming the subsidiary’s obligations under Viracta License Agreement. Under the Viracta License Agreement, the Company received a worldwide exclusive license under specified patent rights and know-how to develop, use, manufacture, and commercialize products containing compounds binding the RAF protein family.</w:t>
      </w:r>
    </w:p>
    <w:p>
      <w:pPr>
        <w:spacing w:after="0" w:line="75" w:lineRule="exact"/>
        <w:rPr>
          <w:sz w:val="20"/>
          <w:szCs w:val="20"/>
          <w:color w:val="auto"/>
        </w:rPr>
      </w:pPr>
    </w:p>
    <w:p>
      <w:pPr>
        <w:ind w:left="512" w:right="360" w:firstLine="509"/>
        <w:spacing w:after="0" w:line="257" w:lineRule="auto"/>
        <w:rPr>
          <w:sz w:val="20"/>
          <w:szCs w:val="20"/>
          <w:color w:val="auto"/>
        </w:rPr>
      </w:pPr>
      <w:r>
        <w:rPr>
          <w:rFonts w:ascii="Times New Roman" w:cs="Times New Roman" w:eastAsia="Times New Roman" w:hAnsi="Times New Roman"/>
          <w:sz w:val="18"/>
          <w:szCs w:val="18"/>
          <w:color w:val="auto"/>
        </w:rPr>
        <w:t>The term of the Viracta License Agreement will expire on a licensed product-by-licensed product and country-by-country basis upon the expiration of the Company’s obligation to pay royalties to Viracta with respect to such product in such country. The Company has the right to terminate the Viracta License Agreement with respect to any or all of the licensed products at will upon a specified notice period.</w:t>
      </w:r>
    </w:p>
    <w:p>
      <w:pPr>
        <w:spacing w:after="0" w:line="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464820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765" w:right="359" w:bottom="1440" w:gutter="0" w:footer="0" w:header="0"/>
        </w:sectPr>
      </w:pPr>
    </w:p>
    <w:bookmarkStart w:id="13" w:name="page14"/>
    <w:bookmarkEnd w:id="13"/>
    <w:p>
      <w:pPr>
        <w:ind w:left="3380"/>
        <w:spacing w:after="0"/>
        <w:rPr>
          <w:sz w:val="20"/>
          <w:szCs w:val="20"/>
          <w:color w:val="auto"/>
        </w:rPr>
      </w:pPr>
      <w:r>
        <w:rPr>
          <w:rFonts w:ascii="Times New Roman" w:cs="Times New Roman" w:eastAsia="Times New Roman" w:hAnsi="Times New Roman"/>
          <w:sz w:val="18"/>
          <w:szCs w:val="18"/>
          <w:b w:val="1"/>
          <w:bCs w:val="1"/>
          <w:color w:val="auto"/>
        </w:rPr>
        <w:t>Notes to the Condensed Financial Statements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paid $2.0 million upfront in cash to Viracta, which was recorded as research and development expenses as the technology does not have an alternative future use. On March 4, 2024, the Company entered into an amendment to the Viracta License Agreement. As part of the amendment, the Company made a one-time payment in March 2024 to Viracta of $5.0 million, which was recorded as research and development expenses, in exchange for reduced future payment obligations ranging from the mid-teens to the high single-digit percentage related to the future sale or use of the priority review voucher received as disclosed in Note 11.</w:t>
      </w:r>
    </w:p>
    <w:p>
      <w:pPr>
        <w:spacing w:after="0" w:line="75"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As of March 31, 2024, the Company could be required to make additional milestone payments of up to $49.0 million upon achievement of specified development and regulatory milestones for each licensed product in two indications, with milestones payable for the second indication upon achievement of a specified milestone event being lower than milestones payable for the first indication. Subsequent to March 31, 2024, a milestone related to the Viracta License Agreement was achieved as disclosed in Note 11. Commencing on the first commercial sale of a licensed product in a country, the Company is obligated to pay tiered royalties ranging in the mid-single-digit percentages on net sales of licensed products. The obligation to pay royalties will end on a country-by-country and licensed product-by-licensed product basis commencing on the first commercial sale in a country and continuing until the later of: (i) the expiration of the last valid claim of the Viracta licensed patents, jointly owned collaboration patents or specified patents owned by the Company covering the use or sale of such product in such country, (ii) the expiration of the last statutory exclusivity pertaining to such product in such country or (iii) the tenth anniversary of the first commercial sale of such product in such country.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Merck KGaA, Darmstadt, Germany</w:t>
      </w:r>
    </w:p>
    <w:p>
      <w:pPr>
        <w:spacing w:after="0" w:line="121" w:lineRule="exact"/>
        <w:rPr>
          <w:sz w:val="20"/>
          <w:szCs w:val="20"/>
          <w:color w:val="auto"/>
        </w:rPr>
      </w:pPr>
    </w:p>
    <w:p>
      <w:pPr>
        <w:ind w:right="520" w:firstLine="509"/>
        <w:spacing w:after="0" w:line="261" w:lineRule="auto"/>
        <w:rPr>
          <w:sz w:val="20"/>
          <w:szCs w:val="20"/>
          <w:color w:val="auto"/>
        </w:rPr>
      </w:pPr>
      <w:r>
        <w:rPr>
          <w:rFonts w:ascii="Times New Roman" w:cs="Times New Roman" w:eastAsia="Times New Roman" w:hAnsi="Times New Roman"/>
          <w:sz w:val="18"/>
          <w:szCs w:val="18"/>
          <w:color w:val="auto"/>
        </w:rPr>
        <w:t>On February 10, 2021, a subsidiary of the Company entered into a license agreement, or the MRKDG License Agreement, with Merck KGaA, Darmstadt, Germany, a pharmaceutical corporation located in Darmstadt, Germany. Effective December 31, 2021, the subsidiary was merged with and into the Company, with the Company being the surviving corporation and assuming the subsidiary’s obligations under the MRKDG License Agreement.</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Under the MRKDG License Agreement, Merck KGaA, Darmstadt, Germany granted to the Company an exclusive worldwide license, with the right to grant sublicenses through multiple tiers, under specified patent rights and know-how for the Company to research, develop, manufacture and commercialize products containing and comprising the pimasertib and MSC2015103B compounds. The Company also received clinical inventory supplies to use in its research and development activities. The Company's exclusive license grant is subject to a non-exclusive license granted by Merck KGaA, Darmstadt, Germany’s affiliate to a cancer research organization and Merck KGaA, Darmstadt, Germany retains the right to conduct, directly or indirectly, certain ongoing clinical studies relating to pimasertib. Under the MRKDG License Agreement, the Company has obligations to use commercially reasonable efforts to develop and commercialize at least two licensed products in at least two specified major market countries by the year 2029.</w:t>
      </w:r>
    </w:p>
    <w:p>
      <w:pPr>
        <w:spacing w:after="0" w:line="8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term of the MRKDG License Agreement will expire on a licensed product-by-licensed product and country-by-country basis upon the expiration of the Company's obligation to pay royalties to the licensor with respect to such licensed product in such country and will expire in its entirety upon the expiration of all of the Company's payment obligations with respect to all licensed products and all countries under the MRKDG License Agreement.</w:t>
      </w:r>
    </w:p>
    <w:p>
      <w:pPr>
        <w:spacing w:after="0" w:line="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consideration for the rights granted under the MRKDG License Agreement and clinical supplies, the Company made an upfront payment of $8.0 million, which was recorded as research and development expenses, as the technology does not have an alternative future use and supplies are used for research activities. As of March 31, 2024, the Company could be required to make additional payments of up to $364.5 million based upon the achievement of specified development, regulatory, and commercial milestones, as well a high, single-digit royalty percentage on future net sales of licensed products, if any. Milestones and royalties are contingent upon future events and will be recorded when the milestones are achieved and when payments are due.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 with Sprint Bioscience AB</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August 15, 2023, the Company entered into a research collaboration and license agreement, or the Sprint License Agreement, with Sprint Bioscience AB, or Sprint, a Swedish corporation located in Huddinge, Sweden. Under the Sprint License Agreement, Sprint granted to the Company an exclusive, worldwide license, with the right to grant sublicenses through multiple tiers, to research, develop, and commercialize pharmaceutical products and to engage in research aimed at discovery, optimization and development of Vaccinia Related Kinase 1, or VRK1.</w:t>
      </w:r>
    </w:p>
    <w:p>
      <w:pPr>
        <w:spacing w:after="0" w:line="7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term of the Sprint License Agreement will expire on a licensed product and country basis upon the expiration of the royalty term with respect to such licensed product and such country, unless terminated earlier. The Company has the right to terminate the Sprint License Agreement in its entirety, or on a licensed product-by-licensed product basis, at will upon a specified notice period.</w:t>
      </w:r>
    </w:p>
    <w:p>
      <w:pPr>
        <w:spacing w:after="0" w:line="6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paid $3.0 million upfront in cash to Sprint, which was recorded as research and development expenses as the technology does not have an alternative future use. As of March 31, 2024, the Company could be required to make milestone</w:t>
      </w:r>
    </w:p>
    <w:p>
      <w:pPr>
        <w:jc w:val="center"/>
        <w:ind w:right="50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464820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76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Financial Statements</w:t>
      </w:r>
    </w:p>
    <w:p>
      <w:pPr>
        <w:spacing w:after="0" w:line="121" w:lineRule="exact"/>
        <w:rPr>
          <w:sz w:val="20"/>
          <w:szCs w:val="20"/>
          <w:color w:val="auto"/>
        </w:rPr>
      </w:pPr>
    </w:p>
    <w:p>
      <w:pPr>
        <w:ind w:left="520"/>
        <w:spacing w:after="0" w:line="266" w:lineRule="auto"/>
        <w:rPr>
          <w:sz w:val="20"/>
          <w:szCs w:val="20"/>
          <w:color w:val="auto"/>
        </w:rPr>
      </w:pPr>
      <w:r>
        <w:rPr>
          <w:rFonts w:ascii="Times New Roman" w:cs="Times New Roman" w:eastAsia="Times New Roman" w:hAnsi="Times New Roman"/>
          <w:sz w:val="18"/>
          <w:szCs w:val="18"/>
          <w:color w:val="auto"/>
        </w:rPr>
        <w:t>payments of up to $309.0 million based upon achievement of specified development, regulatory, and commercial milestones for each licensed product, as well as tiered royalties ranging in the single-digit percentages on future net sales of licensed products, if any. Milestones and royalties are contingent upon future events and will be recorded when the milestones are achieved and when payments are due.</w:t>
      </w:r>
    </w:p>
    <w:p>
      <w:pPr>
        <w:spacing w:after="0" w:line="280" w:lineRule="exact"/>
        <w:rPr>
          <w:sz w:val="20"/>
          <w:szCs w:val="20"/>
          <w:color w:val="auto"/>
        </w:rPr>
      </w:pPr>
    </w:p>
    <w:p>
      <w:pPr>
        <w:ind w:left="520" w:right="8180" w:hanging="512"/>
        <w:spacing w:after="0" w:line="378" w:lineRule="auto"/>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Leases</w:t>
      </w:r>
    </w:p>
    <w:p>
      <w:pPr>
        <w:ind w:left="520" w:firstLine="509"/>
        <w:spacing w:after="0" w:line="254" w:lineRule="auto"/>
        <w:rPr>
          <w:sz w:val="20"/>
          <w:szCs w:val="20"/>
          <w:color w:val="auto"/>
        </w:rPr>
      </w:pPr>
      <w:r>
        <w:rPr>
          <w:rFonts w:ascii="Times New Roman" w:cs="Times New Roman" w:eastAsia="Times New Roman" w:hAnsi="Times New Roman"/>
          <w:sz w:val="18"/>
          <w:szCs w:val="18"/>
          <w:color w:val="auto"/>
        </w:rPr>
        <w:t>In April 2022, the Company entered into a lease agreement for approximately 12,000 square feet of general use office space in Brisbane, California. Such agreement was determined to be a lease since the right to control the use of the identified asset was conveyed to the Company for a period of time in exchange for consideration. The term of the lease is 31 months and commenced in May 2022. There is no option to extend the lease term nor is there an option to terminate the lease term prior to its expiration. The Company is obligated to pay monthly rent expense and its pro rata share of the landlord's operating expenses which include utilities, common area maintenance expenses, and property taxes. Such expenses are a non-lease component and a variable consideration and included in the Company's operating expenses as incurred. The Company concluded that this lease is also an operating lease. The total payments for base rent over the term of the lease is approximately $1.1 million. Upon execution of the agreement, the Company paid a security deposit of approximately $40,000 classified as deposits and other long-term assets on the condensed balance sheet.</w:t>
      </w:r>
    </w:p>
    <w:p>
      <w:pPr>
        <w:spacing w:after="0" w:line="80" w:lineRule="exact"/>
        <w:rPr>
          <w:sz w:val="20"/>
          <w:szCs w:val="20"/>
          <w:color w:val="auto"/>
        </w:rPr>
      </w:pPr>
    </w:p>
    <w:p>
      <w:pPr>
        <w:ind w:left="520"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determined the lease incremental borrowing rate, or IBR, based on the information available at the applicable lease commencement date as the Company’s leases do not provide an implicit rate. The IBR is determined by using the rate of interest that the Company would pay to borrow on a collateralized basis an amount equal to the lease payments for a similar term and in a similar economic environment where the asset is located. As of March 31, 2024, the weighted-average remaining lease term and weighted-average discount rate were 0.7 years and 9.0%, respectively.</w:t>
      </w:r>
    </w:p>
    <w:p>
      <w:pPr>
        <w:spacing w:after="0" w:line="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Company’s lease does not require any contingent rental payments, impose financial restrictions, or contain any residual value guarantees.</w:t>
      </w:r>
    </w:p>
    <w:p>
      <w:pPr>
        <w:spacing w:after="0" w:line="129" w:lineRule="exact"/>
        <w:rPr>
          <w:sz w:val="20"/>
          <w:szCs w:val="20"/>
          <w:color w:val="auto"/>
        </w:rPr>
      </w:pPr>
    </w:p>
    <w:p>
      <w:pPr>
        <w:ind w:left="520" w:right="20" w:firstLine="509"/>
        <w:spacing w:after="0" w:line="261" w:lineRule="auto"/>
        <w:rPr>
          <w:sz w:val="20"/>
          <w:szCs w:val="20"/>
          <w:color w:val="auto"/>
        </w:rPr>
      </w:pPr>
      <w:r>
        <w:rPr>
          <w:rFonts w:ascii="Times New Roman" w:cs="Times New Roman" w:eastAsia="Times New Roman" w:hAnsi="Times New Roman"/>
          <w:sz w:val="18"/>
          <w:szCs w:val="18"/>
          <w:color w:val="auto"/>
        </w:rPr>
        <w:t>Lease expense of right-of-use assets is recognized on a straight-line basis over the applicable lease term. Lease expense was $0.1 million for each of the three months ended March 31, 2024 and 2023. Cash paid for amounts included in the measurement of operating lease liabilities was $0.1 million for each of the three months ended March 31, 2024 and 2023. Variable payments expensed during the three months ended March 31, 2024 and 2023 were immaterial.</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As of March 31, 2024, the future lease obligations were as follows (in thousands):</w:t>
            </w:r>
          </w:p>
        </w:tc>
        <w:tc>
          <w:tcPr>
            <w:tcW w:w="340" w:type="dxa"/>
            <w:vAlign w:val="bottom"/>
          </w:tcPr>
          <w:p>
            <w:pPr>
              <w:spacing w:after="0"/>
              <w:rPr>
                <w:sz w:val="20"/>
                <w:szCs w:val="20"/>
                <w:color w:val="auto"/>
              </w:rPr>
            </w:pPr>
          </w:p>
        </w:tc>
        <w:tc>
          <w:tcPr>
            <w:tcW w:w="170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07"/>
        </w:trPr>
        <w:tc>
          <w:tcPr>
            <w:tcW w:w="9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9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9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Remaining in 2024</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3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4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7"/>
        </w:trPr>
        <w:tc>
          <w:tcPr>
            <w:tcW w:w="92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portion of operating lease liabilities</w:t>
            </w:r>
          </w:p>
        </w:tc>
        <w:tc>
          <w:tcPr>
            <w:tcW w:w="34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(300 )</w:t>
            </w:r>
          </w:p>
        </w:tc>
        <w:tc>
          <w:tcPr>
            <w:tcW w:w="0" w:type="dxa"/>
            <w:vAlign w:val="bottom"/>
          </w:tcPr>
          <w:p>
            <w:pPr>
              <w:spacing w:after="0"/>
              <w:rPr>
                <w:sz w:val="1"/>
                <w:szCs w:val="1"/>
                <w:color w:val="auto"/>
              </w:rPr>
            </w:pPr>
          </w:p>
        </w:tc>
      </w:tr>
      <w:tr>
        <w:trPr>
          <w:trHeight w:val="237"/>
        </w:trPr>
        <w:tc>
          <w:tcPr>
            <w:tcW w:w="92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Agreements</w:t>
      </w:r>
    </w:p>
    <w:p>
      <w:pPr>
        <w:spacing w:after="0" w:line="121" w:lineRule="exact"/>
        <w:rPr>
          <w:sz w:val="20"/>
          <w:szCs w:val="20"/>
          <w:color w:val="auto"/>
        </w:rPr>
      </w:pPr>
    </w:p>
    <w:p>
      <w:pPr>
        <w:ind w:left="520"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clinical research organizations, contract manufacturing organizations, and other third-party vendors for clinical trial, manufacturing, testing, and other research and development activities. These contracts generally provide for termination on notice, with the exception of one vendor where certain costs are non-cancellable after the approval of the project. As of March 31, 2024 and December 31, 2023, there were no amounts accrued related to termination and cancellation charges as these are not probable.</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ind w:left="520" w:right="20" w:firstLine="509"/>
        <w:spacing w:after="0" w:line="253" w:lineRule="auto"/>
        <w:rPr>
          <w:sz w:val="20"/>
          <w:szCs w:val="20"/>
          <w:color w:val="auto"/>
        </w:rPr>
      </w:pPr>
      <w:r>
        <w:rPr>
          <w:rFonts w:ascii="Times New Roman" w:cs="Times New Roman" w:eastAsia="Times New Roman" w:hAnsi="Times New Roman"/>
          <w:sz w:val="18"/>
          <w:szCs w:val="18"/>
          <w:color w:val="auto"/>
        </w:rPr>
        <w:t>The Company entered into the license agreements, as disclosed in Note 5, pursuant to which the Company is required to pay milestones contingent upon meeting specific events. The first milestone of $2.5 million, related to the MRKDG License Agreement, was achieved and recorded to research and development during the year ended December 31, 2022. The second milestone of $5.0 million, related to the Viracta License Agreement, was achieved and recorded to research and development expense during the year ended December 31, 2023. The Company may be required to pay royalties on sales of products developed under these agreements. All products are in development as of March 31, 2024 and no such royalties were due. Subsequent to March 31, 2024, the U.S. Federal Drug Administration, or the FDA, approved the Company's New Drug Applications, or NDAs, for the tablet formulation and for the powder solution formulation of OJEMDA for the treatment of patients 6 months of age and older with relapsed or refractory pLGG harboring a BRAF fusion or rearrangement, or BRAF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Financial Statements</w:t>
      </w:r>
    </w:p>
    <w:p>
      <w:pPr>
        <w:spacing w:after="0" w:line="121" w:lineRule="exact"/>
        <w:rPr>
          <w:sz w:val="20"/>
          <w:szCs w:val="20"/>
          <w:color w:val="auto"/>
        </w:rPr>
      </w:pPr>
    </w:p>
    <w:p>
      <w:pPr>
        <w:ind w:left="520" w:right="80"/>
        <w:spacing w:after="0" w:line="282" w:lineRule="auto"/>
        <w:rPr>
          <w:sz w:val="20"/>
          <w:szCs w:val="20"/>
          <w:color w:val="auto"/>
        </w:rPr>
      </w:pPr>
      <w:r>
        <w:rPr>
          <w:rFonts w:ascii="Times New Roman" w:cs="Times New Roman" w:eastAsia="Times New Roman" w:hAnsi="Times New Roman"/>
          <w:sz w:val="18"/>
          <w:szCs w:val="18"/>
          <w:color w:val="auto"/>
        </w:rPr>
        <w:t>V600 mutation as disclosed in Note 11. Commencing on the first commercial sale of OJEMDA in a country, the Company is obligated to pay tiered royalties ranging in the mid-single-digit percentages on net sales of licensed products under the Viracta License Agreement.</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left="520" w:right="40" w:firstLine="509"/>
        <w:spacing w:after="0" w:line="281" w:lineRule="auto"/>
        <w:rPr>
          <w:sz w:val="20"/>
          <w:szCs w:val="20"/>
          <w:color w:val="auto"/>
        </w:rPr>
      </w:pPr>
      <w:r>
        <w:rPr>
          <w:rFonts w:ascii="Times New Roman" w:cs="Times New Roman" w:eastAsia="Times New Roman" w:hAnsi="Times New Roman"/>
          <w:sz w:val="17"/>
          <w:szCs w:val="17"/>
          <w:color w:val="auto"/>
        </w:rPr>
        <w:t>To support product needs for OJEMDA, the Company has entered into a manufacturing and supply agreement with Quotient Sciences - Philadelphia, LLC in July 2023 that requires the Company to meet minimum purchase obligations on an annual basis. The amount of future minimum purchase obligations under the manufacturing and supply agreement over the next five years is approximately $16.7 million, in aggregate, as of March 31, 2024. For the three months ended March 31, 2024, the Company made purchases of $0.5 million under the purchase obligation.</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520"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from time to time, may be party to litigation, claims and assessments arising in the ordinary course of business. The Company accrues liabilities for such matters when it is probable that future expenditures will be made and such expenditures can be reasonably estimated. The Company is not subject to any material legal proceedings, and to the best of its knowledge, no material legal proceedings are currently pending or threatened.</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left="520" w:firstLine="509"/>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indemnification for certain liabilities. The exposure under these agreements is unknown because it involves claims that may be made against it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directors and executive officers for specified events or occurrences, subject to some limits, while they are serving at its request in such capacities. There have been no claims to date, and the Company believes the fair value of these indemnification agreements is minimal. Accordingly, the Company had not recorded any liabilities for these agreements as of March 31, 2024 and December 31, 2023.</w:t>
      </w:r>
    </w:p>
    <w:p>
      <w:pPr>
        <w:spacing w:after="0" w:line="296"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520" w:right="580" w:firstLine="509"/>
        <w:spacing w:after="0" w:line="282" w:lineRule="auto"/>
        <w:rPr>
          <w:sz w:val="20"/>
          <w:szCs w:val="20"/>
          <w:color w:val="auto"/>
        </w:rPr>
      </w:pPr>
      <w:r>
        <w:rPr>
          <w:rFonts w:ascii="Times New Roman" w:cs="Times New Roman" w:eastAsia="Times New Roman" w:hAnsi="Times New Roman"/>
          <w:sz w:val="18"/>
          <w:szCs w:val="18"/>
          <w:color w:val="auto"/>
        </w:rPr>
        <w:t>Pursuant to its certificate of incorporation, the Company is authorized to issue 500.0 million shares of common stock at a par value of $0.0001 per share. As of March 31, 2024, 87,377,163 shares of common stock were issued and outstanding.</w:t>
      </w:r>
    </w:p>
    <w:p>
      <w:pPr>
        <w:spacing w:after="0" w:line="5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Company has reserved shares of common stock for future issuances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266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87"/>
        </w:trPr>
        <w:tc>
          <w:tcPr>
            <w:tcW w:w="8580" w:type="dxa"/>
            <w:vAlign w:val="bottom"/>
          </w:tcPr>
          <w:p>
            <w:pPr>
              <w:spacing w:after="0"/>
              <w:rPr>
                <w:sz w:val="16"/>
                <w:szCs w:val="16"/>
                <w:color w:val="auto"/>
              </w:rPr>
            </w:pPr>
          </w:p>
        </w:tc>
        <w:tc>
          <w:tcPr>
            <w:tcW w:w="2560" w:type="dxa"/>
            <w:vAlign w:val="bottom"/>
            <w:tcBorders>
              <w:bottom w:val="single" w:sz="8" w:color="auto"/>
            </w:tcBorders>
          </w:tcPr>
          <w:p>
            <w:pPr>
              <w:jc w:val="right"/>
              <w:ind w:right="10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232"/>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options issued and outstanding</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12,404,090</w:t>
            </w:r>
          </w:p>
        </w:tc>
        <w:tc>
          <w:tcPr>
            <w:tcW w:w="100" w:type="dxa"/>
            <w:vAlign w:val="bottom"/>
          </w:tcPr>
          <w:p>
            <w:pPr>
              <w:spacing w:after="0"/>
              <w:rPr>
                <w:sz w:val="20"/>
                <w:szCs w:val="20"/>
                <w:color w:val="auto"/>
              </w:rPr>
            </w:pPr>
          </w:p>
        </w:tc>
      </w:tr>
      <w:tr>
        <w:trPr>
          <w:trHeight w:val="247"/>
        </w:trPr>
        <w:tc>
          <w:tcPr>
            <w:tcW w:w="8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available for future grants</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3,409,984</w:t>
            </w:r>
          </w:p>
        </w:tc>
        <w:tc>
          <w:tcPr>
            <w:tcW w:w="100" w:type="dxa"/>
            <w:vAlign w:val="bottom"/>
            <w:shd w:val="clear" w:color="auto" w:fill="CFF0FC"/>
          </w:tcPr>
          <w:p>
            <w:pPr>
              <w:spacing w:after="0"/>
              <w:rPr>
                <w:sz w:val="21"/>
                <w:szCs w:val="21"/>
                <w:color w:val="auto"/>
              </w:rPr>
            </w:pPr>
          </w:p>
        </w:tc>
      </w:tr>
      <w:tr>
        <w:trPr>
          <w:trHeight w:val="239"/>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available for ESPP</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2,593,187</w:t>
            </w:r>
          </w:p>
        </w:tc>
        <w:tc>
          <w:tcPr>
            <w:tcW w:w="100" w:type="dxa"/>
            <w:vAlign w:val="bottom"/>
          </w:tcPr>
          <w:p>
            <w:pPr>
              <w:spacing w:after="0"/>
              <w:rPr>
                <w:sz w:val="20"/>
                <w:szCs w:val="20"/>
                <w:color w:val="auto"/>
              </w:rPr>
            </w:pPr>
          </w:p>
        </w:tc>
      </w:tr>
      <w:tr>
        <w:trPr>
          <w:trHeight w:val="243"/>
        </w:trPr>
        <w:tc>
          <w:tcPr>
            <w:tcW w:w="8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 issued and outstanding</w:t>
            </w:r>
          </w:p>
        </w:tc>
        <w:tc>
          <w:tcPr>
            <w:tcW w:w="2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2,243,998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20,651,259</w:t>
            </w:r>
          </w:p>
        </w:tc>
        <w:tc>
          <w:tcPr>
            <w:tcW w:w="100" w:type="dxa"/>
            <w:vAlign w:val="bottom"/>
          </w:tcPr>
          <w:p>
            <w:pPr>
              <w:spacing w:after="0"/>
              <w:rPr>
                <w:sz w:val="20"/>
                <w:szCs w:val="20"/>
                <w:color w:val="auto"/>
              </w:rPr>
            </w:pPr>
          </w:p>
        </w:tc>
      </w:tr>
      <w:tr>
        <w:trPr>
          <w:trHeight w:val="20"/>
        </w:trPr>
        <w:tc>
          <w:tcPr>
            <w:tcW w:w="8580" w:type="dxa"/>
            <w:vAlign w:val="bottom"/>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June 2023 Follow-On Offering</w:t>
      </w:r>
    </w:p>
    <w:p>
      <w:pPr>
        <w:spacing w:after="0" w:line="121" w:lineRule="exact"/>
        <w:rPr>
          <w:sz w:val="20"/>
          <w:szCs w:val="20"/>
          <w:color w:val="auto"/>
        </w:rPr>
      </w:pPr>
    </w:p>
    <w:p>
      <w:pPr>
        <w:jc w:val="both"/>
        <w:ind w:left="520" w:right="160" w:firstLine="509"/>
        <w:spacing w:after="0" w:line="266" w:lineRule="auto"/>
        <w:rPr>
          <w:sz w:val="20"/>
          <w:szCs w:val="20"/>
          <w:color w:val="auto"/>
        </w:rPr>
      </w:pPr>
      <w:r>
        <w:rPr>
          <w:rFonts w:ascii="Times New Roman" w:cs="Times New Roman" w:eastAsia="Times New Roman" w:hAnsi="Times New Roman"/>
          <w:sz w:val="18"/>
          <w:szCs w:val="18"/>
          <w:color w:val="auto"/>
        </w:rPr>
        <w:t>In June 2023, the Company completed a follow-on offering and issued and sold 13,269,231 shares of common stock (including the exercise by the underwriters of their option to purchase an additional 1,730,769 shares of common stock) at a price to the public of $13.00 per share for net proceeds of approximately $161.4 million, after deducting underwriting discounts, commissions, and offering costs.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121" w:lineRule="exact"/>
        <w:rPr>
          <w:sz w:val="20"/>
          <w:szCs w:val="20"/>
          <w:color w:val="auto"/>
        </w:rPr>
      </w:pPr>
    </w:p>
    <w:p>
      <w:pPr>
        <w:ind w:left="520" w:right="160" w:firstLine="509"/>
        <w:spacing w:after="0" w:line="258" w:lineRule="auto"/>
        <w:rPr>
          <w:sz w:val="20"/>
          <w:szCs w:val="20"/>
          <w:color w:val="auto"/>
        </w:rPr>
      </w:pPr>
      <w:r>
        <w:rPr>
          <w:rFonts w:ascii="Times New Roman" w:cs="Times New Roman" w:eastAsia="Times New Roman" w:hAnsi="Times New Roman"/>
          <w:sz w:val="18"/>
          <w:szCs w:val="18"/>
          <w:color w:val="auto"/>
        </w:rPr>
        <w:t>The Company has entered into an equity distribution agreement, or the Equity Distribution Agreement, with Piper Sandler &amp; Co. and JonesTrading Institutional Services LLC, as sales agents, relating to the issuance and sale of shares of the Company’s common stock for an aggregate offering price of up to $250.0 million under an at-the-market offering program, or the ATM. The Company has no obligation to sell any shares and could at any time suspend solicitations and offers under the ATM. No shares of the Company’s common stock have been sold under the ATM as of March 31, 2024.</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June 2022 Follow-On Offering</w:t>
      </w:r>
    </w:p>
    <w:p>
      <w:pPr>
        <w:spacing w:after="0" w:line="121" w:lineRule="exact"/>
        <w:rPr>
          <w:sz w:val="20"/>
          <w:szCs w:val="20"/>
          <w:color w:val="auto"/>
        </w:rPr>
      </w:pPr>
    </w:p>
    <w:p>
      <w:pPr>
        <w:jc w:val="both"/>
        <w:ind w:left="520" w:right="160" w:firstLine="509"/>
        <w:spacing w:after="0" w:line="257" w:lineRule="auto"/>
        <w:rPr>
          <w:sz w:val="20"/>
          <w:szCs w:val="20"/>
          <w:color w:val="auto"/>
        </w:rPr>
      </w:pPr>
      <w:r>
        <w:rPr>
          <w:rFonts w:ascii="Times New Roman" w:cs="Times New Roman" w:eastAsia="Times New Roman" w:hAnsi="Times New Roman"/>
          <w:sz w:val="18"/>
          <w:szCs w:val="18"/>
          <w:color w:val="auto"/>
        </w:rPr>
        <w:t>In June 2022, the Company completed a follow-on offering and issued and sold 11,500,000 shares of common stock (including the exercise by the underwriters of their option to purchase an additional 1,500,000 shares of common stock) at a price to the public of $15.00 per share for net proceeds of approximately $161.6 million, after deducting underwriting discounts, commissions, and offering costs.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Financial Statements</w:t>
      </w:r>
    </w:p>
    <w:p>
      <w:pPr>
        <w:spacing w:after="0" w:line="333"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Share-based compensation expense recorded in the accompanying condensed statements of operations is as follows (in thousands):</w:t>
      </w:r>
    </w:p>
    <w:p>
      <w:pPr>
        <w:spacing w:after="0" w:line="22"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00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6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100" w:type="dxa"/>
            <w:vAlign w:val="bottom"/>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00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12,644</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2022 Equity Inducement Plan</w:t>
      </w:r>
    </w:p>
    <w:p>
      <w:pPr>
        <w:spacing w:after="0" w:line="121" w:lineRule="exact"/>
        <w:rPr>
          <w:sz w:val="20"/>
          <w:szCs w:val="20"/>
          <w:color w:val="auto"/>
        </w:rPr>
      </w:pPr>
    </w:p>
    <w:p>
      <w:pPr>
        <w:ind w:left="520" w:right="160" w:firstLine="509"/>
        <w:spacing w:after="0" w:line="266" w:lineRule="auto"/>
        <w:rPr>
          <w:sz w:val="20"/>
          <w:szCs w:val="20"/>
          <w:color w:val="auto"/>
        </w:rPr>
      </w:pPr>
      <w:r>
        <w:rPr>
          <w:rFonts w:ascii="Times New Roman" w:cs="Times New Roman" w:eastAsia="Times New Roman" w:hAnsi="Times New Roman"/>
          <w:sz w:val="18"/>
          <w:szCs w:val="18"/>
          <w:color w:val="auto"/>
        </w:rPr>
        <w:t>In October 2022, the board of directors and stockholders approved the 2022 Equity Inducement Plan, or the 2022 Plan. The 2022 Plan provides for the grant of non-statutory stock options and restricted stock units. The number of shares of common stock reserved for issuance under the 2022 Plan is 1,000,000 shares.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21" w:lineRule="exact"/>
        <w:rPr>
          <w:sz w:val="20"/>
          <w:szCs w:val="20"/>
          <w:color w:val="auto"/>
        </w:rPr>
      </w:pPr>
    </w:p>
    <w:p>
      <w:pPr>
        <w:ind w:left="520" w:firstLine="509"/>
        <w:spacing w:after="0" w:line="253" w:lineRule="auto"/>
        <w:rPr>
          <w:sz w:val="20"/>
          <w:szCs w:val="20"/>
          <w:color w:val="auto"/>
        </w:rPr>
      </w:pPr>
      <w:r>
        <w:rPr>
          <w:rFonts w:ascii="Times New Roman" w:cs="Times New Roman" w:eastAsia="Times New Roman" w:hAnsi="Times New Roman"/>
          <w:sz w:val="18"/>
          <w:szCs w:val="18"/>
          <w:color w:val="auto"/>
        </w:rPr>
        <w:t>In May 2021, in connection with the IPO, the board of directors and stockholders approved, the 2021 Equity Incentive Plan, or the 2021 Plan, which became effective on the day before the date of the effectiveness of the IPO. The 2021 Plan provides for the grant of incentive stock options, non-statutory stock options, stock appreciation rights, awards of restricted stock, restricted stock units and other share-based awards. The number of shares of common stock reserved for issuance under the 2021 Plan is equal to the sum of: (x) 6,369,000 shares of common stock; plus (y) 4,719,605 shares of common stock issued in respect of the conversion of incentive shares that were subject to vesting immediately prior to the effectiveness of the registration statement for the IPO that expire, terminate or are otherwise surrendered, canceled, forfeited or repurchased by us at their original issuance price pursuant to a contractual repurchase right. The number of shares available for grant and issuance under the 2021 Plan will be automatically increased on the first day of each fiscal year, beginning with the fiscal year commencing on January 1, 2021 and continuing for each fiscal year until, and including, the fiscal year commencing on January 1, 2031, by the lesser of (a) 5% of the number of shares of all classes of the Company’s common stock, plus the total number of shares of Company common stock issuable upon conversion of any preferred stock or exercise of any warrants to acquire shares of Company common stock for a nominal exercise price issued and outstanding on each December 31 immediately prior to the date of increase or (b) such number of shares determined by the board of directors.</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provides a summary of stock option activity during the three months ended March 31, 2024.</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78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130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87"/>
        </w:trPr>
        <w:tc>
          <w:tcPr>
            <w:tcW w:w="454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7"/>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10,211,758</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220" w:type="dxa"/>
            <w:vAlign w:val="bottom"/>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2,277,282</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(4,862 )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(80,088 )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12,404,090</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7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March 31, 2024</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12,338,890</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at March 31, 2024</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5,485,361</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40" w:type="dxa"/>
            <w:vAlign w:val="bottom"/>
          </w:tcPr>
          <w:p>
            <w:pPr>
              <w:spacing w:after="0"/>
              <w:rPr>
                <w:sz w:val="24"/>
                <w:szCs w:val="24"/>
                <w:color w:val="auto"/>
              </w:rPr>
            </w:pPr>
          </w:p>
        </w:tc>
        <w:tc>
          <w:tcPr>
            <w:tcW w:w="15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45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-1087755</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Financial Statements</w:t>
      </w:r>
    </w:p>
    <w:p>
      <w:pPr>
        <w:spacing w:after="0" w:line="121" w:lineRule="exact"/>
        <w:rPr>
          <w:sz w:val="20"/>
          <w:szCs w:val="20"/>
          <w:color w:val="auto"/>
        </w:rPr>
      </w:pPr>
    </w:p>
    <w:p>
      <w:pPr>
        <w:ind w:left="520" w:right="20" w:firstLine="509"/>
        <w:spacing w:after="0" w:line="266" w:lineRule="auto"/>
        <w:rPr>
          <w:sz w:val="20"/>
          <w:szCs w:val="20"/>
          <w:color w:val="auto"/>
        </w:rPr>
      </w:pPr>
      <w:r>
        <w:rPr>
          <w:rFonts w:ascii="Times New Roman" w:cs="Times New Roman" w:eastAsia="Times New Roman" w:hAnsi="Times New Roman"/>
          <w:sz w:val="18"/>
          <w:szCs w:val="18"/>
          <w:color w:val="auto"/>
        </w:rPr>
        <w:t>Aggregate intrinsic value represents the difference between the estimated fair value of the underlying common stock and the exercise price of outstanding, in-the-money options. The total intrinsic value of options exercised during the three months ended March 31, 2024 and 2023 was less than $0.1 million and $0.6 million, respectively.</w:t>
      </w:r>
    </w:p>
    <w:p>
      <w:pPr>
        <w:spacing w:after="0" w:line="68" w:lineRule="exact"/>
        <w:rPr>
          <w:sz w:val="20"/>
          <w:szCs w:val="20"/>
          <w:color w:val="auto"/>
        </w:rPr>
      </w:pPr>
    </w:p>
    <w:p>
      <w:pPr>
        <w:ind w:left="520" w:right="140" w:firstLine="509"/>
        <w:spacing w:after="0" w:line="266" w:lineRule="auto"/>
        <w:rPr>
          <w:sz w:val="20"/>
          <w:szCs w:val="20"/>
          <w:color w:val="auto"/>
        </w:rPr>
      </w:pPr>
      <w:r>
        <w:rPr>
          <w:rFonts w:ascii="Times New Roman" w:cs="Times New Roman" w:eastAsia="Times New Roman" w:hAnsi="Times New Roman"/>
          <w:sz w:val="18"/>
          <w:szCs w:val="18"/>
          <w:color w:val="auto"/>
        </w:rPr>
        <w:t>The total fair value of options that vested during the three months ended March 31, 2024 and 2023 was $7.9 million and $6.3 million, respectively. The weighted-average grant date fair value of options granted during the three months ended March 31, 2024 and 2023 was $9.31 per share and $16.63 per share, respectively.</w:t>
      </w:r>
    </w:p>
    <w:p>
      <w:pPr>
        <w:spacing w:after="0" w:line="68" w:lineRule="exact"/>
        <w:rPr>
          <w:sz w:val="20"/>
          <w:szCs w:val="20"/>
          <w:color w:val="auto"/>
        </w:rPr>
      </w:pPr>
    </w:p>
    <w:p>
      <w:pPr>
        <w:ind w:left="520" w:right="60" w:firstLine="509"/>
        <w:spacing w:after="0" w:line="282" w:lineRule="auto"/>
        <w:rPr>
          <w:sz w:val="20"/>
          <w:szCs w:val="20"/>
          <w:color w:val="auto"/>
        </w:rPr>
      </w:pPr>
      <w:r>
        <w:rPr>
          <w:rFonts w:ascii="Times New Roman" w:cs="Times New Roman" w:eastAsia="Times New Roman" w:hAnsi="Times New Roman"/>
          <w:sz w:val="18"/>
          <w:szCs w:val="18"/>
          <w:color w:val="auto"/>
        </w:rPr>
        <w:t>Unamortized share-based compensation for stock options as of March 31, 2024 was $69.3 million, which is expected to be recognized over a weighted-average period of 2.6 years.</w:t>
      </w:r>
    </w:p>
    <w:p>
      <w:pPr>
        <w:spacing w:after="0" w:line="54" w:lineRule="exact"/>
        <w:rPr>
          <w:sz w:val="20"/>
          <w:szCs w:val="20"/>
          <w:color w:val="auto"/>
        </w:rPr>
      </w:pPr>
    </w:p>
    <w:p>
      <w:pPr>
        <w:ind w:left="520" w:right="440" w:firstLine="509"/>
        <w:spacing w:after="0" w:line="261" w:lineRule="auto"/>
        <w:rPr>
          <w:sz w:val="20"/>
          <w:szCs w:val="20"/>
          <w:color w:val="auto"/>
        </w:rPr>
      </w:pPr>
      <w:r>
        <w:rPr>
          <w:rFonts w:ascii="Times New Roman" w:cs="Times New Roman" w:eastAsia="Times New Roman" w:hAnsi="Times New Roman"/>
          <w:sz w:val="18"/>
          <w:szCs w:val="18"/>
          <w:color w:val="auto"/>
        </w:rPr>
        <w:t>The Company used the Black-Scholes option pricing model to estimate the fair value of stock option awards granted with the following assumptions:</w:t>
      </w:r>
    </w:p>
    <w:p>
      <w:pPr>
        <w:jc w:val="center"/>
        <w:ind w:left="4060"/>
        <w:spacing w:after="0" w:line="231" w:lineRule="auto"/>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40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80" w:type="dxa"/>
            <w:vAlign w:val="bottom"/>
          </w:tcPr>
          <w:p>
            <w:pPr>
              <w:spacing w:after="0"/>
              <w:rPr>
                <w:sz w:val="16"/>
                <w:szCs w:val="16"/>
                <w:color w:val="auto"/>
              </w:rPr>
            </w:pPr>
          </w:p>
        </w:tc>
        <w:tc>
          <w:tcPr>
            <w:tcW w:w="3440" w:type="dxa"/>
            <w:vAlign w:val="bottom"/>
            <w:tcBorders>
              <w:bottom w:val="single" w:sz="8" w:color="auto"/>
            </w:tcBorders>
            <w:gridSpan w:val="2"/>
          </w:tcPr>
          <w:p>
            <w:pPr>
              <w:jc w:val="right"/>
              <w:ind w:right="14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3420" w:type="dxa"/>
            <w:vAlign w:val="bottom"/>
            <w:tcBorders>
              <w:bottom w:val="single" w:sz="8" w:color="auto"/>
            </w:tcBorders>
            <w:gridSpan w:val="2"/>
          </w:tcPr>
          <w:p>
            <w:pPr>
              <w:jc w:val="right"/>
              <w:ind w:right="149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- 6.74</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- 6.25</w:t>
            </w: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- 70.57%</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- 81.98%</w:t>
            </w:r>
          </w:p>
        </w:tc>
      </w:tr>
      <w:tr>
        <w:trPr>
          <w:trHeight w:val="24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- 4.31%</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- 4.08%</w:t>
            </w: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0"/>
                <w:szCs w:val="20"/>
                <w:color w:val="auto"/>
              </w:rPr>
            </w:pPr>
          </w:p>
        </w:tc>
        <w:tc>
          <w:tcPr>
            <w:tcW w:w="3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provides a summary of restricted stock units activity during the three months ended March 31, 2024:</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90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6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190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 at December 31, 2023</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1,031,545</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1,390,330</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(157,724 )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(20,153 )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 at March 31, 2024</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2,243,998</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right="20" w:firstLine="509"/>
        <w:spacing w:after="0" w:line="282" w:lineRule="auto"/>
        <w:rPr>
          <w:sz w:val="20"/>
          <w:szCs w:val="20"/>
          <w:color w:val="auto"/>
        </w:rPr>
      </w:pPr>
      <w:r>
        <w:rPr>
          <w:rFonts w:ascii="Times New Roman" w:cs="Times New Roman" w:eastAsia="Times New Roman" w:hAnsi="Times New Roman"/>
          <w:sz w:val="18"/>
          <w:szCs w:val="18"/>
          <w:color w:val="auto"/>
        </w:rPr>
        <w:t>Unamortized share-based compensation for restricted stock units as of March 31, 2024 was $32.9 million, which is expected to be recognized over a weighted-average period of 3.2 years.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provides a summary of the unvested common stock awards activity during the three months ended March 31, 2024.</w:t>
      </w:r>
    </w:p>
    <w:p>
      <w:pPr>
        <w:spacing w:after="0" w:line="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3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87"/>
        </w:trPr>
        <w:tc>
          <w:tcPr>
            <w:tcW w:w="5360" w:type="dxa"/>
            <w:vAlign w:val="bottom"/>
          </w:tcPr>
          <w:p>
            <w:pPr>
              <w:spacing w:after="0"/>
              <w:rPr>
                <w:sz w:val="16"/>
                <w:szCs w:val="16"/>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3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common stock as of December 31, 2023</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747,679</w:t>
            </w: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(191,885 )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Forfeiture</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(12,555 )</w:t>
            </w: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Unvested common stock as of March 31, 2024</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543,239</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-187960</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left="520" w:right="780" w:firstLine="509"/>
        <w:spacing w:after="0" w:line="282" w:lineRule="auto"/>
        <w:rPr>
          <w:sz w:val="20"/>
          <w:szCs w:val="20"/>
          <w:color w:val="auto"/>
        </w:rPr>
      </w:pPr>
      <w:r>
        <w:rPr>
          <w:rFonts w:ascii="Times New Roman" w:cs="Times New Roman" w:eastAsia="Times New Roman" w:hAnsi="Times New Roman"/>
          <w:sz w:val="18"/>
          <w:szCs w:val="18"/>
          <w:color w:val="auto"/>
        </w:rPr>
        <w:t>Unamortized share-based compensation for restricted stock awards as of March 31, 2024 was $2.8 million, which is expected to be recognized over a weighted-average period of 0.9 years.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21" w:lineRule="exact"/>
        <w:rPr>
          <w:sz w:val="20"/>
          <w:szCs w:val="20"/>
          <w:color w:val="auto"/>
        </w:rPr>
      </w:pPr>
    </w:p>
    <w:p>
      <w:pPr>
        <w:ind w:left="520" w:right="80" w:firstLine="509"/>
        <w:spacing w:after="0" w:line="254" w:lineRule="auto"/>
        <w:rPr>
          <w:sz w:val="20"/>
          <w:szCs w:val="20"/>
          <w:color w:val="auto"/>
        </w:rPr>
      </w:pPr>
      <w:r>
        <w:rPr>
          <w:rFonts w:ascii="Times New Roman" w:cs="Times New Roman" w:eastAsia="Times New Roman" w:hAnsi="Times New Roman"/>
          <w:sz w:val="18"/>
          <w:szCs w:val="18"/>
          <w:color w:val="auto"/>
        </w:rPr>
        <w:t>In May 2021, the board of directors adopted and the stockholders approved the 2021 Employee Stock Purchase Plan, or the ESPP, which became effective on May 26, 2021. A total of 603,000 shares of common stock were initially reserved for issuance under the ESPP. The number of shares of the common stock reserved for issuance under the ESPP will automatically increase on the first day of each fiscal year, beginning with the fiscal year commencing on January 1, 2021 and continuing for each fiscal year until, and including, the fiscal year commencing on January 1, 2031, by the lesser of: (a) 1% of the total number of outstanding shares of common stock of the Company (on an as converted basis outstanding on the immediately preceding December 31 (rounded down to the nearest whole share)) and (b) an amount determined by the board of directors. 236,187 shares have been issued under the ESPP as of March 31, 2024. The Company recognized compensation expense related to the ESPP of $0.2 million for each of the three months ended March 31, 2024 and 2023.</w:t>
      </w:r>
    </w:p>
    <w:p>
      <w:pPr>
        <w:spacing w:after="0" w:line="8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For the three months ended March 31, 2024 and 2023, the Company has not issued any shares pursuant to the ESPP.</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Financial Statements</w:t>
      </w:r>
    </w:p>
    <w:p>
      <w:pPr>
        <w:spacing w:after="0" w:line="333"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left="520" w:right="320" w:firstLine="509"/>
        <w:spacing w:after="0" w:line="261"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calculated as follows (in thousands except share and per share amounts):</w:t>
      </w:r>
    </w:p>
    <w:p>
      <w:pPr>
        <w:jc w:val="center"/>
        <w:ind w:left="6300"/>
        <w:spacing w:after="0" w:line="231" w:lineRule="auto"/>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5469890</wp:posOffset>
            </wp:positionH>
            <wp:positionV relativeFrom="paragraph">
              <wp:posOffset>-6985</wp:posOffset>
            </wp:positionV>
            <wp:extent cx="10287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-6985</wp:posOffset>
            </wp:positionV>
            <wp:extent cx="9398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98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9"/>
        </w:trPr>
        <w:tc>
          <w:tcPr>
            <w:tcW w:w="6440" w:type="dxa"/>
            <w:vAlign w:val="bottom"/>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top w:val="single" w:sz="8" w:color="auto"/>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660" w:type="dxa"/>
            <w:vAlign w:val="bottom"/>
            <w:tcBorders>
              <w:top w:val="single" w:sz="8" w:color="auto"/>
              <w:bottom w:val="single" w:sz="8" w:color="auto"/>
            </w:tcBorders>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2"/>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300" w:type="dxa"/>
            <w:vAlign w:val="bottom"/>
            <w:shd w:val="clear" w:color="auto" w:fill="CFF0FC"/>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(62,412 )</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(42,393 )</w:t>
            </w:r>
          </w:p>
        </w:tc>
      </w:tr>
      <w:tr>
        <w:trPr>
          <w:trHeight w:val="20"/>
        </w:trPr>
        <w:tc>
          <w:tcPr>
            <w:tcW w:w="644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300" w:type="dxa"/>
            <w:vAlign w:val="bottom"/>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(0.72 )</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(0.59 )</w:t>
            </w:r>
          </w:p>
        </w:tc>
      </w:tr>
      <w:tr>
        <w:trPr>
          <w:trHeight w:val="209"/>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used in computing net loss per share,</w:t>
            </w:r>
          </w:p>
        </w:tc>
        <w:tc>
          <w:tcPr>
            <w:tcW w:w="13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13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86,679,282</w:t>
            </w:r>
          </w:p>
        </w:tc>
        <w:tc>
          <w:tcPr>
            <w:tcW w:w="3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71,972,888</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-462280</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right="80" w:firstLine="554"/>
        <w:spacing w:after="0" w:line="261" w:lineRule="auto"/>
        <w:rPr>
          <w:sz w:val="20"/>
          <w:szCs w:val="20"/>
          <w:color w:val="auto"/>
        </w:rPr>
      </w:pPr>
      <w:r>
        <w:rPr>
          <w:rFonts w:ascii="Times New Roman" w:cs="Times New Roman" w:eastAsia="Times New Roman" w:hAnsi="Times New Roman"/>
          <w:sz w:val="18"/>
          <w:szCs w:val="18"/>
          <w:color w:val="auto"/>
        </w:rPr>
        <w:t>The following outstanding potentially dilutive securities have been excluded from the calculation of diluted net loss per share, as their effect is anti-dilutive:</w:t>
      </w:r>
    </w:p>
    <w:tbl>
      <w:tblPr>
        <w:tblLayout w:type="fixed"/>
        <w:tblInd w:w="0" w:type="dxa"/>
        <w:tblCellMar>
          <w:top w:w="0" w:type="dxa"/>
          <w:left w:w="0" w:type="dxa"/>
          <w:bottom w:w="0" w:type="dxa"/>
          <w:right w:w="0" w:type="dxa"/>
        </w:tblCellMar>
      </w:tblPr>
      <w:tr>
        <w:trPr>
          <w:trHeight w:val="176"/>
        </w:trPr>
        <w:tc>
          <w:tcPr>
            <w:tcW w:w="17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50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680" w:type="dxa"/>
            <w:vAlign w:val="bottom"/>
          </w:tcPr>
          <w:p>
            <w:pPr>
              <w:spacing w:after="0"/>
              <w:rPr>
                <w:sz w:val="15"/>
                <w:szCs w:val="15"/>
                <w:color w:val="auto"/>
              </w:rPr>
            </w:pPr>
          </w:p>
        </w:tc>
      </w:tr>
      <w:tr>
        <w:trPr>
          <w:trHeight w:val="169"/>
        </w:trPr>
        <w:tc>
          <w:tcPr>
            <w:tcW w:w="17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gridSpan w:val="2"/>
          </w:tcPr>
          <w:p>
            <w:pPr>
              <w:spacing w:after="0"/>
              <w:rPr>
                <w:sz w:val="14"/>
                <w:szCs w:val="14"/>
                <w:color w:val="auto"/>
              </w:rPr>
            </w:pPr>
          </w:p>
        </w:tc>
        <w:tc>
          <w:tcPr>
            <w:tcW w:w="112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36"/>
        </w:trPr>
        <w:tc>
          <w:tcPr>
            <w:tcW w:w="1700" w:type="dxa"/>
            <w:vAlign w:val="bottom"/>
          </w:tcPr>
          <w:p>
            <w:pPr>
              <w:spacing w:after="0"/>
              <w:rPr>
                <w:sz w:val="20"/>
                <w:szCs w:val="20"/>
                <w:color w:val="auto"/>
              </w:rPr>
            </w:pP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3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12,404,090</w:t>
            </w:r>
          </w:p>
        </w:tc>
        <w:tc>
          <w:tcPr>
            <w:tcW w:w="1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9,292,431</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Unvested common shares</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543,239</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1,449,724</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3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2,243,998</w:t>
            </w:r>
          </w:p>
        </w:tc>
        <w:tc>
          <w:tcPr>
            <w:tcW w:w="1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964,700</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Shares committed under ESPP</w:t>
            </w:r>
          </w:p>
        </w:tc>
        <w:tc>
          <w:tcPr>
            <w:tcW w:w="234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100,753</w:t>
            </w:r>
          </w:p>
        </w:tc>
        <w:tc>
          <w:tcPr>
            <w:tcW w:w="80" w:type="dxa"/>
            <w:vAlign w:val="bottom"/>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47,099</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7"/>
        </w:trPr>
        <w:tc>
          <w:tcPr>
            <w:tcW w:w="1700" w:type="dxa"/>
            <w:vAlign w:val="bottom"/>
          </w:tcPr>
          <w:p>
            <w:pPr>
              <w:spacing w:after="0"/>
              <w:rPr>
                <w:sz w:val="20"/>
                <w:szCs w:val="20"/>
                <w:color w:val="auto"/>
              </w:rPr>
            </w:pP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15,292,080</w:t>
            </w:r>
          </w:p>
        </w:tc>
        <w:tc>
          <w:tcPr>
            <w:tcW w:w="1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11,753,954</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430"/>
        </w:trPr>
        <w:tc>
          <w:tcPr>
            <w:tcW w:w="1700" w:type="dxa"/>
            <w:vAlign w:val="bottom"/>
          </w:tcPr>
          <w:p>
            <w:pPr>
              <w:spacing w:after="0"/>
              <w:rPr>
                <w:sz w:val="24"/>
                <w:szCs w:val="24"/>
                <w:color w:val="auto"/>
              </w:rPr>
            </w:pPr>
          </w:p>
        </w:tc>
        <w:tc>
          <w:tcPr>
            <w:tcW w:w="3020" w:type="dxa"/>
            <w:vAlign w:val="bottom"/>
            <w:tcBorders>
              <w:top w:val="single" w:sz="8" w:color="CFF0FC"/>
            </w:tcBorders>
          </w:tcPr>
          <w:p>
            <w:pPr>
              <w:spacing w:after="0"/>
              <w:rPr>
                <w:sz w:val="24"/>
                <w:szCs w:val="24"/>
                <w:color w:val="auto"/>
              </w:rPr>
            </w:pPr>
          </w:p>
        </w:tc>
        <w:tc>
          <w:tcPr>
            <w:tcW w:w="2340" w:type="dxa"/>
            <w:vAlign w:val="bottom"/>
            <w:tcBorders>
              <w:top w:val="single" w:sz="8" w:color="CFF0FC"/>
            </w:tcBorders>
          </w:tcPr>
          <w:p>
            <w:pPr>
              <w:jc w:val="right"/>
              <w:ind w:right="1250"/>
              <w:spacing w:after="0"/>
              <w:rPr>
                <w:sz w:val="20"/>
                <w:szCs w:val="20"/>
                <w:color w:val="auto"/>
              </w:rPr>
            </w:pPr>
            <w:r>
              <w:rPr>
                <w:rFonts w:ascii="Times New Roman" w:cs="Times New Roman" w:eastAsia="Times New Roman" w:hAnsi="Times New Roman"/>
                <w:sz w:val="18"/>
                <w:szCs w:val="18"/>
                <w:color w:val="auto"/>
              </w:rPr>
              <w:t>19</w:t>
            </w:r>
          </w:p>
        </w:tc>
        <w:tc>
          <w:tcPr>
            <w:tcW w:w="11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-779145</wp:posOffset>
            </wp:positionV>
            <wp:extent cx="51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-779145</wp:posOffset>
            </wp:positionV>
            <wp:extent cx="431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Contribution Plan</w:t>
      </w:r>
    </w:p>
    <w:p>
      <w:pPr>
        <w:spacing w:after="0" w:line="121" w:lineRule="exact"/>
        <w:rPr>
          <w:sz w:val="20"/>
          <w:szCs w:val="20"/>
          <w:color w:val="auto"/>
        </w:rPr>
      </w:pPr>
    </w:p>
    <w:p>
      <w:pPr>
        <w:ind w:left="520"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maintains an employee savings plan pursuant to Section 401(k) of the Internal Revenue Code. All employees are eligible to participate provided that they meet the requirements of the plan. For each of the three months ended March 31, 2024 and 2023, the Company made matching contributions of $0.6 million and $0.8 million, respectively.</w:t>
      </w:r>
    </w:p>
    <w:p>
      <w:pPr>
        <w:spacing w:after="0" w:line="280"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121" w:lineRule="exact"/>
        <w:rPr>
          <w:sz w:val="20"/>
          <w:szCs w:val="20"/>
          <w:color w:val="auto"/>
        </w:rPr>
      </w:pPr>
    </w:p>
    <w:p>
      <w:pPr>
        <w:ind w:left="520" w:right="80" w:firstLine="509"/>
        <w:spacing w:after="0" w:line="261" w:lineRule="auto"/>
        <w:rPr>
          <w:sz w:val="20"/>
          <w:szCs w:val="20"/>
          <w:color w:val="auto"/>
        </w:rPr>
      </w:pPr>
      <w:r>
        <w:rPr>
          <w:rFonts w:ascii="Times New Roman" w:cs="Times New Roman" w:eastAsia="Times New Roman" w:hAnsi="Times New Roman"/>
          <w:sz w:val="18"/>
          <w:szCs w:val="18"/>
          <w:color w:val="auto"/>
        </w:rPr>
        <w:t>On April 23, 2024, the FDA approved the Company's NDAs for the tablet formulation and for the powder solution formulation of OJEMDA for the treatment of patients 6 months of age and older with relapsed or refractory pLGG harboring a BRAF fusion or rearrangement, or BRAF V600 mutation. With the approval, the Company received a rare pediatric disease priority review voucher from the FDA. Per the terms of the Viracta License Agreement, a $9.0 million payment is due to Viracta for the achievement of this milestone.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our interim condensed financial statements and related notes, and other financial information appearing in our Annual Report on Form 10-K for the year ended December 31, 2023, or our Annual Report, and this Quarterly Report on Form 10-Q. Some of the information contained in this discussion and analysis includes forward-looking statements that involve risks and uncertainties. As a result of many factors, including those factors set forth in the “Risk Factors” in this Quarterly Report on Form 10-Q, our actual results could differ materially from the results described in or implied by the forward-looking statements contained in the following discussion and analysis.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Day One was founded to address a critical unmet need: the dire lack of therapeutic development in pediatric cancer. Our name was inspired by the “The Day One Talk” that physicians have with patients and their families about an initial cancer diagnosis and treatment plan. We aim to re-envision cancer drug development and redefine what’s possible for all people living with cancer—regardless of age—starting from Day One.</w:t>
      </w:r>
    </w:p>
    <w:p>
      <w:pPr>
        <w:spacing w:after="0" w:line="6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are a commercial-stage biopharmaceutical company dedicated to developing and commercializing targeted therapies for people of all ages with life threatening diseases. We focus our initial clinical development efforts on pediatric patients living with cancer, a vulnerable population that has been underserved in the recent revolution in targeted therapeutics and immuno-oncology.</w:t>
      </w:r>
    </w:p>
    <w:p>
      <w:pPr>
        <w:spacing w:after="0" w:line="68"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Our lead product, tovorafenib, is an oral, brain-penetrant, highly selective type II rapidly accelerated fibrosarcoma, or RAF, kinase inhibitor. Tovorafenib was granted breakthrough therapy designation by the U.S. Food and Drug Administration, or the FDA, in August 2020 for the treatment of relapsed or refractory low-grade glioma, or pLGG, based on initial results from a Phase 1 trial which showed evidence of rapid anti-tumor activity and durable responses in patients with pLGG. Pediatric low-grade glioma is the most common brain tumor diagnosed in children. While new targeted therapeutic options have recently become available for patients with pLGG, there is no consensual standard of care and a vast majority of patients with pLGG do not yet have access to approved therapies. Tovorafenib received orphan drug designation for the treatment of malignant glioma from the FDA in September 2020 and from the EU Commission for the treatment of glioma in May 2021. Additionally, the FDA granted rare pediatric disease designation to tovorafenib for treatment of low-grade gliomas, or LGGs, harboring an activating RAF alteration in July 2021.</w:t>
      </w:r>
    </w:p>
    <w:p>
      <w:pPr>
        <w:spacing w:after="0" w:line="8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On April 23, 2024, the Company announced that the FDA approved OJEMDA™ (tovorafenib) for the treatment of pediatric patients 6 months of age and older with relapsed or refractory pLGG harboring a BRAF fusion or rearrangement, or BRAF V600 mutation. The indication was approved under accelerated approval based on response rate and duration of response. With the approval, the Company received a rare pediatric disease priority review voucher from the FDA. We have commenced the commercial launch of OJEMDA in the United States. OJEMDA is the only systemic therapy for pLGG that offers once-weekly dosing, with or without food, as a tablet or oral suspension.</w:t>
      </w:r>
    </w:p>
    <w:p>
      <w:pPr>
        <w:spacing w:after="0" w:line="7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accelerated approval of OJEMDA is based on data from the Company’s pivotal open-label Phase 2 FIREFLY-1 trial, which enrolled a total of 137 relapsed or refractory BRAF-altered pLGG patients across two study arms. Arm 1, which accrued 77 patients, was used for the efficacy analyses. Arm 2 provided additional safety data from an incremental 60 patients and was initiated to enable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0" w:name="page21"/>
    <w:bookmarkEnd w:id="20"/>
    <w:p>
      <w:pPr>
        <w:ind w:right="500"/>
        <w:spacing w:after="0" w:line="282" w:lineRule="auto"/>
        <w:rPr>
          <w:sz w:val="20"/>
          <w:szCs w:val="20"/>
          <w:color w:val="auto"/>
        </w:rPr>
      </w:pPr>
      <w:r>
        <w:rPr>
          <w:rFonts w:ascii="Times New Roman" w:cs="Times New Roman" w:eastAsia="Times New Roman" w:hAnsi="Times New Roman"/>
          <w:sz w:val="18"/>
          <w:szCs w:val="18"/>
          <w:color w:val="auto"/>
        </w:rPr>
        <w:t>access to OJEMDA once Arm 1 had fully accrued. Details of this trial were presented in November 2023 at the Society for Neuro-Oncology meeting through two oral plenary presentations and in parallel through a publication in Nature Medicine.</w:t>
      </w:r>
    </w:p>
    <w:p>
      <w:pPr>
        <w:spacing w:after="0" w:line="5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approval of OJEMDA was based, in part, on the major efficacy outcome measure of overall response rate, or ORR, defined as the proportion of patients with complete response, partial response, or PR, or minor response, or MR, by independent review based on Response Assessment in Pediatric Neuro-Oncology Low-Grade Glioma, or RAPNO LGG.</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Arm 1, data from the 76 RAPNO LGG evaluable patients include:</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A best ORR of 51% (95% CI: 40 - 63), which included 28 PRs and 11 MRs.</w:t>
      </w:r>
    </w:p>
    <w:p>
      <w:pPr>
        <w:sectPr>
          <w:pgSz w:w="11900" w:h="16838" w:orient="portrait"/>
          <w:cols w:equalWidth="0" w:num="1">
            <w:col w:w="11240"/>
          </w:cols>
          <w:pgMar w:left="320" w:top="1093" w:right="339" w:bottom="1440" w:gutter="0" w:footer="0" w:header="0"/>
        </w:sectPr>
      </w:pPr>
    </w:p>
    <w:p>
      <w:pPr>
        <w:spacing w:after="0" w:line="117" w:lineRule="exact"/>
        <w:rPr>
          <w:sz w:val="20"/>
          <w:szCs w:val="20"/>
          <w:color w:val="auto"/>
        </w:rPr>
      </w:pPr>
    </w:p>
    <w:p>
      <w:pPr>
        <w:ind w:left="760" w:firstLine="749"/>
        <w:spacing w:after="0" w:line="282" w:lineRule="auto"/>
        <w:rPr>
          <w:sz w:val="20"/>
          <w:szCs w:val="20"/>
          <w:color w:val="auto"/>
        </w:rPr>
      </w:pPr>
      <w:r>
        <w:rPr>
          <w:rFonts w:ascii="Times New Roman" w:cs="Times New Roman" w:eastAsia="Times New Roman" w:hAnsi="Times New Roman"/>
          <w:sz w:val="18"/>
          <w:szCs w:val="18"/>
          <w:color w:val="auto"/>
        </w:rPr>
        <w:t>• The ORR for OJEMDA was 52% among the 64 patients with BRAF fusions or rearrangements and 50% for the with a BRAF V600 mutation.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 patients</w:t>
      </w:r>
    </w:p>
    <w:p>
      <w:pPr>
        <w:spacing w:after="0" w:line="344" w:lineRule="exact"/>
        <w:rPr>
          <w:sz w:val="20"/>
          <w:szCs w:val="20"/>
          <w:color w:val="auto"/>
        </w:rPr>
      </w:pPr>
    </w:p>
    <w:p>
      <w:pPr>
        <w:sectPr>
          <w:pgSz w:w="11900" w:h="16838" w:orient="portrait"/>
          <w:cols w:equalWidth="0" w:num="2">
            <w:col w:w="9700" w:space="620"/>
            <w:col w:w="920"/>
          </w:cols>
          <w:pgMar w:left="320" w:top="1093" w:right="339" w:bottom="1440" w:gutter="0" w:footer="0" w:header="0"/>
          <w:type w:val="continuous"/>
        </w:sectPr>
      </w:pPr>
    </w:p>
    <w:p>
      <w:pPr>
        <w:ind w:left="760" w:right="140" w:firstLine="749"/>
        <w:spacing w:after="0" w:line="282" w:lineRule="auto"/>
        <w:rPr>
          <w:sz w:val="20"/>
          <w:szCs w:val="20"/>
          <w:color w:val="auto"/>
        </w:rPr>
      </w:pPr>
      <w:r>
        <w:rPr>
          <w:rFonts w:ascii="Times New Roman" w:cs="Times New Roman" w:eastAsia="Times New Roman" w:hAnsi="Times New Roman"/>
          <w:sz w:val="18"/>
          <w:szCs w:val="18"/>
          <w:color w:val="auto"/>
        </w:rPr>
        <w:t>• The ORR was 49% among the 45 patients who had received a prior MAPK-targeted therapy, and 55% among the patients who had not received a prior MAPK-targeted therapy.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31</w:t>
      </w:r>
    </w:p>
    <w:p>
      <w:pPr>
        <w:spacing w:after="0" w:line="333" w:lineRule="exact"/>
        <w:rPr>
          <w:sz w:val="20"/>
          <w:szCs w:val="20"/>
          <w:color w:val="auto"/>
        </w:rPr>
      </w:pPr>
    </w:p>
    <w:p>
      <w:pPr>
        <w:sectPr>
          <w:pgSz w:w="11900" w:h="16838" w:orient="portrait"/>
          <w:cols w:equalWidth="0" w:num="2">
            <w:col w:w="9960" w:space="720"/>
            <w:col w:w="560"/>
          </w:cols>
          <w:pgMar w:left="320" w:top="1093" w:right="339" w:bottom="1440" w:gutter="0" w:footer="0" w:header="0"/>
          <w:type w:val="continuous"/>
        </w:sect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 As of the June 5, 2023 data cutoff, the median duration of response by RAPNO LGG was 13.8 months (95% CI: 11.3, not addition, 66% of patients remained on study and continue on treatment as of this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estimable). In</w:t>
      </w:r>
    </w:p>
    <w:p>
      <w:pPr>
        <w:spacing w:after="0" w:line="333" w:lineRule="exact"/>
        <w:rPr>
          <w:sz w:val="20"/>
          <w:szCs w:val="20"/>
          <w:color w:val="auto"/>
        </w:rPr>
      </w:pPr>
    </w:p>
    <w:p>
      <w:pPr>
        <w:sectPr>
          <w:pgSz w:w="11900" w:h="16838" w:orient="portrait"/>
          <w:cols w:equalWidth="0" w:num="2">
            <w:col w:w="9680" w:space="560"/>
            <w:col w:w="1000"/>
          </w:cols>
          <w:pgMar w:left="320" w:top="1093" w:right="339" w:bottom="1440" w:gutter="0" w:footer="0" w:header="0"/>
          <w:type w:val="continuous"/>
        </w:sectPr>
      </w:pPr>
    </w:p>
    <w:p>
      <w:pPr>
        <w:jc w:val="center"/>
        <w:ind w:left="680"/>
        <w:spacing w:after="0"/>
        <w:rPr>
          <w:sz w:val="20"/>
          <w:szCs w:val="20"/>
          <w:color w:val="auto"/>
        </w:rPr>
      </w:pPr>
      <w:r>
        <w:rPr>
          <w:rFonts w:ascii="Times New Roman" w:cs="Times New Roman" w:eastAsia="Times New Roman" w:hAnsi="Times New Roman"/>
          <w:sz w:val="18"/>
          <w:szCs w:val="18"/>
          <w:color w:val="auto"/>
        </w:rPr>
        <w:t>• The median time to response, following initiation of treatment, with OJEMDA was 5.3 months (range 1.6 months, 11.2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months).</w:t>
      </w:r>
    </w:p>
    <w:p>
      <w:pPr>
        <w:spacing w:after="0" w:line="128" w:lineRule="exact"/>
        <w:rPr>
          <w:sz w:val="20"/>
          <w:szCs w:val="20"/>
          <w:color w:val="auto"/>
        </w:rPr>
      </w:pPr>
    </w:p>
    <w:p>
      <w:pPr>
        <w:sectPr>
          <w:pgSz w:w="11900" w:h="16838" w:orient="portrait"/>
          <w:cols w:equalWidth="0" w:num="2">
            <w:col w:w="9580" w:space="720"/>
            <w:col w:w="940"/>
          </w:cols>
          <w:pgMar w:left="320" w:top="1093" w:right="33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8"/>
          <w:szCs w:val="18"/>
          <w:color w:val="auto"/>
        </w:rPr>
        <w:t>• Based on RANO LGG criteria, the ORR was 53% [95% CI: (41, 64)].</w:t>
      </w:r>
    </w:p>
    <w:p>
      <w:pPr>
        <w:sectPr>
          <w:pgSz w:w="11900" w:h="16838" w:orient="portrait"/>
          <w:cols w:equalWidth="0" w:num="1">
            <w:col w:w="11240"/>
          </w:cols>
          <w:pgMar w:left="320" w:top="1093" w:right="339" w:bottom="1440" w:gutter="0" w:footer="0" w:header="0"/>
          <w:type w:val="continuous"/>
        </w:sectPr>
      </w:pP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safety of OJEMDA was evaluated in 137 patients with relapsed or refractory pLGG, with the majority of adverse events being Grade 1 or Grade</w:t>
      </w:r>
    </w:p>
    <w:p>
      <w:pPr>
        <w:spacing w:after="0" w:line="39" w:lineRule="exact"/>
        <w:rPr>
          <w:sz w:val="20"/>
          <w:szCs w:val="20"/>
          <w:color w:val="auto"/>
        </w:rPr>
      </w:pPr>
    </w:p>
    <w:p>
      <w:pPr>
        <w:ind w:right="280" w:firstLine="8"/>
        <w:spacing w:after="0" w:line="260" w:lineRule="auto"/>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common side effects were rash, hair color changes, tiredness, viral infection, vomiting, headache, fever, dry skin, constipation, nausea, acne and upper respiratory tract infection.</w:t>
      </w:r>
    </w:p>
    <w:p>
      <w:pPr>
        <w:spacing w:after="0" w:line="7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initiated a pivotal Phase 3 trial, or FIREFLY-2, evaluating tovorafenib as a front-line therapy in patients aged 6 months to 25 years with pLGG in June 2022. The first patient was dosed in FIREFLY-2 in March 2023. To date, patients continue to enroll in the United States, Canada, Europe, Australia and Asia, with approximately 90 sites activated.</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product candidate, pimasertib, is an oral, highly selective small molecule inhibitor of mitogen-activated protein kinase kinases 1 and 2, or MEK, a well-characterized key signaling node in the MAPK pathway. Pimasertib has been studied in more than 10 Phase 1/2 clinical trials in over 850 patients with various tumor types, both as a monotherapy and in combination with standard of care therapies. Published preclinical studies indicated that pimasertib has higher central nervous system penetration than other MEK inhibitors.</w:t>
      </w:r>
    </w:p>
    <w:p>
      <w:pPr>
        <w:spacing w:after="0" w:line="7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initiated an open-label, multicenter, Phase 1b/2a umbrella master trial, or FIRELIGHT-1, of tovorafenib as a monotherapy or in combination, which consists of two substudies. Substudy 1 is a Phase 2a trial of tovorafenib as a monotherapy in patients 12 years and older with relapsed, progressive, or refractory solid tumors harboring a RAF alteration (RAF fusion or amplification). Despite observing responses with a generally well tolerated therapy, a limited duration of response in this rare patient population was observed. We decided in November 2023 to discontinue this monotherapy substudy and re-direct resources to other programs. Results from the substudy will be shared for presentation or publication after the final dataset becomes available. Substudy 2 is a Phase 1b/2 combination trial of tovorafenib and pimasertib in patients 12 years and older with various MAPK-altered solid tumors. Patient enrollment continues in the Phase 1b/2 substudy of the FIRELIGHT-1 trial evaluating the combination of tovorafenib with the Company’s investigational MEK inhibitor, pimasertib. Simultaneous inhibition of both RAF and MEK has been shown to lead to synergistic antitumor activity in preclinical models. This combination may demonstrate enhanced anti-tumor activity in a variety of adult solid tumors driven by MAPK alterations, including NRAS mutant melanoma and lung cancers, tumors driven by Class II BRAF alterations, tumors with BRAF wild-type fusions, and tumors driven by KRAS alterations. In addition, some pediatric tumors may also benefit from a synergistic inhibition on the MAPK pathway. The first patient was dosed in May 2022 and patients are currently actively recruited in the combination dose-selection portion of the substudy. The next steps for the program, including the potential recommended Phase 2 dose and schedule in the FIRELIGHT-1 clinical trial, are expected in the second half of 2024.</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August 2023, we entered into a research collaboration and license agreement, or the Sprint License Agreement, with Sprint Bioscience AB, or Sprint, a Swedish corporation located in Huddinge, Sweden. Under the Sprint License Agreement, Sprint granted to us an exclusive, worldwide license, with the right to grant sublicenses through multiple tiers, to research, develop, and commercialize pharmaceutical products and to engage in research aimed at discovery, optimization and development of Vaccinia Related Kinase 1, or VRK1. VRK1 is a novel target involved in the regulation of cell division and DNA damage repair. Over-expression of VRK1 is linked to poor prognosis in a variety of adult and pediatric cancers, and VRK1 has been identified as a synthetic lethal target in tumors where expression of its paralog, VRK2, is lost. Silencing of VRK2 expression via promoter methylation has been noted in most high-grade gliomas and high-risk neuroblastomas, providing a concrete approach for selecting patients with tumors sensitive to VRK1 inhibition. Preclinical research activities to advance the VRK1 program are ongoing.</w:t>
      </w:r>
    </w:p>
    <w:p>
      <w:pPr>
        <w:spacing w:after="0" w:line="84"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believe our business development capabilities combined with our extensive experience in oncology drug development and deep ties within the research and patient advocacy communities, particularly within the pediatric setting, positions us to be a leader in</w:t>
      </w: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21" w:name="page22"/>
    <w:bookmarkEnd w:id="21"/>
    <w:p>
      <w:pPr>
        <w:ind w:right="760"/>
        <w:spacing w:after="0" w:line="282" w:lineRule="auto"/>
        <w:rPr>
          <w:sz w:val="20"/>
          <w:szCs w:val="20"/>
          <w:color w:val="auto"/>
        </w:rPr>
      </w:pPr>
      <w:r>
        <w:rPr>
          <w:rFonts w:ascii="Times New Roman" w:cs="Times New Roman" w:eastAsia="Times New Roman" w:hAnsi="Times New Roman"/>
          <w:sz w:val="18"/>
          <w:szCs w:val="18"/>
          <w:color w:val="auto"/>
        </w:rPr>
        <w:t>identifying, acquiring and developing therapies for patients of all ages. We hold exclusive worldwide rights to OJEMDA and to pimasertib for all therapeutic areas subject to certain milestone and royalty payments.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product and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85725</wp:posOffset>
            </wp:positionV>
            <wp:extent cx="5768975" cy="31972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68975"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Since our inception in November 2018, we have devoted substantially all of our resources to identifying, acquiring and developing our product candidates and building our pipeline; organizing and staffing our company; business planning; establishing and maintaining our intellectual property portfolio; establishing arrangements with third parties for the manufacture of our product candidates; raising capital; preparing for commercial launch; and providing general and administrative support for these operations. We have one product approved for commercial sale and have not generated any revenues from product sales or any other source and have incurred net losses since the commencement of our operations. For the three months ended March 31, 2024 and 2023, we reported a net loss of $62.4 million and $42.4 million, respectively. We had an accumulated deficit of $521.0 million as of March 31, 2024. We expect a significant increase in expenses and substantial losses for the foreseeable future as we continue our development of and seek regulatory approvals for our product candidates, commercialize any approved products, and seek to expand our product pipeline and invest in our organization. In addition, we expect to continue to incur additional costs associated with operating as a public company, including significant legal, audit, accounting, regulatory, tax-related, director and officer insurance, investor relations and other expenses that we did not incur as a private company.</w:t>
      </w:r>
    </w:p>
    <w:p>
      <w:pPr>
        <w:spacing w:after="0" w:line="8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To date, we have funded our operations through the sale of our redeemable convertible preferred shares, convertible notes and common stock in our initial public offering and subsequent public offerings.</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Cash and cash equivalents and short-term investments totaled $317.9 million as of March 31, 2024. Based on our current operating plan, management believes we have sufficient capital resources to fund anticipated operations into 2026. Because of the numerous risks and uncertainties associated with product development, we may never achieve profitability, and unless and until then, we will need to continue to raise additional capital. There are no assurances that we will be successful in obtaining an adequate level of financing to support our business plans. If we are unable to raise capital as and when needed or on attractive terms, we may have to significantly delay, reduce or discontinue the development and commercialization of our product candidates or scale back or terminate our pursuit of new in-licenses and acquisitions.</w:t>
      </w:r>
    </w:p>
    <w:p>
      <w:pPr>
        <w:spacing w:after="0" w:line="79" w:lineRule="exact"/>
        <w:rPr>
          <w:sz w:val="20"/>
          <w:szCs w:val="20"/>
          <w:color w:val="auto"/>
        </w:rPr>
      </w:pPr>
    </w:p>
    <w:p>
      <w:pPr>
        <w:ind w:right="200" w:firstLine="509"/>
        <w:spacing w:after="0" w:line="257"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rely, and expect to continue to rely, on third parties for the manufacture of our product candidates for clinical testing, as well as for commercial manufacturing if any of our product candidates obtain marketing approval. As we advance our product candidates through</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spacing w:after="0" w:line="282" w:lineRule="auto"/>
        <w:rPr>
          <w:sz w:val="20"/>
          <w:szCs w:val="20"/>
          <w:color w:val="auto"/>
        </w:rPr>
      </w:pPr>
      <w:r>
        <w:rPr>
          <w:rFonts w:ascii="Times New Roman" w:cs="Times New Roman" w:eastAsia="Times New Roman" w:hAnsi="Times New Roman"/>
          <w:sz w:val="18"/>
          <w:szCs w:val="18"/>
          <w:color w:val="auto"/>
        </w:rPr>
        <w:t>development, we will explore adding backup suppliers for the Active Pharmaceutical Ingredients, or API, drug product, packaging and formulation for each of our product candidates to protect against any potential supply disruptions.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Takeda asset purchase agreement</w:t>
      </w:r>
    </w:p>
    <w:p>
      <w:pPr>
        <w:spacing w:after="0" w:line="12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December 16, 2019, our subsidiary entered into an asset purchase agreement, or the Takeda Asset Agreement, with Millennium Pharmaceuticals, Inc., a related party and an affiliate of Takeda Pharmaceutical Company Limited, or Takeda. Effective December 31, 2021, the subsidiary was merged with and into our company, with our company being the surviving corporation and assuming the subsidiary’s obligations under the Takeda Assets Purchase Agreement. Pursuant to the Takeda Asset Agreement, we purchased certain technology rights and know-how related to TAK-580 (which is now OJEMDA) that provides a new approach for treating patients with primary brain tumors or brain metastases of solid tumors. We also received clinical inventory supplies to use in our research and development activities of such RAF-inhibitor and an assigned investigator clinical trial agreement. Takeda also assigned us its exclusive license agreement, or the Viracta License Agreement, with Viracta Therapeutics, Inc. (f/k/a Sunesis Pharmaceuticals, Inc.), or Viracta. Takeda also granted us a worldwide, sublicensable exclusive license under specified patents and know-how and non-exclusive license under other patents and know-how generated by Takeda under the Takeda Asset Agreement. We also granted Takeda a grant back license, as defined in the Takeda Asset Agreement, which is terminable either automatically or by us in the event Takeda does not achieve specified development milestones within the applicable timeframes set forth under the Takeda Asset Agreement. This grant back license to Takeda was terminated at the time of conversion in connection with the Millennium Stock Exchange Agreement.</w:t>
      </w:r>
    </w:p>
    <w:p>
      <w:pPr>
        <w:spacing w:after="0" w:line="82"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 term of the Takeda Asset Agreement will expire on a country-by-country basis upon expiration of all assigned patent rights and all licensed patent rights in such country. Takeda may terminate the Takeda Asset Agreement prior to our first commercial sale of a product if we cease conducting any development activities for a continuous and specified period of time and such cessation is not agreed upon by the parties and is not done in response to guidance from a regulatory authority. Additionally, Takeda can terminate the Takeda Asset Agreement in the event of our bankruptcy. In the event of termination of the Takeda Asset Agreement by Takeda as a result of our cessation of development or bankruptcy, all assigned patents, know-how and contracts (other than the Viracta License Agreement) will be assigned back to Takeda and Takeda will obtain a reversion license under patents and know-how generated to exploit all such terminated products.</w:t>
      </w:r>
    </w:p>
    <w:p>
      <w:pPr>
        <w:spacing w:after="0" w:line="81"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In consideration for the sale and assignment of assets and the grant of the license under the Takeda Asset Agreement, we made an upfront payment of $1.0 million in cash and issued 9,857,143 shares of our Series A redeemable convertible preferred stock in our subsidiary in December 2019. The fair value of issued shares was estimated as $9.9 million, based on the price paid by other investors for issued shares in the Series A financing of our subsidiary. Based on the terms of the Millennium Stock Exchange Agreement, Takeda exchanged the 9,857,143 shares of Series A redeemable convertible preferred stock of our subsidiary for 6,470,382 shares of our common stock upon the effectiveness of the conversion, on May 26, 2021.</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Viracta license agreement</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December 16, 2019, we amended and restated the Viracta License Agreement that was assigned pursuant to the Takeda Asset Agreement. Effective December 31, 2021, our subsidiary was merged with and into our company, with our company being the surviving corporation and assuming our subsidiary’s obligations under Viracta License Agreement. Under the Viracta License Agreement, we received a worldwide exclusive license under specified patent rights and know-how to develop, use, manufacture, and commercialize products containing compounds binding the RAF protein family.</w:t>
      </w:r>
    </w:p>
    <w:p>
      <w:pPr>
        <w:spacing w:after="0" w:line="7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term of the Viracta License Agreement will expire on a licensed product-by-licensed product and country-by-country basis upon the expiration of the Company’s obligation to pay royalties to Viracta with respect to such product in such country. We have the right to terminate the Viracta License Agreement with respect to any or all of the licensed products at will upon a specified notice period.</w:t>
      </w:r>
    </w:p>
    <w:p>
      <w:pPr>
        <w:spacing w:after="0" w:line="6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paid $2.0 million upfront in cash to Viracta, which was recorded as research and development expenses as the technology does not have an alternative future use. On March 4, 2024, we entered into an amendment to the Viracta License Agreement. As part of the amendment, we made a one-time payment in March 2024 to Viracta of $5.0 million, which was recorded as research and development expenses, in exchange for reduced future payment obligations ranging from the mid-teens to the high single-digit percentage related to the future sale or use of the priority review voucher received as disclosed in Note 11 of the Notes to our Financial Statements included elsewhere in this Quarterly Report on Form 10-Q.</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As of March 31, 2024, we could be required to make additional milestone payments of up to $49.0 million upon achievement of specified development and regulatory milestones for each licensed product in two indications, with milestones payable for the second indication upon achievement of a specified milestone event being lower than milestones payable for the first indication. Subsequent to March 31, 2024, a milestone related to the Viracta License Agreement was achieved as disclosed in Note 11 of the Notes to our Financial Statements included elsewhere in this Quarterly Report on Form 10-Q. Commencing on the first commercial sale of a licensed product in a country, we are obligated to pay tiered royalties ranging in the mid-single-digit percentages on net sales of licensed products. The obligation to pay royalties will end on a country-by-country and licensed product-by-licensed product basis commencing on the first commercial sale in a country and continuing until the later of: (i) the expiration of the last valid claim of the Viracta licensed patents, jointly owned collaboration patents or specified patents owned by us covering the use or sale of such product in such country, (ii) the expiration of the last statutory exclusivity pertaining to such product in such country or (iii) the tenth anniversary of the first commercial sale of such product in such country.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Merck KGaA, Darmstadt, Germany</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 February 10, 2021, our subsidiary entered into a license agreement, or the MRKDG License Agreement, with Merck KGaA, Darmstadt, Germany, a pharmaceutical corporation located in Darmstadt, Germany. Effective December 31, 2021, the subsidiary was merged with and into our company, with our company being the surviving corporation and assuming the subsidiary’s obligations under the MRKDG License Agreement. Under the MRKDG License Agreement, Merck KGaA, Darmstadt, Germany granted to us an exclusive worldwide license, with the right to grant sublicenses through multiple tiers, under specified patent rights and know-how for us to research, develop, manufacture and commercialize products containing and comprising the pimasertib and MSC2015103B compounds. We also received clinical inventory supplies to use in its research and development activities. Our exclusive license grant is subject to a non-exclusive license granted by Merck KGaA, Darmstadt, Germany’s affiliate to a cancer research organization and Merck KGaA, Darmstadt, Germany retains the right to conduct, directly or indirectly, certain ongoing clinical studies relating to pimasertib. Under the MRKDG License Agreement, we have obligations to use commercially reasonable efforts to develop and commercialize at least two licensed products in at least two specified major market countries by the year 2029.</w:t>
      </w:r>
    </w:p>
    <w:p>
      <w:pPr>
        <w:spacing w:after="0" w:line="86"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The term of the MRKDG License Agreement will expire on a licensed product-by-licensed product and country-by-country basis upon the expiration of our obligation to pay royalties to the licensor with respect to such licensed product in such country and will expire in its entirety upon the expiration of all of our payment obligations with respect to all licensed products and all countries under the MRKDG License Agreement.</w:t>
      </w:r>
    </w:p>
    <w:p>
      <w:pPr>
        <w:spacing w:after="0" w:line="68"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In consideration for the rights granted under the MRKDG License Agreement and clinical supplies, we made an upfront payment of $8.0 million, which was recorded as research and development expenses, as the technology does not have an alternative future use and supplies are used for research activities. As of March 31, 2024, we could be required to make additional payments of up to $364.5 million based upon the achievement of specified development, regulatory, and commercial milestones, as well a high, single-digit royalty percentage on future net sales of licensed products, if any. Milestones and royalties are contingent upon future events and will be recorded when the milestones are achieved and when payments are due.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 with Sprint Bioscience AB</w:t>
      </w:r>
    </w:p>
    <w:p>
      <w:pPr>
        <w:spacing w:after="0" w:line="121" w:lineRule="exact"/>
        <w:rPr>
          <w:sz w:val="20"/>
          <w:szCs w:val="20"/>
          <w:color w:val="auto"/>
        </w:rPr>
      </w:pPr>
    </w:p>
    <w:p>
      <w:pPr>
        <w:ind w:firstLine="464"/>
        <w:spacing w:after="0" w:line="261" w:lineRule="auto"/>
        <w:rPr>
          <w:sz w:val="20"/>
          <w:szCs w:val="20"/>
          <w:color w:val="auto"/>
        </w:rPr>
      </w:pPr>
      <w:r>
        <w:rPr>
          <w:rFonts w:ascii="Times New Roman" w:cs="Times New Roman" w:eastAsia="Times New Roman" w:hAnsi="Times New Roman"/>
          <w:sz w:val="18"/>
          <w:szCs w:val="18"/>
          <w:color w:val="auto"/>
        </w:rPr>
        <w:t>On August 15, 2023, we entered into a research collaboration and license agreement, or the Sprint License Agreement, with Sprint Bioscience AB, or Sprint, a Swedish corporation located in Huddinge, Sweden. Under the Sprint License Agreement, Sprint granted to us an exclusive, worldwide license, with the right to grant sublicenses through multiple tiers, to research, develop, and commercialize pharmaceutical products and to engage in research aimed at discovery, optimization and development of Vaccinia Related Kinase 1, or VRK1.</w:t>
      </w:r>
    </w:p>
    <w:p>
      <w:pPr>
        <w:spacing w:after="0" w:line="72" w:lineRule="exact"/>
        <w:rPr>
          <w:sz w:val="20"/>
          <w:szCs w:val="20"/>
          <w:color w:val="auto"/>
        </w:rPr>
      </w:pPr>
    </w:p>
    <w:p>
      <w:pPr>
        <w:ind w:right="80" w:firstLine="464"/>
        <w:spacing w:after="0" w:line="266" w:lineRule="auto"/>
        <w:rPr>
          <w:sz w:val="20"/>
          <w:szCs w:val="20"/>
          <w:color w:val="auto"/>
        </w:rPr>
      </w:pPr>
      <w:r>
        <w:rPr>
          <w:rFonts w:ascii="Times New Roman" w:cs="Times New Roman" w:eastAsia="Times New Roman" w:hAnsi="Times New Roman"/>
          <w:sz w:val="18"/>
          <w:szCs w:val="18"/>
          <w:color w:val="auto"/>
        </w:rPr>
        <w:t>The term of the Sprint License Agreement will expire on a licensed product and country basis upon the expiration of the royalty term with respect to such licensed product and such country, unless terminated earlier. We have the right to terminate the Sprint License Agreement in its entirety, or on a licensed product-by-licensed product basis, at will upon a specified notice period.</w:t>
      </w:r>
    </w:p>
    <w:p>
      <w:pPr>
        <w:spacing w:after="0" w:line="68" w:lineRule="exact"/>
        <w:rPr>
          <w:sz w:val="20"/>
          <w:szCs w:val="20"/>
          <w:color w:val="auto"/>
        </w:rPr>
      </w:pPr>
    </w:p>
    <w:p>
      <w:pPr>
        <w:ind w:right="160" w:firstLine="464"/>
        <w:spacing w:after="0" w:line="258" w:lineRule="auto"/>
        <w:rPr>
          <w:sz w:val="20"/>
          <w:szCs w:val="20"/>
          <w:color w:val="auto"/>
        </w:rPr>
      </w:pPr>
      <w:r>
        <w:rPr>
          <w:rFonts w:ascii="Times New Roman" w:cs="Times New Roman" w:eastAsia="Times New Roman" w:hAnsi="Times New Roman"/>
          <w:sz w:val="18"/>
          <w:szCs w:val="18"/>
          <w:color w:val="auto"/>
        </w:rPr>
        <w:t>We paid $3.0 million upfront in cash to Sprint, which was recorded as research and development expenses as the technology does not have an alternative future use. As of March 31, 2024, we could be required to make milestone payments of up to $309.0 million based upon achievement of specified development, regulatory, and commercial milestones for each licensed product, as well as tiered royalties ranging in the single-digit percentages on future net sales of licensed products, if any. Milestones and royalties are contingent upon future events and will be recorded when the milestones are achieved and when payments are due.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external and internal expenses incurred for our research activities, including our discovery and in-licensing undertakings, and the development of our product candidates.</w:t>
      </w: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ind w:left="520"/>
        <w:spacing w:after="0"/>
        <w:rPr>
          <w:sz w:val="20"/>
          <w:szCs w:val="20"/>
          <w:color w:val="auto"/>
        </w:rPr>
      </w:pPr>
      <w:r>
        <w:rPr>
          <w:rFonts w:ascii="Times New Roman" w:cs="Times New Roman" w:eastAsia="Times New Roman" w:hAnsi="Times New Roman"/>
          <w:sz w:val="18"/>
          <w:szCs w:val="18"/>
          <w:color w:val="auto"/>
        </w:rPr>
        <w:t>External expenses include:</w:t>
      </w:r>
    </w:p>
    <w:p>
      <w:pPr>
        <w:spacing w:after="0" w:line="117" w:lineRule="exact"/>
        <w:rPr>
          <w:sz w:val="20"/>
          <w:szCs w:val="20"/>
          <w:color w:val="auto"/>
        </w:rPr>
      </w:pPr>
    </w:p>
    <w:p>
      <w:pPr>
        <w:ind w:left="1140" w:right="60" w:hanging="369"/>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under agreements with third-party contract research organizations, or CROs, contract manufacturing organizations, or CMOs, and other third parties that conduct clinical trials on our behalf;</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acquiring technology and intellectual property licenses that have no alternative future uses; and</w:t>
      </w:r>
    </w:p>
    <w:p>
      <w:pPr>
        <w:spacing w:after="0" w:line="117" w:lineRule="exact"/>
        <w:rPr>
          <w:rFonts w:ascii="Times New Roman" w:cs="Times New Roman" w:eastAsia="Times New Roman" w:hAnsi="Times New Roman"/>
          <w:sz w:val="18"/>
          <w:szCs w:val="18"/>
          <w:color w:val="auto"/>
        </w:rPr>
      </w:pPr>
    </w:p>
    <w:p>
      <w:pPr>
        <w:ind w:left="1140" w:right="80" w:hanging="369"/>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business operational costs, such as rent, facilities and maintenance, travel and information technology, incurred related to research and development activities, but are not allocable to a specific product or product candidate.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Internal expenses include:</w:t>
      </w:r>
    </w:p>
    <w:p>
      <w:pPr>
        <w:spacing w:after="0" w:line="117" w:lineRule="exact"/>
        <w:rPr>
          <w:sz w:val="20"/>
          <w:szCs w:val="20"/>
          <w:color w:val="auto"/>
        </w:rPr>
      </w:pPr>
    </w:p>
    <w:p>
      <w:pPr>
        <w:ind w:left="1140" w:right="440" w:hanging="369"/>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costs, including salaries, bonuses, benefits and share-based compensation expense, for our research and development personnel.</w:t>
      </w:r>
    </w:p>
    <w:p>
      <w:pPr>
        <w:spacing w:after="0" w:line="162"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expenses as incurred. We track external costs by program, which currently consist of expenses for our OJEMDA, pimasertib and VRK1 programs. We do not track indirect costs on a program specific basis because these costs are deployed across multiple programs and, as such, are not separately classified.</w:t>
      </w:r>
    </w:p>
    <w:p>
      <w:pPr>
        <w:spacing w:after="0" w:line="176"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that our research and development expenses will increase for the foreseeable future as we continue to implement our business strategy; advance our product candidates through clinical trials and conduct larger clinical trials; expand our research and development efforts; and identify, acquire and develop additional product candidates, particularly as more of our product candidates move into clinical development and later stages of clinical development.</w:t>
      </w:r>
    </w:p>
    <w:p>
      <w:pPr>
        <w:spacing w:after="0" w:line="7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drug candidates is uncertain and subject to a number of risks. We cannot guarantee that results of clinical trials will be favorable or sufficient to support marketing authorizations for any of our product development programs. We could decide to abandon development or be required to spend considerable resources not otherwise contemplated. For additional discussion regarding the risks and uncertainties regarding our research and development programs, please refer to Part II, Item 1A “Risk Factors” in this Quarterly Report on Form 10-Q.</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costs, professional services and other operational costs. Employee-related costs include salaries, bonuses, benefits and share-based compensation expense for our general and administrative personnel. Professional service expenses include legal fees; professional fees for accounting, auditing, tax, human resources, business development, and other consulting services. Other operational costs include expenses for rent and facilities maintenance, travel, insurance and information technology.</w:t>
      </w:r>
    </w:p>
    <w:p>
      <w:pPr>
        <w:spacing w:after="0" w:line="7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for the foreseeable future as we anticipate an increase in our personnel headcount to support the expansion of our corporate and commercial activities and continued expenses associated with being a public company, including costs related to compliance with the requirements of the Nasdaq Global Select Market, or Nasdaq, and the Securities and Exchange Commission, or the SEC; and investor and public relations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2024 and 2023 (unaudited):</w:t>
      </w:r>
    </w:p>
    <w:p>
      <w:pPr>
        <w:spacing w:after="0" w:line="22" w:lineRule="exact"/>
        <w:rPr>
          <w:sz w:val="20"/>
          <w:szCs w:val="20"/>
          <w:color w:val="auto"/>
        </w:rPr>
      </w:pPr>
    </w:p>
    <w:p>
      <w:pPr>
        <w:jc w:val="center"/>
        <w:ind w:left="2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20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2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0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6"/>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40,210</w:t>
            </w:r>
          </w:p>
        </w:tc>
        <w:tc>
          <w:tcPr>
            <w:tcW w:w="3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27,828</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12,382</w:t>
            </w:r>
          </w:p>
        </w:tc>
        <w:tc>
          <w:tcPr>
            <w:tcW w:w="20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44.5 %</w:t>
            </w:r>
          </w:p>
        </w:tc>
        <w:tc>
          <w:tcPr>
            <w:tcW w:w="0" w:type="dxa"/>
            <w:vAlign w:val="bottom"/>
          </w:tcPr>
          <w:p>
            <w:pPr>
              <w:spacing w:after="0"/>
              <w:rPr>
                <w:sz w:val="1"/>
                <w:szCs w:val="1"/>
                <w:color w:val="auto"/>
              </w:rPr>
            </w:pPr>
          </w:p>
        </w:tc>
      </w:tr>
      <w:tr>
        <w:trPr>
          <w:trHeight w:val="238"/>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26,557</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20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47.3 %</w:t>
            </w:r>
          </w:p>
        </w:tc>
        <w:tc>
          <w:tcPr>
            <w:tcW w:w="0" w:type="dxa"/>
            <w:vAlign w:val="bottom"/>
          </w:tcPr>
          <w:p>
            <w:pPr>
              <w:spacing w:after="0"/>
              <w:rPr>
                <w:sz w:val="1"/>
                <w:szCs w:val="1"/>
                <w:color w:val="auto"/>
              </w:rPr>
            </w:pPr>
          </w:p>
        </w:tc>
      </w:tr>
      <w:tr>
        <w:trPr>
          <w:trHeight w:val="27"/>
        </w:trPr>
        <w:tc>
          <w:tcPr>
            <w:tcW w:w="52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2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66,767</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20,912</w:t>
            </w:r>
          </w:p>
        </w:tc>
        <w:tc>
          <w:tcPr>
            <w:tcW w:w="20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45.6 %</w:t>
            </w:r>
          </w:p>
        </w:tc>
        <w:tc>
          <w:tcPr>
            <w:tcW w:w="0" w:type="dxa"/>
            <w:vAlign w:val="bottom"/>
          </w:tcPr>
          <w:p>
            <w:pPr>
              <w:spacing w:after="0"/>
              <w:rPr>
                <w:sz w:val="1"/>
                <w:szCs w:val="1"/>
                <w:color w:val="auto"/>
              </w:rPr>
            </w:pPr>
          </w:p>
        </w:tc>
      </w:tr>
      <w:tr>
        <w:trPr>
          <w:trHeight w:val="22"/>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2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(66,767 )</w:t>
            </w:r>
          </w:p>
        </w:tc>
        <w:tc>
          <w:tcPr>
            <w:tcW w:w="2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(45,855 )</w:t>
            </w:r>
          </w:p>
        </w:tc>
        <w:tc>
          <w:tcPr>
            <w:tcW w:w="2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(20,912 )</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45.6 %</w:t>
            </w:r>
          </w:p>
        </w:tc>
        <w:tc>
          <w:tcPr>
            <w:tcW w:w="0" w:type="dxa"/>
            <w:vAlign w:val="bottom"/>
          </w:tcPr>
          <w:p>
            <w:pPr>
              <w:spacing w:after="0"/>
              <w:rPr>
                <w:sz w:val="1"/>
                <w:szCs w:val="1"/>
                <w:color w:val="auto"/>
              </w:rPr>
            </w:pPr>
          </w:p>
        </w:tc>
      </w:tr>
      <w:tr>
        <w:trPr>
          <w:trHeight w:val="245"/>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 net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0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0" w:type="dxa"/>
            <w:vAlign w:val="bottom"/>
          </w:tcPr>
          <w:p>
            <w:pPr>
              <w:spacing w:after="0"/>
              <w:rPr>
                <w:sz w:val="1"/>
                <w:szCs w:val="1"/>
                <w:color w:val="auto"/>
              </w:rPr>
            </w:pPr>
          </w:p>
        </w:tc>
      </w:tr>
      <w:tr>
        <w:trPr>
          <w:trHeight w:val="245"/>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(10 )</w:t>
            </w: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(4 )</w:t>
            </w: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(62,412 )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(42,393 )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(20,019 )</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47.2 %</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-976630</wp:posOffset>
            </wp:positionV>
            <wp:extent cx="7132320" cy="1631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-187960</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-187960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-187960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Amount and/or percentage not meaningful</w:t>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$12.4 million, from $27.8 million for the three months ended March 31, 2023 to $40.2 million for the three months ended March 31, 2024. Third-party expenses increased by $3.7 million due primarily to an increase in clinical trial and manufacturing activities and personnel related expenses increased by $2.9 million driven by headcount growth. Additionally, during the three months ended March 31, 2024, a $5.0 million payment was made related to the Viracta License Agreement in exchange for reduced future payment obligations related to the future sale or use of a priority review voucher.</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external and internal research and development expenses for the three months ended March 31, 2024 and 2023:</w:t>
      </w:r>
    </w:p>
    <w:p>
      <w:pPr>
        <w:spacing w:after="0" w:line="22"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External costs:</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Third-party CRO, CMO and other third-party clinical trial costs (1)</w:t>
            </w:r>
          </w:p>
        </w:tc>
        <w:tc>
          <w:tcPr>
            <w:tcW w:w="100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19,546</w:t>
            </w:r>
          </w:p>
        </w:tc>
        <w:tc>
          <w:tcPr>
            <w:tcW w:w="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Viracta License Agreement Payment</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research and development costs</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Internal costs:</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related expenses</w:t>
            </w: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13,497</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10,595</w:t>
            </w:r>
          </w:p>
        </w:tc>
        <w:tc>
          <w:tcPr>
            <w:tcW w:w="100" w:type="dxa"/>
            <w:vAlign w:val="bottom"/>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0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40,210</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27,828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left="1020" w:right="1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CRO, CMO and other clinical trial costs for the tovorafenib, pimasertib, and VRK1 programs were $16.7 million, $1.0 million, and $1.8 million, respectively, for three months ended March 31, 2024 compared to $14.8 million, $1.1 million, and $0, respectively, for the three months ended March 31, 2023.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$8.5 million, from $18.0 million for the three months ended March 31, 2023 to $26.6 million for the three months ended March 31, 2024. The increase in general and administrative expenses were primarily due to an increase of $5.1 million in personnel related expenses driven by headcount growth, an increase of $1.7 million in external consulting services, and an increase of $1.7 million in other general and administrative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In June 2023, we completed a follow-on offering and issued and sold 13,269,231 shares of common stock (including the exercise by the underwriters of their option to purchase an additional 1,730,769 shares of common stock) at a price to the public of $13.00 per share for net proceeds of approximately $161.4 million, after deducting underwriting discounts, commissions, and offering costs.</w:t>
      </w:r>
    </w:p>
    <w:p>
      <w:pPr>
        <w:spacing w:after="0" w:line="68" w:lineRule="exact"/>
        <w:rPr>
          <w:sz w:val="20"/>
          <w:szCs w:val="20"/>
          <w:color w:val="auto"/>
        </w:rPr>
      </w:pPr>
    </w:p>
    <w:p>
      <w:pPr>
        <w:ind w:right="160" w:firstLine="509"/>
        <w:spacing w:after="0" w:line="289" w:lineRule="auto"/>
        <w:rPr>
          <w:sz w:val="20"/>
          <w:szCs w:val="20"/>
          <w:color w:val="auto"/>
        </w:rPr>
      </w:pPr>
      <w:r>
        <w:rPr>
          <w:rFonts w:ascii="Times New Roman" w:cs="Times New Roman" w:eastAsia="Times New Roman" w:hAnsi="Times New Roman"/>
          <w:sz w:val="17"/>
          <w:szCs w:val="17"/>
          <w:color w:val="auto"/>
        </w:rPr>
        <w:t>We have entered into an equity distribution agreement, or the Equity Distribution Agreement, with Piper Sandler &amp; Co. and JonesTrading Institutional Services LLC, as sales agents, relating to the issuance and sale of shares of our common stock for an aggregate offering price of up to $250.0 million under an at-the-market offering program, or the ATM. No shares of our common stock have been sold under the ATM as of March 31, 2024.</w:t>
      </w:r>
    </w:p>
    <w:p>
      <w:pPr>
        <w:spacing w:after="0" w:line="5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2024, we had an accumulated deficit of $521.0 million and $317.9 million in cash and cash equivalents and short-term investments. We believe our cash and cash equivalents and short-term investments will be sufficient to satisfy our cash requirements over the next 12 months and into 2026.</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primary use of cash is to fund operating expenses, which consist of research and development expenditures and general and administrative expenditures. Cash used to fund operating expenses is impacted by the timing of when we pay these expenses, as reflected in the change in our outstanding accounts payable and accrued expenses. Our material cash requirements include the following contractual and other obligations.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have an operating lease obligation for office space. As of March 31, 2024, we had fixed lease payment obligations of approximately $0.3 million payable within 12 months.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Research Organizations and Contract Manufacturing Organizations</w:t>
      </w:r>
    </w:p>
    <w:p>
      <w:pPr>
        <w:spacing w:after="0" w:line="11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have entered into contracts in the normal course of business with CROs, CMOs, and other third-party vendors for clinical trial, manufacturing, testing, and other research and development activities. These contracts generally provide for termination on</w:t>
      </w: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6" w:name="page27"/>
    <w:bookmarkEnd w:id="26"/>
    <w:p>
      <w:pPr>
        <w:ind w:right="380"/>
        <w:spacing w:after="0" w:line="282" w:lineRule="auto"/>
        <w:rPr>
          <w:sz w:val="20"/>
          <w:szCs w:val="20"/>
          <w:color w:val="auto"/>
        </w:rPr>
      </w:pPr>
      <w:r>
        <w:rPr>
          <w:rFonts w:ascii="Times New Roman" w:cs="Times New Roman" w:eastAsia="Times New Roman" w:hAnsi="Times New Roman"/>
          <w:sz w:val="18"/>
          <w:szCs w:val="18"/>
          <w:color w:val="auto"/>
        </w:rPr>
        <w:t>notice, with the exception of one vendor where certain costs are non-cancellable after the approval of the project. As of March 31, 2024, there were no amounts accrued related to termination and cancellation charges as these are not probable.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entered into licensing agreements which require us to pay milestones contingent upon meeting of specific events. Most recently, we made a milestone payment of $5.0 million to Viracta related to the acceptance of our New Drug Applications, or NDAs, by the FDA in the year ended December 31, 2023. We are required to pay royalties on sales of products developed under these license agreements. All our products were in development as of March 31, 2024 and no such royalties are due. As of March 31, 2024, we do not have any contingent payment obligations since the amount, timing and likelihood of such payments are not known. Subsequent to March 31, 2024, the FDA approved the Company's NDAs for the tablet formulation and for the powder solution formulation of OJEMDA for the treatment of patients 6 months of age and older with relapsed or refractory pLGG harboring a BRAF fusion or rearrangement, or BRAF V600 mutation as disclosed in Note 11 of the Notes to our Financial Statements included elsewhere in this Quarterly Report on Form 10-Q. Commencing on the first commercial sale of OJEMDA in a country, the Company is obligated to pay tiered royalties ranging in the mid-single-digit percentages on net sales of licensed products under the Viracta License Agreement.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the periods presented:</w:t>
      </w:r>
    </w:p>
    <w:p>
      <w:pPr>
        <w:spacing w:after="0" w:line="22"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4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(49,729 )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(25,985 )</w:t>
            </w:r>
          </w:p>
        </w:tc>
        <w:tc>
          <w:tcPr>
            <w:tcW w:w="20" w:type="dxa"/>
            <w:vAlign w:val="bottom"/>
          </w:tcPr>
          <w:p>
            <w:pPr>
              <w:spacing w:after="0"/>
              <w:rPr>
                <w:sz w:val="20"/>
                <w:szCs w:val="20"/>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89,288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(11,193 )</w:t>
            </w:r>
          </w:p>
        </w:tc>
        <w:tc>
          <w:tcPr>
            <w:tcW w:w="20" w:type="dxa"/>
            <w:vAlign w:val="bottom"/>
          </w:tcPr>
          <w:p>
            <w:pPr>
              <w:spacing w:after="0"/>
              <w:rPr>
                <w:sz w:val="20"/>
                <w:szCs w:val="20"/>
                <w:color w:val="auto"/>
              </w:rPr>
            </w:pPr>
          </w:p>
        </w:tc>
      </w:tr>
      <w:tr>
        <w:trPr>
          <w:trHeight w:val="243"/>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39,607</w:t>
            </w:r>
          </w:p>
        </w:tc>
        <w:tc>
          <w:tcPr>
            <w:tcW w:w="2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(35,994 )</w:t>
            </w:r>
          </w:p>
        </w:tc>
        <w:tc>
          <w:tcPr>
            <w:tcW w:w="20" w:type="dxa"/>
            <w:vAlign w:val="bottom"/>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-187960</wp:posOffset>
            </wp:positionV>
            <wp:extent cx="5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2024 was $49.7 million, consisting of our net loss of $62.4 million, non-cash charges of $11.5 million and net changes in operating assets and liabilities of $1.2 million. Non-cash charges are primarily related to share-based compensation expense of $12.6 million, which was partially offset by accretion of discounts on short-term investments of $1.3 million. Net changes in operating assets and liabilities are primarily related to an increase in accounts payable of $2.2 million and a decrease in prepaid expenses and other current assets of $0.8 million, which were partially offset by a decrease in accrued expenses and other current liabilities of $1.8 million and a decrease in operating lease liabilities of $0.1 million.</w:t>
      </w:r>
    </w:p>
    <w:p>
      <w:pPr>
        <w:spacing w:after="0" w:line="7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2023 was $26.0 million, consisting of our net loss of $42.4 million, non-cash charges of $8.9 million and net changes in operating assets and liabilities of $7.5 million. Non-cash charges is primarily related to share-based compensation expense of $9.4 million, which was partially offset by accretion of discounts on short-term investments of $0.6 million. Net changes in operating assets and liabilities is primarily related to an increase in accounts payable of $4.4 million, an increase in accrued expenses and other current liabilities of $1.8 million and a decrease of prepaid expenses and other current assets of $1.4 million, which were partially offset by a decrease to operating lease liabilities of $0.1 million.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2024 was $89.3 million related to the proceeds from the maturity of short-term investments of $136.5 million, partially offset by the purchase of short-term investments of $47.2 million.</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2023 was $11.2 million related to the purchase of short-term investments of $160.0 million partially offset by the proceeds from the maturity of short-term investments of $148.8 million.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for the three months ended March 31, 2024 was $48,000 related to net proceeds from the issuance of common stock upon stock option exercises.</w:t>
      </w:r>
    </w:p>
    <w:p>
      <w:pPr>
        <w:spacing w:after="0" w:line="54"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for the three months ended March 31, 2023 was $1.2 million related to net proceeds from the issuance of common stock upon stock option exercises.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121"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We expect to continue to incur significant expenses and increasing operating losses for the foreseeable future in connection with our ongoing activities.</w:t>
      </w: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7" w:name="page28"/>
    <w:bookmarkEnd w:id="27"/>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We believe our existing cash, cash equivalents and short-term investments will enable us to fund our operating expenses and capital expenditure requirements into 2026. We have based this estimate on assumptions that may prove to be imprecise, and we could use our available capital resources sooner than we currently expect.</w:t>
      </w:r>
    </w:p>
    <w:p>
      <w:pPr>
        <w:spacing w:after="0" w:line="68"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As a result of anticipated expenditures, we will need to obtain substantial additional financing in connection with our continuing operations. Until such time that we can generate substantial revenue, we expect to finance our cash needs through a combination of equity offerings, debt financings, collaborations, strategic alliances and marketing, distribution or licensing arrangements. Adequate additional funds may not be available to us on acceptable terms, or at all. If we are unable to raise capital when needed or on attractive terms, we may be required to delay, limit, reduce or terminate our research, product development programs or any future commercialization efforts or grant rights to develop and market product candidates that we would otherwise prefer to develop and market ourselves.</w:t>
      </w:r>
    </w:p>
    <w:p>
      <w:pPr>
        <w:spacing w:after="0" w:line="7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stockholder ownership interest will be diluted, and the terms of these securities may include liquidation or other preferences that adversely affect stockholder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ability to raise additional funds may be adversely impacted by potential worsening global economic conditions, and disruptions to and volatility in the credit and financial markets in the United States and worldwide resulting from inflation, changing interest rates, potential instability in the global banking system, uncertainty with respect to the federal debt ceiling and budget and potential government shutdowns related thereto with respect to the federal budget, global regional conflicts, public health epidemics, or otherwise. Because of the numerous risks and uncertainties associated with product development, we cannot predict the timing or amount of increased expenses and cannot assure that we will ever be profitable or generate positive cash flow from operating activities.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Our critical accounting policies are disclosed in our audited consolidated financial statements for the year ended December 31, 2023, and the related notes, included in our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Refer to Note 2 of the Notes to our Financial Statements included elsewhere in this Quarterly Report on Form 10-Q for a summary of recently issued and adopted accounting pronouncements.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market risks from those described in Part II Item 7A. Quantitative and qualitative disclosures about market risk of our 2023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As of March 31, 2024, management, with the participation of our Principal Executive Officer and Principal Financial Officer, performed an evaluation of the effectiveness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the Principal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Officer concluded that, as of March 31, 2024, our disclosure controls and procedures were effective at a reasonable assurance level.</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March 31, 2024 that have materially affected, or are reasonably likely to materially affect, our internal control over financial reporting.</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089" w:right="659" w:bottom="1440" w:gutter="0" w:footer="0" w:header="0"/>
        </w:sectPr>
      </w:pPr>
    </w:p>
    <w:bookmarkStart w:id="29" w:name="page30"/>
    <w:bookmarkEnd w:id="2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making your decision to invest in shares of our common stock, you should carefully consider the risks and uncertainties described below, together with the other information contained in this quarterly report, including our financial statements and the related notes and “Management’s Discussion and Analysis of Financial Condition and Results of Operations.” The risks and uncertainties described below are not the only ones we face. Additional risks and uncertainties that we are unaware of, or that we currently believe are not material, may also become important factors that affect us.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subject to several risks and uncertainties, including those immediately following this summary. Some of these risks are:</w:t>
      </w:r>
    </w:p>
    <w:p>
      <w:pPr>
        <w:spacing w:after="0" w:line="117" w:lineRule="exact"/>
        <w:rPr>
          <w:sz w:val="20"/>
          <w:szCs w:val="20"/>
          <w:color w:val="auto"/>
        </w:rPr>
      </w:pPr>
    </w:p>
    <w:p>
      <w:pPr>
        <w:ind w:left="520" w:right="8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not completed any clinical trials beyond Phase 2, and have not generated any revenue, which may make it difficult for investors to evaluate our current business and likelihood of success and viability.</w:t>
      </w:r>
    </w:p>
    <w:p>
      <w:pPr>
        <w:spacing w:after="0" w:line="53" w:lineRule="exact"/>
        <w:rPr>
          <w:rFonts w:ascii="Times New Roman" w:cs="Times New Roman" w:eastAsia="Times New Roman" w:hAnsi="Times New Roman"/>
          <w:sz w:val="18"/>
          <w:szCs w:val="18"/>
          <w:color w:val="auto"/>
        </w:rPr>
      </w:pPr>
    </w:p>
    <w:p>
      <w:pPr>
        <w:ind w:left="520" w:right="68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our inception and have not generated any revenue. We expect to incur continued losses for the foreseeable future and may never achieve or maintain profitability.</w:t>
      </w:r>
    </w:p>
    <w:p>
      <w:pPr>
        <w:spacing w:after="0" w:line="53" w:lineRule="exact"/>
        <w:rPr>
          <w:rFonts w:ascii="Times New Roman" w:cs="Times New Roman" w:eastAsia="Times New Roman" w:hAnsi="Times New Roman"/>
          <w:sz w:val="18"/>
          <w:szCs w:val="18"/>
          <w:color w:val="auto"/>
        </w:rPr>
      </w:pPr>
    </w:p>
    <w:p>
      <w:pPr>
        <w:ind w:left="520" w:right="20" w:hanging="512"/>
        <w:spacing w:after="0" w:line="261"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near-term revenues are highly dependent on the successful commercialization of OJEMDA (tovorafenib), which received marketing approval in April 2024 from the FDA for the treatment of patients 6 months of age and older with relapsed or refractory pLGG harboring a BRAF fusion or rearrangement, or BRAF V600 mutation. To the extent that OJEMDA is not commercially successful, our business, financial condition and results of operations would be materially and adversely affected and the price of our common stock would decline.</w:t>
      </w:r>
    </w:p>
    <w:p>
      <w:pPr>
        <w:spacing w:after="0" w:line="71"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profitability depends significantly on our ability to achieve several objectives relating to the discovery or identification, development and commercialization of OJEMDA and our product candidates.</w:t>
      </w:r>
    </w:p>
    <w:p>
      <w:pPr>
        <w:spacing w:after="0" w:line="53" w:lineRule="exact"/>
        <w:rPr>
          <w:rFonts w:ascii="Times New Roman" w:cs="Times New Roman" w:eastAsia="Times New Roman" w:hAnsi="Times New Roman"/>
          <w:sz w:val="18"/>
          <w:szCs w:val="18"/>
          <w:color w:val="auto"/>
        </w:rPr>
      </w:pPr>
    </w:p>
    <w:p>
      <w:pPr>
        <w:ind w:left="520" w:right="40" w:hanging="512"/>
        <w:spacing w:after="0" w:line="266"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w:t>
      </w:r>
    </w:p>
    <w:p>
      <w:pPr>
        <w:spacing w:after="0" w:line="67" w:lineRule="exact"/>
        <w:rPr>
          <w:rFonts w:ascii="Times New Roman" w:cs="Times New Roman" w:eastAsia="Times New Roman" w:hAnsi="Times New Roman"/>
          <w:sz w:val="18"/>
          <w:szCs w:val="18"/>
          <w:color w:val="auto"/>
        </w:rPr>
      </w:pPr>
    </w:p>
    <w:p>
      <w:pPr>
        <w:ind w:left="520" w:right="120" w:hanging="512"/>
        <w:spacing w:after="0" w:line="261"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very expensive, time-consuming and difficult to design and implement, and involve uncertain outcomes. Furthermore, results of earlier preclinical studies and clinical trials may not be predictive of results of future preclinical studies or clinical trials. OJEMDA and our product candidates may not have favorable results in later clinical trials, if any, or receive marketing authorization. If we fail to demonstrate the safety and effectiveness of OJEMDA or our product candidates, our reputation may be harmed and our business will suffer.</w:t>
      </w:r>
    </w:p>
    <w:p>
      <w:pPr>
        <w:spacing w:after="0" w:line="71"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rely on data from investigator-initiated studies, as we did for the Phase 1 clinical trial, and we do not control the trial operations or reporting of the results of such trials.</w:t>
      </w:r>
    </w:p>
    <w:p>
      <w:pPr>
        <w:spacing w:after="0" w:line="53" w:lineRule="exact"/>
        <w:rPr>
          <w:rFonts w:ascii="Times New Roman" w:cs="Times New Roman" w:eastAsia="Times New Roman" w:hAnsi="Times New Roman"/>
          <w:sz w:val="18"/>
          <w:szCs w:val="18"/>
          <w:color w:val="auto"/>
        </w:rPr>
      </w:pPr>
    </w:p>
    <w:p>
      <w:pPr>
        <w:ind w:left="520" w:right="76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commercialization of pharmaceutical products are subject to extensive regulation, and we may not obtain marketing authorizations for pimasertib or any future product candidates, on a timely basis or at all.</w:t>
      </w:r>
    </w:p>
    <w:p>
      <w:pPr>
        <w:spacing w:after="0" w:line="53" w:lineRule="exact"/>
        <w:rPr>
          <w:rFonts w:ascii="Times New Roman" w:cs="Times New Roman" w:eastAsia="Times New Roman" w:hAnsi="Times New Roman"/>
          <w:sz w:val="18"/>
          <w:szCs w:val="18"/>
          <w:color w:val="auto"/>
        </w:rPr>
      </w:pPr>
    </w:p>
    <w:p>
      <w:pPr>
        <w:ind w:left="520" w:right="140" w:hanging="512"/>
        <w:spacing w:after="0" w:line="266"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of pharmaceutical products, including OJEMDA and our product candidates, including pimasertib, is complex. Our third-party manufacturers may encounter difficulties in production, which could delay or entirely halt their ability to supply our product candidates for clinical trials or, if approved, our products for commercial sale.</w:t>
      </w:r>
    </w:p>
    <w:p>
      <w:pPr>
        <w:spacing w:after="0" w:line="6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our executive officers and key employees and to attract, retain and motivate qualified personnel and manage our human capital.</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grow the size and capabilities of our organization, and we may experience difficulties in managing this growth.</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ind w:left="520" w:right="100" w:hanging="512"/>
        <w:spacing w:after="0" w:line="261"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or other necessary rights for our products and technology, or if the scope of the patent protection obtained is not sufficiently broad or our rights under our patents (owned, co-owned or licensed) is not sufficiently broad, our competitors could develop and commercialize products and technology similar or identical to ours, and our ability to successfully commercialize our products and technology may be adversely affected.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have not completed any clinical trials beyond Phase 2 and have not generated any revenue, which may make it difficult for investors to evaluate our current business and likelihood of success and viability.</w:t>
      </w:r>
    </w:p>
    <w:p>
      <w:pPr>
        <w:spacing w:after="0" w:line="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a commercial-stage biopharmaceutical company with a limited operating history upon which you can evaluate our business and prospects. We commenced operations in 2018, and have never generated any revenue. Investment in drug development is a highly speculative undertaking and involves a substantial degree of risk. To date, we have devoted substantially all of our resources to identifying, acquiring and developing OJEMDA and our product candidates and building our pipeline, organizing and staffing our company, business planning, building a commercial organization, establishing and maintaining our intellectual property portfolio, establishing arrangements with third parties for the manufacture of our product candidates, raising capital and providing general and administrative support for these operations.</w:t>
      </w:r>
    </w:p>
    <w:p>
      <w:pPr>
        <w:spacing w:after="0" w:line="7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Since our inception, we have focused substantially all of our efforts and financial resources on the clinical development of our product, OJEMDA, initially for relapsed or refractory pediatric low-grade gliomas, or pLGGs, and our product candidate, pimasertib, which we are studying in combination with tovorafenib for the treatment of RAS- and RAF-dependent tumors. To date, we have financed our operations primarily through the sale and issuance of redeemable convertible preferred shares, convertible notes, the completion of our initial public offering, or IPO, and follow-on public offerings of our common stock.</w:t>
      </w:r>
    </w:p>
    <w:p>
      <w:pPr>
        <w:spacing w:after="0" w:line="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not yet demonstrated an ability to successfully complete any clinical trials beyond Phase 2, manufacture a commercial-scale product or arrange for a third 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w:t>
      </w:r>
    </w:p>
    <w:p>
      <w:pPr>
        <w:spacing w:after="0" w:line="6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addition, we may encounter unforeseen expenses, difficulties, complications, delays and other known and unknown factors and risks frequently experienced by biopharmaceutical companies in rapidly evolving fields and with recently approved therapies.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28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our inception and have not generated any revenue. We expect to incur continued losses for the foreseeable future and may never achieve or maintain profitability.</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incurred significant net losses in each reporting period since our inception, have not generated any revenue to date and have financed our operations principally through private placements of our redeemable convertible preferred shares, our convertible notes, the completion of our IPO and follow-on offerings of our common stock. For the three months ended March 31, 2024 and 2023, we reported a net loss of $62.4 million and $42.4 million, respectively. We had an accumulated deficit of $521.0 million as of March 31, 2024. We expect to incur increasing levels of operating losses for the foreseeable future, particularly as we advance tovorafenib and pimasertib through clinical development. Our prior losses, combined with expected future losses, have had, and will continue to have, an adverse effect on our stockholders’ equity and working capital. We expect our research and development expenses to significantly increase in connection with our additional planned clinical trials for our product and product candidates, including our ongoing pivotal Phase 2 FIREFLY-1 trial for OJEMDA, our ongoing pivotal Phase 3 FIREFLY-2 trial of tovorafenib as a potential front-line therapy in pLGG, our post-marketing commitments and requirements for OJEMDA, our ongoing Phase 1b/2 FIRELIGHT-1 umbrella master trial of tovorafenib in adult RAS/RAF-altered solid tumors as a monotherapy and in combination with pimasertib, and development of and subsequent Investigational New Drug Applications, or INDs, for any future product candidates we may choose to pursue. In October 2023, the U.S. Food and Drug Administration, or FDA, accepted our New Drug Applications, or NDAs, and granted priority review for OJEMDA as a monotherapy in relapsed or refractory pLGG. On April 23, 2024, the FDA approved the NDAs for OJEMDA for use in the treatment of patients 6 months of age and older with relapsed or refractory pLGG harboring a BRAF fusion or rearrangement, or BRAF V600 mutation. We will incur significant sales, marketing and outsourced manufacturing expenses in connection with the commercialization of OJEMDA, or our product candidates, including pimasertib if marketing authorization is received. We have also incurred, and will continue to incur, additional costs associated with operating as a public company.</w:t>
      </w:r>
    </w:p>
    <w:p>
      <w:pPr>
        <w:spacing w:after="0" w:line="8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As a result, we expect to continue to incur significant and increasing net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 In addition, we expect our financial condition and operating results to fluctuate significantly from</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ind w:right="140"/>
        <w:spacing w:after="0" w:line="282" w:lineRule="auto"/>
        <w:rPr>
          <w:sz w:val="20"/>
          <w:szCs w:val="20"/>
          <w:color w:val="auto"/>
        </w:rPr>
      </w:pPr>
      <w:r>
        <w:rPr>
          <w:rFonts w:ascii="Times New Roman" w:cs="Times New Roman" w:eastAsia="Times New Roman" w:hAnsi="Times New Roman"/>
          <w:sz w:val="18"/>
          <w:szCs w:val="18"/>
          <w:color w:val="auto"/>
        </w:rPr>
        <w:t>quarter-to-quarter and year-to-year due to a variety of factors, many of which are beyond our control. Accordingly, you should not rely upon the results of any quarterly or annual periods as indications of future operating performance.</w:t>
      </w:r>
    </w:p>
    <w:p>
      <w:pPr>
        <w:spacing w:after="0" w:line="26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near-term revenues are highly dependent on the successful commercialization of OJEMDA, which received marketing approval in April 2024 from the FDA for the treatment of patients 6 months of age and older with relapsed or refractory pLGG harboring a BRAF fusion or rearrangement, or BRAF V600 mutation. To the extent that OJEMDA is not commercially successful, our business, financial condition and results of operations would be materially and adversely affected and the price of our common stock would decline.</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future success is highly dependent on our ability to timely complete successful clinical trials, obtain marketing authorization for, and then successfully commercialize, OJEMDA and our product candidates. OJEMDA is our only drug that has been approved for sale and it has only been approved for the treatment of patients 6 months of age and older with relapsed or refractory pLGG harboring a BRAF fusion or rearrangement, or BRAF V600 mutation. Prior to OJEMDA, we have not, as an organization, launched or commercialized a product, and there is no guarantee that we will be able to do so successfully with OJEMDA. There are numerous examples of unsuccessful product launches and failures to meet high expectations of market potential. We are focusing a significant portion of our activities and resources on OJEMDA, and we believe our near-term revenues are highly dependent on, and a meaningful portion of the value of our Company relates to, our ability to successfully commercialize OJEMDA in the United States. If the launch or commercialization of OJEMDA is unsuccessful or perceived as disappointing, our stock price could decline significantly and the long-term success of the product and our company could be harmed.</w:t>
      </w:r>
    </w:p>
    <w:p>
      <w:pPr>
        <w:spacing w:after="0" w:line="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early in our development efforts and our product, tovorafenib, is currently in pivotal Phase 3 clinical trials. Our product candidate, pimasertib, is in an earlier stage of development and is not approved for sale in any jurisdiction. There can be no assurance that tovorafenib, pimasertib or any future product candidates we develop, if any, will achieve success in their clinical trials or obtain marketing authorization.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OJEMDA will depend on several factors, including the following:</w:t>
      </w:r>
    </w:p>
    <w:p>
      <w:pPr>
        <w:spacing w:after="0" w:line="117" w:lineRule="exact"/>
        <w:rPr>
          <w:sz w:val="20"/>
          <w:szCs w:val="20"/>
          <w:color w:val="auto"/>
        </w:rPr>
      </w:pPr>
    </w:p>
    <w:p>
      <w:pPr>
        <w:ind w:left="520" w:right="4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completion of current and future clinical trials resulting in attractive, competitive target product profiles, including our pivotal Phase 3 FIREFLY-2 trial of tovorafenib as a front-line therapy for patients with pLGG;</w:t>
      </w:r>
    </w:p>
    <w:p>
      <w:pPr>
        <w:spacing w:after="0" w:line="53"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ongoing clinical trial for tovorafenib and Phase 1b/2 umbrella master trial of tovorafenib in combination with pimasertib meeting clinical endpoints;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enrollment of patients in, and completion of, clinical trials with favorable results;</w:t>
      </w:r>
    </w:p>
    <w:p>
      <w:pPr>
        <w:spacing w:after="0" w:line="117" w:lineRule="exact"/>
        <w:rPr>
          <w:rFonts w:ascii="Times New Roman" w:cs="Times New Roman" w:eastAsia="Times New Roman" w:hAnsi="Times New Roman"/>
          <w:sz w:val="18"/>
          <w:szCs w:val="18"/>
          <w:color w:val="auto"/>
        </w:rPr>
      </w:pPr>
    </w:p>
    <w:p>
      <w:pPr>
        <w:ind w:left="520" w:hanging="512"/>
        <w:spacing w:after="0" w:line="312" w:lineRule="auto"/>
        <w:tabs>
          <w:tab w:leader="none" w:pos="5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demonstration of safety, effectiveness and acceptable risk-benefit profiles of OJEMDA and our product candidates to the satisfaction of the FDA and foreign regulatory agencies and attractiveness of OJEMDA and our product candidates to physicians, patients, advocates, payors and caregivers;</w:t>
      </w:r>
    </w:p>
    <w:p>
      <w:pPr>
        <w:spacing w:after="0" w:line="31" w:lineRule="exact"/>
        <w:rPr>
          <w:rFonts w:ascii="Times New Roman" w:cs="Times New Roman" w:eastAsia="Times New Roman" w:hAnsi="Times New Roman"/>
          <w:sz w:val="17"/>
          <w:szCs w:val="17"/>
          <w:color w:val="auto"/>
        </w:rPr>
      </w:pPr>
    </w:p>
    <w:p>
      <w:pPr>
        <w:ind w:left="520" w:right="6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that of our collaborators, to develop and obtain clearance or approval of complementary or companion diagnostics, if any, on a timely basis, or at all, and an adequate supply of these diagnostics and access to these diagnostics that outpaces demand;</w:t>
      </w:r>
    </w:p>
    <w:p>
      <w:pPr>
        <w:spacing w:after="0" w:line="53"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related terms of marketing authorizations from applicable regulatory authorities for our product candidates such as pimasertib, including potential restrictions or limitations on the conditions of use of our products;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patents will be sufficient to prevent generic competition for OJEMDA after our orphan drug exclusivity expires;</w:t>
      </w:r>
    </w:p>
    <w:p>
      <w:pPr>
        <w:spacing w:after="0" w:line="117" w:lineRule="exact"/>
        <w:rPr>
          <w:rFonts w:ascii="Times New Roman" w:cs="Times New Roman" w:eastAsia="Times New Roman" w:hAnsi="Times New Roman"/>
          <w:sz w:val="18"/>
          <w:szCs w:val="18"/>
          <w:color w:val="auto"/>
        </w:rPr>
      </w:pPr>
    </w:p>
    <w:p>
      <w:pPr>
        <w:ind w:left="520" w:right="78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completion of any required or committed post-marketing studies and available funding to perform any such post-marketing requirements or post-marketing commitments;</w:t>
      </w:r>
    </w:p>
    <w:p>
      <w:pPr>
        <w:spacing w:after="0" w:line="53"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funds necessary to complete clinical development of and successful commercialization of OJEMDA and our product candidates, including pimasertib;</w:t>
      </w:r>
    </w:p>
    <w:p>
      <w:pPr>
        <w:spacing w:after="0" w:line="53"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and other intellectual property protection and statutory exclusivities for OJEMDA and our product candidates;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and enforcing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520" w:right="52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or establishing manufacturing capabilities, for both clinical and commercial supplies of OJEMDA and our product candidates and ensuring a resilient, effective supply chain that produces supply that outpaces demand;</w:t>
      </w:r>
    </w:p>
    <w:p>
      <w:pPr>
        <w:spacing w:after="0" w:line="53" w:lineRule="exact"/>
        <w:rPr>
          <w:rFonts w:ascii="Times New Roman" w:cs="Times New Roman" w:eastAsia="Times New Roman" w:hAnsi="Times New Roman"/>
          <w:sz w:val="18"/>
          <w:szCs w:val="18"/>
          <w:color w:val="auto"/>
        </w:rPr>
      </w:pPr>
    </w:p>
    <w:p>
      <w:pPr>
        <w:jc w:val="center"/>
        <w:ind w:left="5540" w:hanging="5532"/>
        <w:spacing w:after="0" w:line="282" w:lineRule="auto"/>
        <w:tabs>
          <w:tab w:leader="none" w:pos="52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implementing marketing, pricing, and reimbursement strategies, as well as adequate demand forecasts for supply and sales planning;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2" w:name="page33"/>
    <w:bookmarkEnd w:id="32"/>
    <w:p>
      <w:pPr>
        <w:ind w:left="520" w:right="160" w:hanging="512"/>
        <w:spacing w:after="0" w:line="266"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 in a market where promotional sales approaches are rapidly moving to digital platforms and access of sales representatives to major institutions remains uncertain;</w:t>
      </w:r>
    </w:p>
    <w:p>
      <w:pPr>
        <w:spacing w:after="0" w:line="67"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physicians, the medical community and third-party payors underpinned by adequate health economic data and a meaningful value proposition;</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maintaining third-party payor coverage and adequate reimbursement in both public and private payor spaces across multiple countries;</w:t>
      </w:r>
    </w:p>
    <w:p>
      <w:pPr>
        <w:spacing w:after="0" w:line="128" w:lineRule="exact"/>
        <w:rPr>
          <w:rFonts w:ascii="Times New Roman" w:cs="Times New Roman" w:eastAsia="Times New Roman" w:hAnsi="Times New Roman"/>
          <w:sz w:val="17"/>
          <w:szCs w:val="17"/>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including those that have not yet entered the market;</w:t>
      </w:r>
    </w:p>
    <w:p>
      <w:pPr>
        <w:spacing w:after="0" w:line="117" w:lineRule="exact"/>
        <w:rPr>
          <w:rFonts w:ascii="Times New Roman" w:cs="Times New Roman" w:eastAsia="Times New Roman" w:hAnsi="Times New Roman"/>
          <w:sz w:val="18"/>
          <w:szCs w:val="18"/>
          <w:color w:val="auto"/>
        </w:rPr>
      </w:pPr>
    </w:p>
    <w:p>
      <w:pPr>
        <w:ind w:left="520" w:right="480" w:hanging="51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companies in the pharmaceutical and biotechnology industries, which are characterized by rapidly advancing technologies, intense competition and a strong emphasis on proprietary and novel products and product candidates;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appropriate support from patient advocacy organizations;</w:t>
      </w:r>
    </w:p>
    <w:p>
      <w:pPr>
        <w:spacing w:after="0" w:line="117" w:lineRule="exact"/>
        <w:rPr>
          <w:rFonts w:ascii="Times New Roman" w:cs="Times New Roman" w:eastAsia="Times New Roman" w:hAnsi="Times New Roman"/>
          <w:sz w:val="18"/>
          <w:szCs w:val="18"/>
          <w:color w:val="auto"/>
        </w:rPr>
      </w:pPr>
    </w:p>
    <w:p>
      <w:pPr>
        <w:ind w:left="520" w:right="580" w:hanging="51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shaping the market in the early years following launch to help providers understand a new way of thinking about treating relevant patients;</w:t>
      </w:r>
    </w:p>
    <w:p>
      <w:pPr>
        <w:spacing w:after="0" w:line="53" w:lineRule="exact"/>
        <w:rPr>
          <w:rFonts w:ascii="Times New Roman" w:cs="Times New Roman" w:eastAsia="Times New Roman" w:hAnsi="Times New Roman"/>
          <w:sz w:val="18"/>
          <w:szCs w:val="18"/>
          <w:color w:val="auto"/>
        </w:rPr>
      </w:pPr>
    </w:p>
    <w:p>
      <w:pPr>
        <w:ind w:left="520" w:right="100" w:hanging="512"/>
        <w:spacing w:after="0" w:line="261"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delays in our ongoing and planned clinical trials resulting from factors related to any macroeconomic conditions, major natural disaster, public health epidemic or significant political event, including inflation, changes in interest rates, potential instability in the global banking system, uncertainty with respect to the federal debt ceiling and budget and potential government shutdowns related thereto and global regional conflicts, as well as any delays due to supply chain issues impacting the availability of certain standard-of-care chemotherapy drugs; and</w:t>
      </w:r>
    </w:p>
    <w:p>
      <w:pPr>
        <w:spacing w:after="0" w:line="7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products following approval.</w:t>
      </w:r>
    </w:p>
    <w:p>
      <w:pPr>
        <w:spacing w:after="0" w:line="117"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Many of these factors are beyond our control, and if we cannot address any of them in a timely manner or at all, we could experience significant delays or an inability to successfully commercialize OJEMDA and our product candidates, which would materially harm our business. It is also possible that not all of our product candidates, including pimasertib, will never obtain marketing authorization even if we expend substantial time and resources seeking such approval.</w:t>
      </w:r>
    </w:p>
    <w:p>
      <w:pPr>
        <w:spacing w:after="0" w:line="2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revenue and achieve profitability depends significantly on our ability to achieve several objectives relating to the development and commercialization of OJEMDA and our product candidates.</w:t>
      </w:r>
    </w:p>
    <w:p>
      <w:pPr>
        <w:spacing w:after="0" w:line="5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business depends entirely on the successful development and commercialization of OJEMDA and our product candidates. Our ability to generate revenue and achieve profitability depends on several factors, including, but not limited to, our ability to:</w:t>
      </w:r>
    </w:p>
    <w:p>
      <w:pPr>
        <w:spacing w:after="0" w:line="54"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market and sell OJEMDA while maintaining full compliance with applicable federal and state laws, rules and regulations;</w:t>
      </w:r>
    </w:p>
    <w:p>
      <w:pPr>
        <w:spacing w:after="0" w:line="117" w:lineRule="exact"/>
        <w:rPr>
          <w:rFonts w:ascii="Times New Roman" w:cs="Times New Roman" w:eastAsia="Times New Roman" w:hAnsi="Times New Roman"/>
          <w:sz w:val="18"/>
          <w:szCs w:val="18"/>
          <w:color w:val="auto"/>
        </w:rPr>
      </w:pPr>
    </w:p>
    <w:p>
      <w:pPr>
        <w:ind w:left="520" w:right="50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 successful pivotal Phase 3 FIREFLY-2 trial with tovorafenib that achieves a competitive, clinically meaningful and generally well-tolerated target product profile for the front-line treatment of pLGG;</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 successful Phase 1b/2 FIRELIGHT-1 umbrella master trial of tovorafenib in combination with pimasertib;</w:t>
      </w:r>
    </w:p>
    <w:p>
      <w:pPr>
        <w:spacing w:after="0" w:line="117"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pharmacokinetic and other studies required to obtain foreign marketing authorization for OJEMDA as a treatment for patients with pLGGs;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additional, successful late-stage clinical trials that meet their clinical endpoints;</w:t>
      </w:r>
    </w:p>
    <w:p>
      <w:pPr>
        <w:spacing w:after="0" w:line="117" w:lineRule="exact"/>
        <w:rPr>
          <w:rFonts w:ascii="Times New Roman" w:cs="Times New Roman" w:eastAsia="Times New Roman" w:hAnsi="Times New Roman"/>
          <w:sz w:val="18"/>
          <w:szCs w:val="18"/>
          <w:color w:val="auto"/>
        </w:rPr>
      </w:pPr>
    </w:p>
    <w:p>
      <w:pPr>
        <w:ind w:left="520" w:right="70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favorable results from our clinical trials and apply for and obtain marketing authorizations for pimasertib from applicable regulatory authorities, including NDAs from the FDA, and maintaining such approvals;</w:t>
      </w:r>
    </w:p>
    <w:p>
      <w:pPr>
        <w:spacing w:after="0" w:line="53"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licenses, collaborations or strategic partnerships that allow for the commercialization of OJEMDA and our product candidates and/or may increase the value of our programs;</w:t>
      </w:r>
    </w:p>
    <w:p>
      <w:pPr>
        <w:spacing w:after="0" w:line="53" w:lineRule="exact"/>
        <w:rPr>
          <w:rFonts w:ascii="Times New Roman" w:cs="Times New Roman" w:eastAsia="Times New Roman" w:hAnsi="Times New Roman"/>
          <w:sz w:val="18"/>
          <w:szCs w:val="18"/>
          <w:color w:val="auto"/>
        </w:rPr>
      </w:pPr>
    </w:p>
    <w:p>
      <w:pPr>
        <w:ind w:left="520" w:right="52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viable supply and manufacturing relationships with third parties that can provide adequate, in both amount and quality, products and services to support clinical development and meet the market demand for our product candidates;</w:t>
      </w:r>
    </w:p>
    <w:p>
      <w:pPr>
        <w:spacing w:after="0" w:line="53"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commercialize OJEMDA, pimasertib and any future product candidates we may develop, if approved, by building and maintaining a sales force and/or entering into collaborations with third parties;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any post-marketing requirements imposed by, or post-marketing commitments made to, applicable regulatory authorities, including for</w:t>
      </w:r>
    </w:p>
    <w:p>
      <w:pPr>
        <w:spacing w:after="0" w:line="2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OJEMDA;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ind w:left="520" w:right="10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an acceptable safety profile of our product and our product candidates, including OJEMDA and pimasertib, and continue to maintain a continued acceptable safety profile following marketing authorization, if any;</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assess and develop new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patent and trade secret protection, statutory exclusivities and other intellectual property protections for our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protect and defend our intellectual property portfolio, including any necessary licenses from third parties;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competing therapies and technological and market developments;</w:t>
      </w:r>
    </w:p>
    <w:p>
      <w:pPr>
        <w:spacing w:after="0" w:line="11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OJEMDA and our product candidates, including pimasertib, if approved, with patients, the medical community and third-party payors, both in the United States and internationally;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commercializing products that generate significant revenue. This will require us to be successful in a range of challenging activities, including completing clinical trials for OJEMDA and our product candidates, acquiring additional product candidates, establishing arrangements with third parties for the manufacture of clinical supplies of our product candidates, obtaining marketing authorization for our product candidates, obtaining and retaining patents, trade secrets, statutory exclusivities, and other intellectual property protections and marketing and selling products for which we may obtain marketing authorization, if any. We are in the earlier stages of most of these activities. We may never succeed in these activities and, even if we do, may never generate revenues that are significant enough to achieve profitability.</w:t>
      </w:r>
    </w:p>
    <w:p>
      <w:pPr>
        <w:spacing w:after="0" w:line="7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cases where we are successful in obtaining marketing authorizations to market one or more of our product candidates, our revenue will be dependent, in part, upon the size of the markets in the territories for which we gain marketing authorizations, the pricing for the product, the duration of treatment with our product, the adoption of our product in treatment guidelines and by prescribers, the ability to obtain coverage and reimbursement and whether we own the commercial rights for that territory. If the number of our addressable patients is not as significant as we estimate, the approved indication is narrower than expected or the treatment population is narrowed by competition, physician choice, payor decisions or treatment guidelines, we may not generate significant revenue from sales of such products, even if approved.</w:t>
      </w:r>
    </w:p>
    <w:p>
      <w:pPr>
        <w:spacing w:after="0" w:line="7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If we decide to, or are required by the FDA or regulatory authorities in other jurisdictions to, perform studies or clinical trials in addition to those currently expected, or to modify ongoing or planned clinical trials, or if there are any delays in establishing appropriate manufacturing arrangements for, in initiating or completing our current and planned clinical trials for or in the development of, any of our product candidates, our expenses could increase significantly and profitability could be further delayed.</w:t>
      </w:r>
    </w:p>
    <w:p>
      <w:pPr>
        <w:spacing w:after="0" w:line="72"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Our failure to become and remain profitable could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280"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substantially in connection with our ongoing activities, particularly as we advance our product, OJEMDA, and product candidates, pimasertib, and any future product candidates through clinical development. We expect increased expenses as we continue our research and development, initiate additional clinical trials, seek to expand our product pipeline, seek marketing authorization for our lead programs and future product candidates, if any, and invest in our organization. In addition, we expect to incur significant expenses related to the product manufacturing, marketing, sales and distribution of OJEMDA and, if we obtain marketing authorization, for our product candidates including pimasertib. Furthermore, we have incurred and will continue to incur additional costs associated with operating as a public company, such as acquiring and retaining experienced personnel, developing new information technology systems and other costs associated with being a public company. Also, we expect to experience ongoing and additional costs related to preparing and filing patent applications, maintaining our intellectual property and potentially expanding our office facilities. Accordingly, we will need to obtain substantial additional funding in connection with our continuing operations.</w:t>
      </w:r>
    </w:p>
    <w:p>
      <w:pPr>
        <w:spacing w:after="0" w:line="8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had $317.9 million in cash, cash equivalents and short-term investments as of March 31, 2024. We believe that our existing cash, cash equivalents and short-term investments, will enable us to fund our operating expenses and capital expenditure requirements into 2026. We have based this estimate on assumptions that may prove to be wrong, and we could use our capital resources sooner than we currently expect. Changes beyond our control may occur that would cause us to use our available capital before that time, including</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ind w:right="580"/>
        <w:spacing w:after="0" w:line="282" w:lineRule="auto"/>
        <w:rPr>
          <w:sz w:val="20"/>
          <w:szCs w:val="20"/>
          <w:color w:val="auto"/>
        </w:rPr>
      </w:pPr>
      <w:r>
        <w:rPr>
          <w:rFonts w:ascii="Times New Roman" w:cs="Times New Roman" w:eastAsia="Times New Roman" w:hAnsi="Times New Roman"/>
          <w:sz w:val="18"/>
          <w:szCs w:val="18"/>
          <w:color w:val="auto"/>
        </w:rPr>
        <w:t>changes in and progress of our drug development activities and changes in regulation. Our future capital requirements will depend on many factors, including:</w:t>
      </w:r>
    </w:p>
    <w:p>
      <w:pPr>
        <w:spacing w:after="0" w:line="54"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results of preclinical studies and clinical trials for our current or any future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pipeline product candidates or technologies;</w:t>
      </w:r>
    </w:p>
    <w:p>
      <w:pPr>
        <w:spacing w:after="0" w:line="117"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current or future product candidates that we may pursue, and other indications for our current product candidates that we may pursue;</w:t>
      </w:r>
    </w:p>
    <w:p>
      <w:pPr>
        <w:spacing w:after="0" w:line="53"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obtaining marketing authorization for our current or future product candidates or the modification of ongoing or planned clinical trials;</w:t>
      </w:r>
    </w:p>
    <w:p>
      <w:pPr>
        <w:spacing w:after="0" w:line="53"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development of and marketing authorization for any complementary or companion diagnostics that may be useful to or necessary for the commercialization of OJEMDA and our product candidates;</w:t>
      </w:r>
    </w:p>
    <w:p>
      <w:pPr>
        <w:spacing w:after="0" w:line="53" w:lineRule="exact"/>
        <w:rPr>
          <w:rFonts w:ascii="Times New Roman" w:cs="Times New Roman" w:eastAsia="Times New Roman" w:hAnsi="Times New Roman"/>
          <w:sz w:val="18"/>
          <w:szCs w:val="18"/>
          <w:color w:val="auto"/>
        </w:rPr>
      </w:pPr>
    </w:p>
    <w:p>
      <w:pPr>
        <w:ind w:left="520" w:right="62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making arrangements with third-party manufacturers, or establishing manufacturing capabilities, for both clinical and commercial supplies of our current or future product candidates;</w:t>
      </w:r>
    </w:p>
    <w:p>
      <w:pPr>
        <w:spacing w:after="0" w:line="53"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growing our organization to the size needed to allow for the research, development and potential commercialization of our current or future product candidates;</w:t>
      </w:r>
    </w:p>
    <w:p>
      <w:pPr>
        <w:spacing w:after="0" w:line="53" w:lineRule="exact"/>
        <w:rPr>
          <w:rFonts w:ascii="Times New Roman" w:cs="Times New Roman" w:eastAsia="Times New Roman" w:hAnsi="Times New Roman"/>
          <w:sz w:val="18"/>
          <w:szCs w:val="18"/>
          <w:color w:val="auto"/>
        </w:rPr>
      </w:pPr>
    </w:p>
    <w:p>
      <w:pPr>
        <w:ind w:left="520" w:right="260" w:hanging="512"/>
        <w:spacing w:after="0" w:line="289" w:lineRule="auto"/>
        <w:tabs>
          <w:tab w:leader="none" w:pos="5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we pursue strategic collaborations, including collaborations to commercialize OJEMDA, pimasertib or any of our future pipeline products and product candidates, if any, our ability to establish and maintain collaborations on favorable terms, if at all, as well as the timing and amount of any milestone or royalty payments we are required to make or are eligible to receive under such collaborations or our current licenses;</w:t>
      </w:r>
    </w:p>
    <w:p>
      <w:pPr>
        <w:spacing w:after="0" w:line="49" w:lineRule="exact"/>
        <w:rPr>
          <w:rFonts w:ascii="Times New Roman" w:cs="Times New Roman" w:eastAsia="Times New Roman" w:hAnsi="Times New Roman"/>
          <w:sz w:val="17"/>
          <w:szCs w:val="17"/>
          <w:color w:val="auto"/>
        </w:rPr>
      </w:pPr>
    </w:p>
    <w:p>
      <w:pPr>
        <w:ind w:left="520" w:right="6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commercializing any approved products and product candidates, including establishing sales, marketing, market access and distribution capabilities;</w:t>
      </w:r>
    </w:p>
    <w:p>
      <w:pPr>
        <w:spacing w:after="0" w:line="53"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completing any post-marketing studies or trials requested or required by the FDA or other regulatory authorities, including for OJEMDA;</w:t>
      </w:r>
    </w:p>
    <w:p>
      <w:pPr>
        <w:spacing w:after="0" w:line="53" w:lineRule="exact"/>
        <w:rPr>
          <w:rFonts w:ascii="Times New Roman" w:cs="Times New Roman" w:eastAsia="Times New Roman" w:hAnsi="Times New Roman"/>
          <w:sz w:val="18"/>
          <w:szCs w:val="18"/>
          <w:color w:val="auto"/>
        </w:rPr>
      </w:pPr>
    </w:p>
    <w:p>
      <w:pPr>
        <w:ind w:left="520" w:right="44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OJEMDA, pimasertib or any of our future product candidates, if approved, or any other future pipeline product candidates that receive marketing authorization;</w:t>
      </w:r>
    </w:p>
    <w:p>
      <w:pPr>
        <w:spacing w:after="0" w:line="53" w:lineRule="exact"/>
        <w:rPr>
          <w:rFonts w:ascii="Times New Roman" w:cs="Times New Roman" w:eastAsia="Times New Roman" w:hAnsi="Times New Roman"/>
          <w:sz w:val="18"/>
          <w:szCs w:val="18"/>
          <w:color w:val="auto"/>
        </w:rPr>
      </w:pPr>
    </w:p>
    <w:p>
      <w:pPr>
        <w:ind w:left="520" w:right="780" w:hanging="512"/>
        <w:spacing w:after="0" w:line="312" w:lineRule="auto"/>
        <w:tabs>
          <w:tab w:leader="none" w:pos="5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preparing, filing and prosecuting patent applications, maintaining and enforcing our intellectual property rights and defending intellectual property-related claims that we may become subject to, including any litigation costs and the outcome of such litigation; and</w:t>
      </w:r>
    </w:p>
    <w:p>
      <w:pPr>
        <w:spacing w:after="0" w:line="31" w:lineRule="exact"/>
        <w:rPr>
          <w:rFonts w:ascii="Times New Roman" w:cs="Times New Roman" w:eastAsia="Times New Roman" w:hAnsi="Times New Roman"/>
          <w:sz w:val="17"/>
          <w:szCs w:val="17"/>
          <w:color w:val="auto"/>
        </w:rPr>
      </w:pPr>
    </w:p>
    <w:p>
      <w:pPr>
        <w:ind w:left="520" w:right="38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potential product liability claims, including the costs associated with obtaining insurance against such claims and with defending against such claims.</w:t>
      </w:r>
    </w:p>
    <w:p>
      <w:pPr>
        <w:spacing w:after="0" w:line="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will require additional capital to complete our planned clinical development programs for our current product candidates to obtain marketing authorization, and we anticipate needing to raise additional capital to complete the development of and to commercialize OJEMDA or our product candidates. Our ability to raise additional funds will depend on financial, economic and market conditions and other factors, over which we may have no or limited control. If adequate funds are not available on commercially acceptable terms when needed, we may be forced to delay, reduce or terminate the development or commercialization of all or part of our research programs or products and product candidates or we may be unable to take advantage of future business opportunities. Furthermore, any additional capital-raising efforts may divert our team’s attention from their day-to-day activities, which may adversely affect our business, including our ability to develop and commercialize our current and future product candidates, if approved. Changing circumstances, some of which may be beyond our control, could cause us to consume capital significantly faster than we currently anticipate, and we may need to seek additional funds sooner than planned.</w:t>
      </w:r>
    </w:p>
    <w:p>
      <w:pPr>
        <w:spacing w:after="0" w:line="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will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We have entered into an equity distribution agreement, or the Equity Distribution Agreement, with Piper Sandler &amp; Co. and JonesTrading Institutional Services LLC, as sales agents, relating to the issuance and sale of shares of our common stock for an aggregate offering price of up to $250.0 million under an at-the-market offering program, or the ATM. No shares of our common stock have been sold under the ATM as of March 31, 2024. To the extent that we raise additional capital through the sale of equity or convertible debt securities, including pursuant to the ATM,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Our ability to raise additional funds may be adversely impacted by potential worsening global economic conditions and disruptions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5" w:name="page36"/>
    <w:bookmarkEnd w:id="35"/>
    <w:p>
      <w:pPr>
        <w:ind w:right="40"/>
        <w:spacing w:after="0" w:line="266" w:lineRule="auto"/>
        <w:rPr>
          <w:sz w:val="20"/>
          <w:szCs w:val="20"/>
          <w:color w:val="auto"/>
        </w:rPr>
      </w:pPr>
      <w:r>
        <w:rPr>
          <w:rFonts w:ascii="Times New Roman" w:cs="Times New Roman" w:eastAsia="Times New Roman" w:hAnsi="Times New Roman"/>
          <w:sz w:val="18"/>
          <w:szCs w:val="18"/>
          <w:color w:val="auto"/>
        </w:rPr>
        <w:t>to, and volatility in, the credit and financial markets in the United States and worldwide resulting from inflation, changes in interest rates, potential instability in the global banking system, uncertainty with respect to the federal debt ceiling and budget and potential government shutdowns related thereto, global regional conflicts, public health epidemics or otherwise.</w:t>
      </w:r>
    </w:p>
    <w:p>
      <w:pPr>
        <w:spacing w:after="0" w:line="68"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research or drug development programs, clinical trials or future commercialization efforts.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and Commercialization of OJEMDA and our Product Candidates</w:t>
      </w:r>
    </w:p>
    <w:p>
      <w:pPr>
        <w:spacing w:after="0" w:line="117"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very expensive, time-consuming and difficult to design and implement, and involve uncertain outcomes. Furthermore, results of earlier preclinical studies and clinical trials may not be predictive of results of future preclinical studies or clinical trials. OJEMDA and our product candidates may not have favorable results in later clinical trials, if any, and not all of our product candidates will receive marketing authorization. If we fail to demonstrate the safety and effectiveness of OJEMDA and our product candidates, our reputation may be harmed and our business will suffer.</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risk of failure for OJEMDA and our product candidates is high. It is impossible to predict when or if OJEMDA and our product candidates will prove effective or safe in humans or if our product candidates will receive marketing authorization. To obtain the requisite marketing authorizations to market and sell our product candidates, we must demonstrate through extensive preclinical studies and clinical trials that our product candidates are safe and effective in humans for use in each target indication. Clinical testing is expensive and can take many years to complete, and the outcome is inherently uncertain. Failure can occur at any time during the clinical trial process.</w:t>
      </w:r>
    </w:p>
    <w:p>
      <w:pPr>
        <w:spacing w:after="0" w:line="7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addition, the results of preclinical studies and earlier clinical trials may not be predictive of the results of later-stage preclinical studies or clinical trials. We have limited clinical data for OJEMDA and our product candidates. Products and product candidates in later stages of clinical trials may fail to show similar or desired safety and efficacy traits despite having progressed through preclinical and earlier stage clinical trials.</w:t>
      </w:r>
    </w:p>
    <w:p>
      <w:pPr>
        <w:spacing w:after="0" w:line="6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or product candidate due to numerous factors, including changes in clinical trial procedures set forth in protocols, differences in the size and type of the patient populations, adherence to the dosing regimen and other clinical trial protocols and the rate of discontinuation among clinical trial participants.</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we fail to produce positive results in our planned clinical trials of any of our product candidates, the development timeline and marketing authorization and commercialization prospects for our product candidates, and, correspondingly, our business and financial prospects, would be materially and adversely affected.</w:t>
      </w:r>
    </w:p>
    <w:p>
      <w:pPr>
        <w:spacing w:after="0" w:line="28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OJEMDA has only been studied in a limited number of patients. Following commercial launch, OJEMDA will be available to a much larger number of patients, and we do not know whether the results of OJEMDA’s use in such larger number of patients will be consistent with the results from our clinical studies.</w:t>
      </w:r>
    </w:p>
    <w:p>
      <w:pPr>
        <w:spacing w:after="0" w:line="6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OJEMDA has been administered only to a limited number of patients in clinical studies. While the FDA granted accelerated approval of OJEMDA based on the data included in the NDAs, we do not know whether the real world safety and effectiveness of the product will be consistent with the safety and effectiveness profile seen in the clinical studies. New data relating to OJEMDA, including from adverse events reports and our post-marketing commitments in the United States, and from other ongoing clinical studies, may result in changes to the product label and may adversely affect sales, or result in withdrawal of OJEMDA from the market. If any of these actions were to occur, it could result in significant expense and delay and/or limit our ability to generate sales revenues.</w:t>
      </w:r>
    </w:p>
    <w:p>
      <w:pPr>
        <w:spacing w:after="0" w:line="29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rely on data from investigator-initiated studies, as we did for the Phase 1 clinical trial, and we do not control the trial operations or reporting of the results of such trials.</w:t>
      </w:r>
    </w:p>
    <w:p>
      <w:pPr>
        <w:spacing w:after="0" w:line="5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From time to time, we may rely on certain clinical data from investigator-sponsored clinical studies, and we do not control the trial operations or reporting of the results of such trials. This was the case for the initial Phase 1 study for our product, OJEMDA, which was run as an investigator-initiated, multi-center trial in patients with relapsed or refractory pLGG that is being conducted by the Dana Farber Cancer Institute in collaboration with the Pacific Pediatric Neuro-Oncology Consortium, or PNOC. The last data reported from that trial was in January 2023. It is possible that additional data, when reported, will not demonstrate similar results. We have no control over the timing of such clinical data announcements. Our pivotal Phase 2 FIREFLY-1 trial OJEMDA is a Day One-sponsored trial. In addition, in later-stage clinical trials, we will likely be subject to more rigorous statistical analyses than in completed earlier stage clinical trials. A number of companies in the pharmaceutical industry have suffered significant setbacks in later-stage clinical trials due to lack of efficacy or adverse safety profiles, notwithstanding promising results in earlier trials, and we cannot be certain that we will not face similar setbacks. Moreover, preclinical and clinical data are often susceptible to varying interpretations and analyses,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ind w:right="80"/>
        <w:spacing w:after="0" w:line="282" w:lineRule="auto"/>
        <w:rPr>
          <w:sz w:val="20"/>
          <w:szCs w:val="20"/>
          <w:color w:val="auto"/>
        </w:rPr>
      </w:pPr>
      <w:r>
        <w:rPr>
          <w:rFonts w:ascii="Times New Roman" w:cs="Times New Roman" w:eastAsia="Times New Roman" w:hAnsi="Times New Roman"/>
          <w:sz w:val="18"/>
          <w:szCs w:val="18"/>
          <w:color w:val="auto"/>
        </w:rPr>
        <w:t>and many companies that have believed their product candidates performed satisfactorily in preclinical studies and clinical trials have nonetheless failed to obtain marketing authorization for their product candidates.</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authorization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authorization of our product candidates. While investigator-sponsored trials could be useful to inform our own clinical development efforts, we do not control the data or timing of data releases for investigator-sponsored trials, and there is no guarantee that we will be able to use the data from these trials to form the basis for marketing authorization of our product candidates.</w:t>
      </w:r>
    </w:p>
    <w:p>
      <w:pPr>
        <w:spacing w:after="0" w:line="29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compassionate use programs could subject us to additional risks, including delays in our clinical trial programs, impacts to our supply capabilities, or adverse publicity.</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Some patients receive access to investigational drugs outside of clinical trials through compassionate use programs, which refer to expanded access or right to try programs. These patients generally have life-threatening illnesses for which there are no alternative therapies or they have exhausted all other available therapies. There are a number of risks that we may face as a result of our compassionate use programs. For example, the risk for serious adverse events in this patient population is high, which, if those adverse events are determined to be drug-related, could have a negative impact on the safety profile of our drug candidates and/or cause significant delays, result in an inability to successfully commercialize our drug candidates and/or materially harm our business. Additionally, if we were to provide patients with any of our drug candidates under a compassionate use program, our supply capabilities may limit the number of patients who are able to enroll in the program. It also may become challenging to enroll patients in randomized trials if product candidates are being supplied to patients under expanded access programs. These factors may result in the need to restructure or pause any compassionate use program in order to enroll sufficient numbers of patients in our clinical trials required for marketing authorization and successful commercialization of our drug candidates. If we were to restructure or pause our compassionate use programs, we could face adverse publicity or disruptions related to current or potential participants in our programs.</w:t>
      </w:r>
    </w:p>
    <w:p>
      <w:pPr>
        <w:spacing w:after="0" w:line="29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be suspended, delayed or fail to adequately demonstrate the safety and effectiveness of OJEMDA and our product candidates, which would prevent or delay development, marketing authorization and commercialization.</w:t>
      </w:r>
    </w:p>
    <w:p>
      <w:pPr>
        <w:spacing w:after="0" w:line="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Before obtaining marketing authorization from the FDA or comparable foreign regulatory authorities for the sale of OJEMDA and our product candidates, we must demonstrate through lengthy, complex and expensive clinical trials that our product candidates are both safe and effective for use in each target indication. Clinical testing is expensive, difficult to design and implement, can take many years to complete and its ultimate outcome is uncertain. Failure can occur at any time during the clinical trial processes and for any number of reasons, and, because our product candidates are in earlier stages of development, there is a high risk of failure and we may never succeed in developing marketable products.</w:t>
      </w:r>
    </w:p>
    <w:p>
      <w:pPr>
        <w:spacing w:after="0" w:line="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may experience numerous challenges and unforeseen events during, or as a result of, clinical trials that could delay or prevent receipt of marketing authorization or our ability to successfully commercialize OJEMDA or our product candidates, including:</w:t>
      </w:r>
    </w:p>
    <w:p>
      <w:pPr>
        <w:spacing w:after="0" w:line="54"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regulators refusing to permit our clinical studies to proceed or placing studies on hold before or after the studies begin;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demonstrate that the dose for a product candidate has been optimized;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product candidates in clinical trials to demonstrate important functional, quality, or patient-reported outcomes;</w:t>
      </w:r>
    </w:p>
    <w:p>
      <w:pPr>
        <w:spacing w:after="0" w:line="117"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landscape causing clinical trial enrollment challenges or preventing or delaying marketing authorization in one or several subsets studied in our programs, including in relapsed or front-line pLGG;</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feedback from regulatory authorities that requires us to modify the design of our clinical trials;</w:t>
      </w:r>
    </w:p>
    <w:p>
      <w:pPr>
        <w:spacing w:after="0" w:line="117" w:lineRule="exact"/>
        <w:rPr>
          <w:rFonts w:ascii="Times New Roman" w:cs="Times New Roman" w:eastAsia="Times New Roman" w:hAnsi="Times New Roman"/>
          <w:sz w:val="18"/>
          <w:szCs w:val="18"/>
          <w:color w:val="auto"/>
        </w:rPr>
      </w:pPr>
    </w:p>
    <w:p>
      <w:pPr>
        <w:ind w:left="520" w:right="64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clinical trial results that may require us to conduct additional clinical trials or abandon certain research and/or drug development programs;</w:t>
      </w:r>
    </w:p>
    <w:p>
      <w:pPr>
        <w:spacing w:after="0" w:line="53" w:lineRule="exact"/>
        <w:rPr>
          <w:rFonts w:ascii="Times New Roman" w:cs="Times New Roman" w:eastAsia="Times New Roman" w:hAnsi="Times New Roman"/>
          <w:sz w:val="18"/>
          <w:szCs w:val="18"/>
          <w:color w:val="auto"/>
        </w:rPr>
      </w:pPr>
    </w:p>
    <w:p>
      <w:pPr>
        <w:ind w:left="520" w:right="320" w:hanging="512"/>
        <w:spacing w:after="0" w:line="261"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being larger than anticipated, enrollment in these clinical trials being slower than anticipated or participants dropping out of these clinical trials at a higher rate than anticipated;</w:t>
      </w: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7" w:name="page38"/>
    <w:bookmarkEnd w:id="37"/>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delays in our preclinical studies or clinical trials;</w:t>
      </w:r>
    </w:p>
    <w:p>
      <w:pPr>
        <w:spacing w:after="0" w:line="117" w:lineRule="exact"/>
        <w:rPr>
          <w:rFonts w:ascii="Times New Roman" w:cs="Times New Roman" w:eastAsia="Times New Roman" w:hAnsi="Times New Roman"/>
          <w:sz w:val="18"/>
          <w:szCs w:val="18"/>
          <w:color w:val="auto"/>
        </w:rPr>
      </w:pPr>
    </w:p>
    <w:p>
      <w:pPr>
        <w:ind w:left="520" w:right="70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failing to comply with regulatory requirements, including Good Clinical Practice, or GCP, regulations,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or termination of our clinical trials for various reasons, including non-compliance with regulatory requirements or a finding that our product candidates have undesirable side effects or other unexpected characteristics or risks;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being greater than anticipated;</w:t>
      </w:r>
    </w:p>
    <w:p>
      <w:pPr>
        <w:spacing w:after="0" w:line="117"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being insufficient or inadequate;</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clinical trials to demonstrate the safety or effectiveness of our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revising the requirements for approving our product candidates;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feedback from regulatory authorities that would require us to include data from additional patients or longer term efficacy and safety data.</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may also face unanticipated regulatory hurdles in our drug development program that may require additional data generation or delay our existing or planned trials and the timing of applications for marketing authorization. For instance, we may make formulation or manufacturing changes to our product candidates, in which case we may need to conduct additional preclinical studies to bridge our modified product candidates to earlier versions. Additionally, the FDA may determine that it has questions or concerns about our trials and may not permit our proposed clinical studies to move forward by imposing a partial or full clinical hold.</w:t>
      </w:r>
    </w:p>
    <w:p>
      <w:pPr>
        <w:spacing w:after="0" w:line="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Further, we, the FDA or an institutional review board, or IRB, may suspend our clinical trials at any time if it appears that we or our collaborators are failing to conduct a trial in accordance with regulatory requirements, including GCP regulations, that we are exposing participants to unacceptable health risks or if the FDA finds deficiencies in our INDs or the conduct of these trials. Therefore, we cannot predict with any certainty the schedule for commencement and completion of future clinical trials.</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may also conduct clinical trials in foreign countries, which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Further, data from trials conducted outside of the United States may be subject to additional scrutiny by the FDA, which may require that additional U.S. data be generated.</w:t>
      </w:r>
    </w:p>
    <w:p>
      <w:pPr>
        <w:spacing w:after="0" w:line="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Because our product candidates are initially targeted towards the pediatric population, we may face additional hurdles and be subjected to greater scrutiny by regulatory agencies. Trials involving pediatric populations can be difficult to conduct, can be quite costly and, like other clinical trials, may not yield the anticipated results. In addition, pediatric studies are more dependent on a smaller number of specialized clinical trial sites, which in turn can limit site availability and make the trials more expensive to conduct. In addition, as interest in pediatric indications grows as a result of the Research to Accelerate Cures and Equity (RACE) for Children Act and other market forces, trial recruitment may become even more difficult due to competition for eligible patients. Moreover, it may be challenging to ensure that pediatric or adolescent patients adhere to clinical trial protocols. Our inability to enroll a sufficient number of pediatric patients for our clinical trial could result in significant delays, require us to abandon one or more clinical trials altogether, impact our ability to raise additional capital and delay or prevent our ability to obtain necessary marketing authorizations for any drug product candidate.</w:t>
      </w:r>
    </w:p>
    <w:p>
      <w:pPr>
        <w:spacing w:after="0" w:line="29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predict the outcome of our clinical trials, nor can we guarantee that the data we generate from our clinical trials will be acceptable to regulatory authorities so as to support marketing authorization.</w:t>
      </w:r>
    </w:p>
    <w:p>
      <w:pPr>
        <w:spacing w:after="0" w:line="5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outcome of clinical trials is uncertain, and, because our product candidates are in earlier stages of development, there is a significant risk of failure. If we complete our clinical trials but the results of our clinical trials are inconclusive or only modestly positive, if there are safety concerns or serious adverse events associated with our product candidates or if our clinical trials are delayed or require unplanned changes, we may:</w:t>
      </w:r>
    </w:p>
    <w:p>
      <w:pPr>
        <w:spacing w:after="0" w:line="68"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unplanned drug development and/or commercialization costs;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or unable to obtain marketing authorization;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 or may have contraindications, limitations of use or other restrictions that affect the market for the product;</w:t>
      </w:r>
    </w:p>
    <w:p>
      <w:pPr>
        <w:spacing w:after="0" w:line="53" w:lineRule="exact"/>
        <w:rPr>
          <w:rFonts w:ascii="Times New Roman" w:cs="Times New Roman" w:eastAsia="Times New Roman" w:hAnsi="Times New Roman"/>
          <w:sz w:val="18"/>
          <w:szCs w:val="18"/>
          <w:color w:val="auto"/>
        </w:rPr>
      </w:pPr>
    </w:p>
    <w:p>
      <w:pPr>
        <w:ind w:left="520" w:right="640" w:hanging="512"/>
        <w:spacing w:after="0" w:line="261"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authorization with labeling that includes safety warnings, a risk evaluation and mitigation strategy, or REMS, and/or other restrictions on distribution or use that could affect market access;</w:t>
      </w: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8" w:name="page39"/>
    <w:bookmarkEnd w:id="38"/>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 commitments;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drug or impose post-marketing safety labeling changes or a REMS;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civil or criminal investigations and litigation; 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11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 or eliminated entirely.</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has affected the conduct or interpretation of the study. The FDA or a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authorization of one or more of our product candidates.</w:t>
      </w:r>
    </w:p>
    <w:p>
      <w:pPr>
        <w:spacing w:after="0" w:line="2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enrolling patients in our ongoing or planned clinical trials, we may be delayed in or prevented from obtaining necessary marketing authorization for any or all of our product candidates.</w:t>
      </w:r>
    </w:p>
    <w:p>
      <w:pPr>
        <w:spacing w:after="0" w:line="5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may not be able to initiate or continue our ongoing or planned clinical trials for our product candidates if we are unable to identify and enroll a sufficient number of eligible patients to participate in these trials as required by the FDA or comparable foreign regulatory authorities. In our OJEMDA program, we utilize genomic profiling of patients’ tumors to identify suitable patients for recruitment into our clinical trials. We cannot be certain (i) how many patients will have the requisite alterations for inclusion in our clinical trials, (ii) that the number of patients enrolled in each program will suffice for marketing authorization or (iii) whether each specific BRAF mutation targeted will be included in the approved drug labeling. If our strategies for patient identification and enrollment prove unsuccessful, we may have difficulty enrolling or maintaining patients appropriate for our product candidates. Patient enrollment is also affected by other factors, including:</w:t>
      </w:r>
    </w:p>
    <w:p>
      <w:pPr>
        <w:spacing w:after="0" w:line="81"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of appropriate competencies and experience;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incidence and prevalence of our target indications;</w:t>
      </w:r>
    </w:p>
    <w:p>
      <w:pPr>
        <w:spacing w:after="0" w:line="117" w:lineRule="exact"/>
        <w:rPr>
          <w:rFonts w:ascii="Times New Roman" w:cs="Times New Roman" w:eastAsia="Times New Roman" w:hAnsi="Times New Roman"/>
          <w:sz w:val="18"/>
          <w:szCs w:val="18"/>
          <w:color w:val="auto"/>
        </w:rPr>
      </w:pPr>
    </w:p>
    <w:p>
      <w:pPr>
        <w:ind w:left="520" w:right="58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awareness of, and perceptions as to, the potential advantages and risks of our product candidates in relation to other available therapies, including any new drugs that may be approved for the indications we are investigating;</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expertise and selection of contract research organizations, or CROs, to manage operations related to clinical trial enrollment;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studies or trials with similar eligibility criteria;</w:t>
      </w:r>
    </w:p>
    <w:p>
      <w:pPr>
        <w:spacing w:after="0" w:line="117" w:lineRule="exact"/>
        <w:rPr>
          <w:rFonts w:ascii="Times New Roman" w:cs="Times New Roman" w:eastAsia="Times New Roman" w:hAnsi="Times New Roman"/>
          <w:sz w:val="18"/>
          <w:szCs w:val="18"/>
          <w:color w:val="auto"/>
        </w:rPr>
      </w:pPr>
    </w:p>
    <w:p>
      <w:pPr>
        <w:ind w:left="520" w:right="26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invasive procedures that may be required to enroll patients and to obtain evidence of the product candidate’s performance during the clinical trial;</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medications for the disease under investigation;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shortages of chemotherapy standard of care, which may be used in the control arm of certain of our clinical trials, including FIREFLY-2;</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defined in the protocol for the trial in question;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 required for analysis of the trial’s primary endpoints;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subject to a partial or full clinical hold on any of our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reluctance of physicians or patient advocacy organizations to encourage patient participation in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39" w:name="page40"/>
    <w:bookmarkEnd w:id="39"/>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11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the conditions for which we currently plan to evaluate our product candidates are orphan or rare diseases with limited patient pools from which to draw for clinical trials. The eligibility criteria of our clinical trials, once established, will further limit the pool of available trial participants. Further, some of our competitors currently have ongoing clinical trials for product candidates that would treat the same patients as our clinical product candidates, and patients who would otherwise be eligible for our clinical trials may instead enroll in clinical trials of our competitors’ product candidates. Moreover, if any of our competitors receive FDA approval for a product, it may limit our ability to enroll patients in our clinical trials if they decide to seek treatment with an approved product. For example, in March 2023, Novartis received approval for dabrafenib in combination with trametinib, which could in the future limit our ability to enroll patients in clinical trials for OJEMDA.</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inability to enroll and maintain a sufficient number of patients for our clinical trials would result in significant delays or may require us to abandon one or more clinical trials or clinical programs altogether. There may be competing trials, as well as the limited bandwidth of pediatric oncology institutions for running trials, which can lead to the prioritization of certain trials, resulting in delays in our clinical trials. In addition, because our product candidates are initially targeted to pediatric populations, we may face additional challenges. For example, parents may be reluctant to enroll their children in our clinical trials or may decide to withdraw their children from our clinical trials to pursue other therapies.</w:t>
      </w:r>
    </w:p>
    <w:p>
      <w:pPr>
        <w:spacing w:after="0" w:line="28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interim, initial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From time to time, we may publicly disclose preliminary, interim or topline data from our clinical trials. These updates are based on a preliminary analysis of then-available data, and the results and related findings and conclusions are subject to change following a more comprehensive review of the data related to the particular study. Additionally, interim data from clinical trials that we may complete are subject to the risk that one or more of the clinical outcomes may materially change as patient enrollment continues and more patient data become available. Therefore, positive interim or initial results in any ongoing clinical trial may not be predictive of such results in the completed study. Initial or topline data also remain subject to audit and verification procedures that may result in the final data being materially different from the preliminary data we previously published.</w:t>
      </w:r>
    </w:p>
    <w:p>
      <w:pPr>
        <w:spacing w:after="0" w:line="7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For example, our FIREFLY-1 clinical trial was designed to use the Response Assessment for Neuro-Oncology – High Grade Glioma, or RANO-HGG, to measure the primary endpoint of overall response rate, or ORR, in alignment with the FDA, with ORR using Response Assessment for Pediatric Neuro-Oncology – Low-Grade Glioma, or RAPNO-LGG, as a secondary endpoint. Following discussions with the FDA and the March 2023 approval of dabrafenib, in combination with trametinib in BRAF V600E pLGG, we have structured the primary endpoint in our FIREFLY-2/LOGGIC trial to be assessed using the Response Assessment for Neuro-Oncology-Low Grade Glioma, or RANO-LGG, and have included RANO-LGG as an exploratory endpoint in FIREFLY-1.</w:t>
      </w:r>
    </w:p>
    <w:p>
      <w:pPr>
        <w:spacing w:after="0" w:line="8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9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pharmaceutical and biotechnology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products or product candidates that we successfully develop and commercialize, including OJEMDA, may compete with existing therapies and new therapies that may become available in the future. We believe that a significant number of competing product candidates are currently under development, and may become commercially available in the future, for the treatment of conditions for which we are developing, or may in the future develop, product candidates. In addition, our product candidates may need to compete with drugs that are prescribed off-label to treat the indications for which we seek approval. This may make it difficult for us to replace existing therapies with our product candidates.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0" w:name="page41"/>
    <w:bookmarkEnd w:id="40"/>
    <w:p>
      <w:pPr>
        <w:ind w:right="100"/>
        <w:spacing w:after="0" w:line="266" w:lineRule="auto"/>
        <w:rPr>
          <w:sz w:val="20"/>
          <w:szCs w:val="20"/>
          <w:color w:val="auto"/>
        </w:rPr>
      </w:pPr>
      <w:r>
        <w:rPr>
          <w:rFonts w:ascii="Times New Roman" w:cs="Times New Roman" w:eastAsia="Times New Roman" w:hAnsi="Times New Roman"/>
          <w:sz w:val="18"/>
          <w:szCs w:val="18"/>
          <w:color w:val="auto"/>
        </w:rPr>
        <w:t>We also compete with these organizations to recruit and retain qualified scientific, management and sales and commercial and marketing personnel, which could negatively affect our level of expertise and our ability to execute our business plan. We will also face competition in establishing clinical trial sites and patient registration for clinical trials, as well as in acquiring technologies complementary to, or necessary for, our programs.</w:t>
      </w:r>
    </w:p>
    <w:p>
      <w:pPr>
        <w:spacing w:after="0" w:line="6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universities and other research institutions.</w:t>
      </w:r>
    </w:p>
    <w:p>
      <w:pPr>
        <w:spacing w:after="0" w:line="6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We expect to face competition from existing products and products in development for each of our programs. Drug discovery efforts focused on V600 mutations have led to clinical success in some cancers. Three BRAF inhibitors have been approved by the FDA for the treatment of tumors containing V600E or V600K mutations. These first-generation BRAF inhibitors, known more generally as Type I RAF inhibitors, are vemurafenib, marketed as Zelboraf</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by Genentech; dabrafenib, marketed as Tafinlar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by Novartis; and encorafenib, marketed as Braftovi</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by Pfizer. Dabrafenib, in combination with trametinib, marketed as Mekinist® by Novartis, has been approved for the treatment of adult and pediatric patients ≥ 6 years of age with unresectable or metastatic solid tumors with BRAF V600E mutation who have progressed following prior treatment and have no satisfactory alternative treatment options. This includes BRAF V600E pLGG, a subset of the greater RAF-altered pLGG clinical scope of the OJEMDA development program. We believe that current data indicates that the BRAF V600E subset represents 10%-20% of BRAF-altered pLGG, but additional epidemiologic data may emerge as more patients are profiled. Further, dabrafenib, in combination with trametinib, was granted full approval in the BRAF V600E pLGG indication in March 2023 to include the treatment of pediatric patients 1 year of age and older with low-grade glioma, or LGG, with a BRAF V600E mutation who require initial systemic therapy.</w:t>
      </w:r>
    </w:p>
    <w:p>
      <w:pPr>
        <w:spacing w:after="0" w:line="86" w:lineRule="exact"/>
        <w:rPr>
          <w:sz w:val="20"/>
          <w:szCs w:val="20"/>
          <w:color w:val="auto"/>
        </w:rPr>
      </w:pPr>
    </w:p>
    <w:p>
      <w:pPr>
        <w:ind w:right="240"/>
        <w:spacing w:after="0"/>
        <w:rPr>
          <w:sz w:val="20"/>
          <w:szCs w:val="20"/>
          <w:color w:val="auto"/>
        </w:rPr>
      </w:pPr>
      <w:r>
        <w:rPr>
          <w:rFonts w:ascii="Times New Roman" w:cs="Times New Roman" w:eastAsia="Times New Roman" w:hAnsi="Times New Roman"/>
          <w:sz w:val="18"/>
          <w:szCs w:val="18"/>
          <w:color w:val="auto"/>
        </w:rPr>
        <w:t>Four MEK inhibitors have been approved by the FDA. Three have been approved for the treatment of tumors containing BRAF V600E or V600K mutations, including cobimetinib, marketed as Cotellic</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by Genentech; trametinib, marketed as Mekinist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by Novartis; and binimetinib, marketed as Mektovi</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by Pfizer. A fourth MEK inhibitor—selumetinib, marketed as Koselugo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by AstraZeneca—has been approved for the treatment of pediatric patients two years of age and older with neurofibromatosis type 1, or NF1, who have symptomatic, inoperable plexiform neurofibromas. While MEK inhibitors as monotherapy have been shown to be active in BRAF altered pLGG (both BRAF V600E mutant pLGG and BRAF fusion-driven pLGG), no MEK inhibitors have been approved by the FDA as a monotherapy for the treatment of patients with pLGG.</w:t>
      </w:r>
    </w:p>
    <w:p>
      <w:pPr>
        <w:spacing w:after="0" w:line="9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There are a number of next-generation BRAF inhibitors in clinical development. BeiGene has two next-generation BRAF programs: Lifirafenib (BGB-283), which is currently in a Phase 1/2 trial in combination with mirdametinib, and BGB-3245 which is currently in a single agent in Phase 1 dose escalation study. Hanmi/Genentech are developing belvarafenib in combination with cobimetinib in a Phase 1b clinical trial. Fore Therapeutics (formerly NovellusDx) is developing the RAF dimer breaker PLX8394 in a Phase 1/2 trial in combination with cobicistat. Kinnate is developing KIN-2787 in a monotherapy Phase 1 clinical trial as well as in combination with the MEK inhibitor binimetinib in a Phase 1b clinical trial. Black Diamond Therapeutics have next-generation BRAF inhibitors in various stages of preclinical development. Jazz Pharmaceuticals and Redx have announced that the pan-RAF inhibitor JZP815 has entered clinical development in a Phase 1 trial. Erasca recently announced that it has entered into an exclusive worldwide license agreement with Novartis for naporafenib, a Phase 2 pivotal-ready pan-RAF inhibitor with a potential first-in-class and best-in-class profile in NRAS mutant melanoma and other RAS/MAPK pathway-driven tumors.</w:t>
      </w:r>
    </w:p>
    <w:p>
      <w:pPr>
        <w:spacing w:after="0" w:line="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With regard to the treatment of pLGG, some MEK inhibitors, some type I RAF inhibitors, and other targeted therapies have been studied, or are being studied, in academic investigator-initiated clinical trials, and in some regions may be being used in an off-label manner. The off-label use of these agents may represent competition for OJEMDA if it is approved and enters the market.</w:t>
      </w:r>
    </w:p>
    <w:p>
      <w:pPr>
        <w:spacing w:after="0" w:line="6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Many of our competitors, either alone or with their collaborators, have significantly greater financial resources, established presence in the market and expertise in research and development, manufacturing, preclinical and clinical testing, obtaining marketing authorizations and reimbursement and marketing approved products than we do.</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Large pharmaceutical and biotechnology companies, in particular, have extensive experience in clinical testing, obtaining marketing authorizations, recruiting patients and manufacturing biotechnology product candidates. These companies also have significantly greater research, marketing and sales capabilities than we do and may also have product candidates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w:t>
      </w:r>
    </w:p>
    <w:p>
      <w:pPr>
        <w:spacing w:after="0" w:line="81"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8"/>
          <w:szCs w:val="18"/>
          <w:color w:val="auto"/>
        </w:rPr>
        <w:t>As a result of all of these factors, our competitors may succeed in obtaining approval from the FDA or comparable foreign regulatory authorities or in discovering, developing and commercializing product candidates in our field before we do, which could result in our competitors establishing a strong market position before we are able to enter the market with a particular product or product candidate or could make our development more complicated.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ind w:right="40"/>
        <w:spacing w:after="0" w:line="256" w:lineRule="auto"/>
        <w:rPr>
          <w:sz w:val="20"/>
          <w:szCs w:val="20"/>
          <w:color w:val="auto"/>
        </w:rPr>
      </w:pPr>
      <w:r>
        <w:rPr>
          <w:rFonts w:ascii="Times New Roman" w:cs="Times New Roman" w:eastAsia="Times New Roman" w:hAnsi="Times New Roman"/>
          <w:sz w:val="18"/>
          <w:szCs w:val="18"/>
          <w:color w:val="auto"/>
        </w:rPr>
        <w:t>Our potential commercial opportunity could be reduced or eliminated if our competitors develop and commercialize products that are safer, more effective, have fewer or less severe side effects, are more convenient, have a broader label, are marketed more effectively, are more widely reimbursed or are less expensive than OJEMDA or our other product candidates. Even if the product candidates we develop achieve marketing authorization,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the product candidates we may develop, if approved, could be adversely affected.</w:t>
      </w:r>
    </w:p>
    <w:p>
      <w:pPr>
        <w:spacing w:after="0" w:line="29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Safety risks or other side effects associated with OJEMDA, pimasertib or any future products and product candidates we may develop could delay or preclude approval, cause us to suspend or discontinue clinical trials or abandon further development, limit the use of an approved product or result in significant negative consequences following marketing authorization, if any.</w:t>
      </w:r>
    </w:p>
    <w:p>
      <w:pPr>
        <w:spacing w:after="0" w:line="6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As is the case with pharmaceuticals generally, we have observed side effects and adverse events associated with our product, OJEMDA, and our product candidates. The most common side effects (adverse events) observed to date with OJEMDA included maculopapular rash, anemia, headache, elevation in blood creatinine phosphokinase, or CPK, nausea, skin and hair discoloration and fatigue.</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Results of our ongoing and planned clinical trials could reveal a high and unacceptable severity and prevalence of side effects or unexpected characteristics. These side effects or unexpected characteristics may be subject to regulatory reporting requirements before and/or after approval. Undesirable side effects caused by OJEMDA or our product candidates could result in the delay, suspension or termination of clinical trials by us or regulatory authorities for a number of reasons. Furthermore, clinical trials by their nature utilize a sample of the potential patient population. With a limited number of subjects and limited duration of exposure, rare and severe side effects of OJEMDA or our product candidates or those of our competitors may only be uncovered with a significantly larger number of patients exposed to the drug.</w:t>
      </w:r>
    </w:p>
    <w:p>
      <w:pPr>
        <w:spacing w:after="0" w:line="79"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Additionally, patients treated with OJEMDA and our product candidates have undergone, or may also be undergoing, medical, surgical, radiation and chemotherapy treatments, which can cause side effects or adverse events that are unrelated to OJEMDA or our product candidates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to be enrolled in our future clinical trials will die or experience major clinical events either during the course of our clinical trials or after participating in such trials for non-treatment related reasons, which could impact development of OJEMDA, pimasertib or our other product candidates. If we elect or are required to delay, suspend or terminate any clinical trial, the commercial prospects of OJEMDA and our product candidates will be harmed and our ability to generate product revenues from such product or product candidate will be delayed or eliminated. Serious adverse events, or SAEs, observed in clinical trials could hinder or prevent market acceptance of any approved products or reduce the duration of time that physicians expect to use our product in particular patients. Any of these occurrences may significantly harm our business, prospects, financial condition and results of operations.</w:t>
      </w:r>
    </w:p>
    <w:p>
      <w:pPr>
        <w:spacing w:after="0" w:line="6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Moreover, if OJEMDA or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We may also be required to modify our study plans based on findings in our clinical trials. Such side effects could also affect patient recruitment or the ability of enrolled patients to complete the trial. Many drugs that initially showed promise in early-stage testing have later been found to cause side effects that prevented further development. In addition, regulatory authorities may draw different conclusions, require additional testing to confirm these determinations, require more restrictive labeling or deny marketing authorization of the product candidate.</w:t>
      </w:r>
    </w:p>
    <w:p>
      <w:pPr>
        <w:spacing w:after="0" w:line="81"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It is possible that, as we test OJEMDA or our product candidates in larger, longer and more extensive clinical trials, including with different dosing regimens, or as the use of our product candidates becomes more widespread following any marketing authorization, illnesses, injuries, discomforts and other adverse events that were observed, did not occur or went undetected in earlier trials, will be reported by patients. If such side effects become known later in development or upon approval, if any, such findings may significantly harm our business, financial condition, results of operations and prospects.</w:t>
      </w:r>
    </w:p>
    <w:p>
      <w:pPr>
        <w:spacing w:after="0" w:line="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If any of our product candidates receive marketing authorization, and we or others later identify undesirable side effects caused by treatment with such drug, a number of potentially significant negative consequences could result, including:</w:t>
      </w:r>
    </w:p>
    <w:p>
      <w:pPr>
        <w:spacing w:after="0" w:line="54"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 of the drug;</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the drug is administered to patients;</w:t>
      </w:r>
    </w:p>
    <w:p>
      <w:pPr>
        <w:spacing w:after="0" w:line="117" w:lineRule="exact"/>
        <w:rPr>
          <w:rFonts w:ascii="Times New Roman" w:cs="Times New Roman" w:eastAsia="Times New Roman" w:hAnsi="Times New Roman"/>
          <w:sz w:val="18"/>
          <w:szCs w:val="18"/>
          <w:color w:val="auto"/>
        </w:rPr>
      </w:pPr>
    </w:p>
    <w:p>
      <w:pPr>
        <w:ind w:left="520" w:right="340" w:hanging="512"/>
        <w:spacing w:after="0" w:line="261"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in the labeling, such as a contraindication or a boxed warning, or issue safety alerts, Dear Healthcare Provider letters, press releases or other communications containing warnings or other safety information about the product;</w:t>
      </w: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REMS or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impose additional restrictions on the marketing or promotion of the particular product or the manufacturing processes for the product or any component thereof;</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could become less competitive;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authorization or acceptance of our product candidates, if approved, and could significantly harm our business, financial condition, results of operations and prospects.</w:t>
      </w:r>
    </w:p>
    <w:p>
      <w:pPr>
        <w:spacing w:after="0" w:line="26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or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any products and product candidates we develop, if approved, may be limited to certain smaller patient subsets and may be smaller than we estimate them to be.</w:t>
      </w:r>
    </w:p>
    <w:p>
      <w:pPr>
        <w:spacing w:after="0" w:line="51"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On April 23, 2024, the FDA approved the NDAs for the treatment of patients 6 months of age and older with relapsed or refractory pLGG harboring a BRAF fusion or rearrangement, or BRAF V600 mutation. We have commenced the commercial launch of OJEMDA in the United States. There is no guarantee that OJEMDA or our product candidates will be approved for the front-line setting, and prior to any such approvals we may have to conduct additional clinical trials that may be costly, time-consuming and subject to risk.</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projections of both the number of people who have the cancers we are targeting, as well as the subset of people with these cancers in a position to receive a particular line of therapy and who have the potential to benefit from treatment with OJEMDA and our product candidates, are based on our beliefs and estimates. For example, pLGG is a rare disease, and our projections of both the number of people who have this disease, as well as the subset of people with pLGG who have the potential to benefit from treatment with OJEMDA and our product candidates, are based on estimates. These estimates have been derived from a variety of sources, including scientific literature, surveys of clinics, patient foundations and market research. These estimates may prove to be incorrect. Additionally, new studies or information may change the estimated incidence or prevalence of the cancers that we are targeting, which could affect our eligibility for orphan designation for certain indications. The potentially addressable patient population for OJEMDA and our product candidates may be limited or may not be amenable to treatment with OJEMDA and our product candidates. Consequently, even if our product candidates are approved, the number of patients that may be eligible for treatment with our product candidates may turn out to be much lower than expected. Even if we obtain significant market share for our products, if the potential target populations are small, we may never achieve profitability without obtaining marketing authorization for additional indications, if at all.</w:t>
      </w:r>
    </w:p>
    <w:p>
      <w:pPr>
        <w:spacing w:after="0" w:line="296"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clinical development activities are primarily focused on the development of targeted therapeutics for patients with genomically-defined cancers, which is a rapidly evolving area of science, and the approach we are taking to discover and develop drugs is novel and may never lead to approved or marketable products.</w:t>
      </w:r>
    </w:p>
    <w:p>
      <w:pPr>
        <w:spacing w:after="0" w:line="67"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discovery and development of targeted therapeutics for patients with genomically-defined cancers is an emerging field, and the scientific discoveries that form the basis for our efforts to discover, identify and develop product candidates are relatively new. The scientific evidence to support the feasibility of developing product candidates based on these discoveries is both preliminary and limited. Although we believe, based on our products and product candidates’ preclinical trial results and our clinical work, that the genomic alterations targeted by our programs are oncogenic drivers, clinical results may not confirm this hypothesis or may only confirm it for certain alterations or certain tumor types. The patient populations for OJEMDA and our product candidates are limited to those with specific target alterations and may not be completely defined but are substantially smaller than the general treated cancer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ind w:right="120"/>
        <w:spacing w:after="0" w:line="254" w:lineRule="auto"/>
        <w:rPr>
          <w:sz w:val="20"/>
          <w:szCs w:val="20"/>
          <w:color w:val="auto"/>
        </w:rPr>
      </w:pPr>
      <w:r>
        <w:rPr>
          <w:rFonts w:ascii="Times New Roman" w:cs="Times New Roman" w:eastAsia="Times New Roman" w:hAnsi="Times New Roman"/>
          <w:sz w:val="18"/>
          <w:szCs w:val="18"/>
          <w:color w:val="auto"/>
        </w:rPr>
        <w:t>population. In some cases, the target patient populations may not be completely defined. We will need to screen and identify appropriate patients with the targeted alterations. Successful identification of patients is dependent on several factors, including achieving certainty as to how specific alterations respond to OJEMDA and our product candidates and the ability to identify such alterations. Furthermore, even if we are successful in identifying patients, we cannot be certain that the resulting patient populations for each mutation will be large enough to allow us to successfully obtain approval for each mutation type and successfully commercialize OJEMDA and our product candidates and achieve profitability. In addition, even if our approach is successful in showing clinical benefit for RAF-driven cancers for our OJEMDA program, we may never successfully identify additional oncogenic alterations sensitive to OJEMDA in other MAPK-driven tumors. Therefore, we do not know if our approach of treating patients with genomically-defined cancers will be successful, and if our approach is unsuccessful, our business will suffer.</w:t>
      </w:r>
    </w:p>
    <w:p>
      <w:pPr>
        <w:spacing w:after="0" w:line="29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OJEMDA and our product candidates, including pimasertib, may not achieve adequate market acceptance among physicians, healthcare professionals, patients or their families, healthcare payors and others in the medical community necessary for commercial success.</w:t>
      </w:r>
    </w:p>
    <w:p>
      <w:pPr>
        <w:spacing w:after="0" w:line="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product, OJEMDA, and product candidates, including pimasertib, if approved, may not achieve adequate market acceptance among physicians, healthcare professionals, patients or their families, healthcare payors and others in the medical community necessary for commercial success. The degree of market acceptance of any of our approved product candidates will depend on a number of factors, including:</w:t>
      </w:r>
    </w:p>
    <w:p>
      <w:pPr>
        <w:spacing w:after="0" w:line="68" w:lineRule="exact"/>
        <w:rPr>
          <w:sz w:val="20"/>
          <w:szCs w:val="20"/>
          <w:color w:val="auto"/>
        </w:rPr>
      </w:pPr>
    </w:p>
    <w:p>
      <w:pPr>
        <w:ind w:left="520" w:right="260" w:hanging="512"/>
        <w:spacing w:after="0" w:line="282"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durability and safety profile as demonstrated in clinical trials compared to alternative treatments, in addition to functional, quality or patient-reported outcomes;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and of any competitive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 product candidate is approved;</w:t>
      </w:r>
    </w:p>
    <w:p>
      <w:pPr>
        <w:spacing w:after="0" w:line="117"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product candidates in the labeling approved by regulatory authorities, such as boxed warnings or contraindications in labeling, or REMS, which may not be required of alternative treatments and competitor products;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OJEMDA and our product candidates over alternative treatments;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 and the cost/benefit ratios of each;</w:t>
      </w:r>
    </w:p>
    <w:p>
      <w:pPr>
        <w:spacing w:after="0" w:line="11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by third-party payors, including government authorities, and timing of relevant formulary decision-making resulting in this coverage and reimbursement;</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in relation to competition;</w:t>
      </w:r>
    </w:p>
    <w:p>
      <w:pPr>
        <w:spacing w:after="0" w:line="11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(which may include willingness of our pediatric patients’ parents) to try new therapies and undergo required diagnostic screening to determine treatment eligibility and of physicians to prescribe these therapies and diagnostic tests;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 and market access;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our product candidates;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therapies for the same indications.</w:t>
      </w:r>
    </w:p>
    <w:p>
      <w:pPr>
        <w:spacing w:after="0" w:line="11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If our product candidates are approved but do not achieve an adequate level of acceptance by physicians, hospitals, healthcare payors and patients, we may not generate or derive sufficient revenue from that product candidate and our financial results could be negatively impacted. With respect to OJEMDA specifically, successful commercialization will depend on negotiations with, and coverage, reimbursement, selection and/or acquisition decisions by, third-party payors, which we cannot predict. These decisions in turn may depend on value assessments conducted by various entities (e.g., formulary committees, such as pharmacy and therapeutics committees, healthcare systems and pharmacies, among others) that consider various factors (including the price of OJEMDA)—the outcomes of which we cannot predict.</w:t>
      </w:r>
    </w:p>
    <w:p>
      <w:pPr>
        <w:spacing w:after="0" w:line="29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products and product candidates we develop may become subject to unfavorable third-party coverage and reimbursement practices, as well as price restrictions.</w:t>
      </w:r>
    </w:p>
    <w:p>
      <w:pPr>
        <w:spacing w:after="0" w:line="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products, including OJEMDA, and our product candidates, including pimasertib, should it receive marketing authorization, will depend substantially, both in the United States and internationally, on the extent to which the costs of such products and product candidates will be covered and reimbursed by third-party payors, as patients who are prescribed medicine for the treatment of their condition generally rely on third-party payors to reimburse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4" w:name="page45"/>
    <w:bookmarkEnd w:id="44"/>
    <w:p>
      <w:pPr>
        <w:ind w:right="200"/>
        <w:spacing w:after="0" w:line="277" w:lineRule="auto"/>
        <w:rPr>
          <w:sz w:val="20"/>
          <w:szCs w:val="20"/>
          <w:color w:val="auto"/>
        </w:rPr>
      </w:pPr>
      <w:r>
        <w:rPr>
          <w:rFonts w:ascii="Times New Roman" w:cs="Times New Roman" w:eastAsia="Times New Roman" w:hAnsi="Times New Roman"/>
          <w:sz w:val="17"/>
          <w:szCs w:val="17"/>
          <w:color w:val="auto"/>
        </w:rPr>
        <w:t>all or part of the costs associated with their prescription drugs. Further, coverage and adequate reimbursement from governmental healthcare programs, such as Medicare and Medicaid, and commercial payors is critical to new product acceptance. If reimbursement is not available, or is available only to limited levels, we may not be able to successfully commercialize OJEMDA and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or product candidate for which we obtain marketing authorization.</w:t>
      </w:r>
    </w:p>
    <w:p>
      <w:pPr>
        <w:spacing w:after="0" w:line="60" w:lineRule="exact"/>
        <w:rPr>
          <w:sz w:val="20"/>
          <w:szCs w:val="20"/>
          <w:color w:val="auto"/>
        </w:rPr>
      </w:pPr>
    </w:p>
    <w:p>
      <w:pPr>
        <w:ind w:right="80" w:firstLine="4"/>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particularly pediatric products. The payor mix for pediatric products in the United States is a fragmented combination of state-specific Medicaid policies and a broad universe of private insurance companies. There is no consistent policy or leading payor to inform other price-setting entities. Public and private payor policies are expected to be critical to our ability to achieve broad payment coverage. Further, to the extent one or more of our products obtain coverage by one third-party payor, that does not assure that other payors will also provide coverage for the product.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8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federal and state governments implement additional health care cost containment measures, including measures to lower prescription drug pricing, we cannot be sure that our products, if approved, will be covered by private or public payors, and if covered, whether the reimbursement will be adequate or competitive with other marketed products. These and other actions by federal and state governments and health plans may put additional downward pressure on pharmaceutical pricing and health care costs, which could negatively impact coverage and reimbursement for our products (if approved), our revenue and our ability to compete with other marketed products and to recoup the costs of our research and development.</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them with predetermined discounts from list prices and are generally challenging the prices for medical products, including by examining the medical necessity and reviewing the cost effectiveness of medical product candidates. There may be especially significant delays in obtaining coverage and reimbursement for newly approved drugs. Third-party payors may limit coverage to specific products on an approved list, known as a formulary, which might not include all FDA-approved drugs for a particular indication. We plan to conduct pharmaco-economic studies to demonstrate the medical necessity and cost-effectiveness of our products, which may be costly. Nonetheless, our products and product candidates may not be considered medically necessary or cost-effective. Moreover, third-party payor coverage decisions may depend upon clinical and economic standards that disfavor new drug products when more established or lower cost therapeutic alternatives are already available or subsequently become available. We cannot be sure that coverage and reimbursement will be available for any product that we commercialize and, if reimbursement is available, what the level of reimbursement will be.</w:t>
      </w:r>
    </w:p>
    <w:p>
      <w:pPr>
        <w:spacing w:after="0" w:line="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complementary and companion diagnostic tests require coverage and reimbursement separate and apart from the coverage and reimbursement for related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spacing w:after="0" w:line="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Outside the United States, the commercialization of therapeutics is generally subject to extensive governmental price controls and other market regulations.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or EU, medicinal product prices are subject to varying price control mechanisms as part of national health systems. In these countries, pricing negotiations with governmental authorities can take considerable time after a product receives marketing authorization.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8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Coverage policies and third-party payor reimbursement rates may change at any time. Even if favorable coverage and reimbursement status is attained for one or more products for which we receive marketing authorization, less favorable coverage policies and reimbursement rates may be implemented in the future.</w:t>
      </w:r>
    </w:p>
    <w:p>
      <w:pPr>
        <w:spacing w:after="0" w:line="68" w:lineRule="exact"/>
        <w:rPr>
          <w:sz w:val="20"/>
          <w:szCs w:val="20"/>
          <w:color w:val="auto"/>
        </w:rPr>
      </w:pPr>
    </w:p>
    <w:p>
      <w:pPr>
        <w:ind w:right="100" w:firstLine="4"/>
        <w:spacing w:after="0" w:line="261" w:lineRule="auto"/>
        <w:rPr>
          <w:sz w:val="20"/>
          <w:szCs w:val="20"/>
          <w:color w:val="auto"/>
        </w:rPr>
      </w:pPr>
      <w:r>
        <w:rPr>
          <w:rFonts w:ascii="Times New Roman" w:cs="Times New Roman" w:eastAsia="Times New Roman" w:hAnsi="Times New Roman"/>
          <w:sz w:val="18"/>
          <w:szCs w:val="18"/>
          <w:color w:val="auto"/>
        </w:rPr>
        <w:t>If we are unable to establish or sustain coverage and adequate reimbursement for any products from third-party payors, the adoption of those products and sales revenue will be adversely affected, which, in turn, could adversely affect the ability to market or sell those product, if approved.</w:t>
      </w: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5" w:name="page46"/>
    <w:bookmarkEnd w:id="45"/>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business exposes us to significant product liability risks inherent in the development, testing, manufacturing and commercialization of OJEMDA and any future products and marketing of therapeutic treatments. Product liability claims could delay or prevent completion of our development programs. If we succeed in marketing products, such claims could result in an FDA or other regulatory authority investigation of the safety and effectiveness of our products, our manufacturing processes and facilities or our marketing programs. The FDA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our resources and substantial monetary awards to trial participants or patients. We currently have product liability insurance that we believe is appropriate for our stage of development and may need to obtain higher levels prior to advancing our product candidates into clinical trials or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right="10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 and commercialization of pharmaceutical products are subject to extensive regulation, and we may not obtain marketing authorizations for pimasertib or any future product candidates, on a timely basis or at all.</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OJEMDA and pimasertib, currently our only product and product candidate in planned or ongoing clinical trials, as well as any other product candidate that we may develop in the future, are subject to extensive regulation. Marketing authorization of drugs in the United States requires the submission of an NDA to the FDA. An NDA must be supported by extensive clinical and preclinical data, as well as extensive information regarding pharmacology, chemistry, manufacturing and controls. We are not permitted to market any product candidate in the United States until we obtain approval from the FDA of the NDA for that product.</w:t>
      </w:r>
    </w:p>
    <w:p>
      <w:pPr>
        <w:spacing w:after="0" w:line="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FDA may refer any application we submit to an advisory committee. An advisory committee is a panel of independent experts, including clinicians and other scientific experts, which reviews, evaluates and provides advice and recommendations to the FDA as to whether the application should be approved and under what conditions. The FDA is not bound by the recommendations of an advisory committee, but it considers such recommendations carefully when making decisions.</w:t>
      </w:r>
    </w:p>
    <w:p>
      <w:pPr>
        <w:spacing w:after="0" w:line="7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FDA approval of an NDA is not guaranteed, and the review and approval process is an expensive and uncertain process over which the FDA has substantial discretion. The FDA approval process may also take several years. The number and types of preclinical studies and clinical trials that will be required for NDA approval vary depending on the product candidate, the disease or the condition that the product candidate is designed to treat and the regulations applicable to any particular product candidate. Of the large number of drugs in development in the United States, only a small percentage will successfully complete the FDA marketing authorization process and will be commercialized. On April 23, 2024, the FDA approved the NDAs for the treatment of patients 6 months of age and older with relapsed or refractory pLGG harboring a BRAF fusion or rearrangement, or BRAF V600 mutation. In connection with its approval of OJEMDA, the FDA may impose restrictions, post-marketing requirements or post-marketing commitments that may limit our ability to commercialize OJEMDA or any other product. If we fail to comply with FDA-mandated requirements or if the results of certain required post-marketing studies are negative, the FDA could withdraw approval, add warnings or narrow approved indications, which could affect the commercial success of our products.</w:t>
      </w:r>
    </w:p>
    <w:p>
      <w:pPr>
        <w:spacing w:after="0" w:line="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we may experience delays or rejections based upon additional government regulation from future legislation or administrative action, or changes in regulatory authority policy during the period of product development, clinical trials and the review process. For example, in May 2022, the Oncology Center of Excellence within the FDA advanced Project Optimus,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recent Oncology Center of Excellence initiatives have included Project FrontRunner, a new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w:t>
      </w:r>
    </w:p>
    <w:p>
      <w:pPr>
        <w:spacing w:after="0" w:line="80"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color w:val="auto"/>
        </w:rPr>
        <w:t>Clinical trial failure may result from a multitude of factors, including flaws in trial design, dose selection, placebo effect, patient enrollment criteria, data integrity challenges or failure to demonstrate favorable safety or efficacy traits. Failure in clinical trials can occur at any stage. Companies in the pharmaceutical industry frequently suffer setbacks in the advancement of clinical trials due to</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6" w:name="page47"/>
    <w:bookmarkEnd w:id="46"/>
    <w:p>
      <w:pPr>
        <w:ind w:right="100"/>
        <w:spacing w:after="0" w:line="281" w:lineRule="auto"/>
        <w:rPr>
          <w:sz w:val="20"/>
          <w:szCs w:val="20"/>
          <w:color w:val="auto"/>
        </w:rPr>
      </w:pPr>
      <w:r>
        <w:rPr>
          <w:rFonts w:ascii="Times New Roman" w:cs="Times New Roman" w:eastAsia="Times New Roman" w:hAnsi="Times New Roman"/>
          <w:sz w:val="17"/>
          <w:szCs w:val="17"/>
          <w:color w:val="auto"/>
        </w:rPr>
        <w:t>lack of efficacy or adverse safety profiles, notwithstanding promising results in earlier trials.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authorization. On the basis of our clinical trials, the FDA could delay, limit or deny approval of a product candidate for many reasons, including because the FDA may:</w:t>
      </w:r>
    </w:p>
    <w:p>
      <w:pPr>
        <w:spacing w:after="0" w:line="56"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deem our product candidate to be safe and effective;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that the product candidate does not have an acceptable benefit-risk profile;</w:t>
      </w:r>
    </w:p>
    <w:p>
      <w:pPr>
        <w:spacing w:after="0" w:line="117" w:lineRule="exact"/>
        <w:rPr>
          <w:rFonts w:ascii="Times New Roman" w:cs="Times New Roman" w:eastAsia="Times New Roman" w:hAnsi="Times New Roman"/>
          <w:sz w:val="18"/>
          <w:szCs w:val="18"/>
          <w:color w:val="auto"/>
        </w:rPr>
      </w:pPr>
    </w:p>
    <w:p>
      <w:pPr>
        <w:ind w:left="520" w:right="48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in the case of an NDA seeking accelerated approval that the NDA does not provide evidence that the product candidate represents a meaningful advantage over available therapies and, therefore, may deny approval;</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that ORR as the primary endpoint, complemented by key secondary endpoints, is insufficient to reliably define clinical benefit;</w:t>
      </w:r>
    </w:p>
    <w:p>
      <w:pPr>
        <w:spacing w:after="0" w:line="117"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agree that the data collected from preclinical studies and clinical trials are acceptable or sufficient to support the submission of an NDA or other submission or to obtain marketing authorization, and may impose requirements for additional preclinical studies or clinical trials;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that adverse events experienced by participants in our clinical trials represent an unacceptable level of risk;</w:t>
      </w:r>
    </w:p>
    <w:p>
      <w:pPr>
        <w:spacing w:after="0" w:line="117"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that the population studied in the clinical trial may not be sufficiently broad or representative to assure safety in the full population for which we seek approval;</w:t>
      </w:r>
    </w:p>
    <w:p>
      <w:pPr>
        <w:spacing w:after="0" w:line="53"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accept clinical data from trials, which are conducted at clinical facilities or in countries where the standard of care is potentially different from that of the United States;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 regarding the formulation, labeling and/or the specifications;</w:t>
      </w:r>
    </w:p>
    <w:p>
      <w:pPr>
        <w:spacing w:after="0" w:line="11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approve the manufacturing processes associated with our product candidate or may determine that a manufacturing facility does not have an acceptable compliance status;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approval policies or adopt new regulations; 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file a submission due to, among other reasons, the content or formatting of the submission.</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not yet obtained FDA approval for our product candidate, pimasertib. While the FDA approved the NDAs for the treatment of patients 6 months of age and older with relapsed or refractory pLGG harboring a BRAF fusion or rearrangement, or BRAF V600 mutation, there is no assurance that we will receive similar approval for OJEMDA from comparable regulatory authorities in foreign jurisdictions, which may limit our addressable market and could adversely affect our business, prospects, financial condition and results of operations.</w:t>
      </w:r>
    </w:p>
    <w:p>
      <w:pPr>
        <w:spacing w:after="0" w:line="284"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seek to utilize any of the FDA’s expedited programs, the FDA may not find our product candidates to be eligible for these programs and, if granted, these programs may not lead to faster development, regulatory review or approval of our product candidates.</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FDA has several expedited programs, including Fast Track, Priority Review, Breakthrough Therapy and Accelerated Approval, which are authorized by the Federal Food, Drug and Cosmetic Act, or FD&amp;C Act, and implemented pursuant to FDA regulations and guidance. None of these programs change the standard for FDA approval of a pharmaceutical product. We still must demonstrate substantial evidence of effectiveness and an acceptable safety profile to obtain marketing authorization.</w:t>
      </w:r>
    </w:p>
    <w:p>
      <w:pPr>
        <w:spacing w:after="0" w:line="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may seek to avail ourselves of one or more of the FDA’s expedited programs. For example, we may seek Fast Track designation for one or more of our product candidates.</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FDA may grant a Fast Track designation to a drug that is intended for the treatment of a serious or life-threatening condition and nonclinical or clinical data demonstrates the potential to address unmet medical needs for this condition. The FDA has broad discretion whether to grant this designation, so even if we believe a particular product candidate is eligible for this designation, we cannot assure you that the FDA would decide to grant it. The FDA may withdraw Fast Track designation if it believes that the designation is no longer supported by data from our clinical development program.</w:t>
      </w:r>
    </w:p>
    <w:p>
      <w:pPr>
        <w:spacing w:after="0" w:line="7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applied for and have been granted breakthrough therapy designation for tovorafenib in patients with advanced pLGG, and we may apply for breakthrough therapy designation for other product candidates or indications in the future. The FDA may designate a drug candidate as a potential breakthrough therapy if the drug candidate is intended, alone or in combination with one or more other drugs or drug candidates, to treat a serious or life-threatening disease or condition and preliminary clinical evidence indicates that the drug candidate may demonstrate substantial improvement over existing therapies on one or more clinically significant endpoints. For drug candidates that have been designated as breakthrough therapies, interaction and communication between the FDA and the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ind w:right="80"/>
        <w:spacing w:after="0" w:line="261" w:lineRule="auto"/>
        <w:rPr>
          <w:sz w:val="20"/>
          <w:szCs w:val="20"/>
          <w:color w:val="auto"/>
        </w:rPr>
      </w:pPr>
      <w:r>
        <w:rPr>
          <w:rFonts w:ascii="Times New Roman" w:cs="Times New Roman" w:eastAsia="Times New Roman" w:hAnsi="Times New Roman"/>
          <w:sz w:val="18"/>
          <w:szCs w:val="18"/>
          <w:color w:val="auto"/>
        </w:rPr>
        <w:t>sponsor of the trial can help to identify the most efficient path for clinical development while minimizing the number of patients placed in ineffective control regimens. Drug candidates designated as breakthrough therapies by the FDA are also eligible for priority review if supported by clinical data at the time of the submission of the NDA. The FDA may withdraw breakthrough therapy designations if it determines that the criteria for the designation is no longer met.</w:t>
      </w:r>
    </w:p>
    <w:p>
      <w:pPr>
        <w:spacing w:after="0" w:line="7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may seek priority review of one or more of our other applications for marketing authorization, or we may receive priority review as part of other designations we may seek for one or more of our other product candidates. The FDA may grant priority review to an application if an application is for a drug that treats a serious condition and, if approved, would provide a significant improvement in safety or effectiveness. The FDA may also grant priority review to supplements that propose a labeling change pursuant to a report on a pediatric study under Section 505A of the FD&amp;C Act. Additionally, the FDA may grant priority review to any application or supplement for a drug submitted with a priority review voucher. We cannot assure you that the FDA would decide to grant priority review of any of our product candidates.</w:t>
      </w:r>
    </w:p>
    <w:p>
      <w:pPr>
        <w:spacing w:after="0" w:line="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Even if we do receive Fast Track designation, breakthrough therapy designation or priority review for any of our product candidates, we may not experience expedited development, review or faster action on our applications for marketing authorization compared to products without such designations.</w:t>
      </w:r>
    </w:p>
    <w:p>
      <w:pPr>
        <w:spacing w:after="0" w:line="266"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accelerated approval pathway may be unavailable or, if available, may not lead to faster development, regulatory review or marketing authorization, and the use of the accelerated approval pathway does not necessarily increase the likelihood that our product candidates will receive marketing authorization.</w:t>
      </w:r>
    </w:p>
    <w:p>
      <w:pPr>
        <w:spacing w:after="0" w:line="6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FDA’s Accelerated Approval Program, and subject to the conditions set forth in Section 506(c) of the FD&amp;C Act and FDA regulations, the FDA may approve a product for a serious or life-threatening disease or condition based 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The FDA generally reserves the use of accelerated approvals for situations in which the product candidate at issue provides a meaningful therapeutic benefit over existing treatments.</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seek accelerated approval for one or more of our product candidates on the basis of a surrogate endpoint that we believe is reasonably likely to predict clinical benefit, such as ORR. The FDA may not agree with our conclusion that an endpoint we select is reasonably likely to predict clinical benefit, and thus the FDA may not agree that accelerated approval is appropriate based on that endpoint (even if the results on that endpoint are statistically significant), which could delay or preclude accelerated approval.</w:t>
      </w:r>
    </w:p>
    <w:p>
      <w:pPr>
        <w:spacing w:after="0" w:line="7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Products granted accelerated approval are subject to certain post-marketing requirements, which typically include a requirement to conduct one or more post-approval studies to confirm the clinical benefit of the product, which must be completed with due diligence. By the time of approval of the product, the FDA must set forth the conditions for the post-marketing studies which may include specific conditions and deadlines relating to the study protocol, enrollment targets, target completion date and other milestones. The FDA generally expects—and may require, as appropriate—the confirmatory study or studies to be underway at the time of the accelerated approval or within a specific time frame following approval. The FDA may disagree with our proposed clinical study designs for post-marketing confirmatory studies, and may require study conditions that are unfavorable to us, which could delay approval or lead to the withdrawal of a product approved under the accelerated approval pathway.</w:t>
      </w:r>
    </w:p>
    <w:p>
      <w:pPr>
        <w:spacing w:after="0" w:line="8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FDA regulations require that sponsors of products granted accelerated approval submit during the pre-approval review period copies of all promotional materials intended to be used within 120 days following marketing approval. After 120 days following marketing approval, unless otherwise informed by the FDA, the sponsor must submit all promotional materials at least 30 days prior to use.</w:t>
      </w:r>
    </w:p>
    <w:p>
      <w:pPr>
        <w:spacing w:after="0" w:line="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accelerated approval pathway has come under scrutiny within the FDA, by Congress and by other stakeholders. The FDA has put increased focus on ensuring that confirmatory studies are conducted with diligence and, ultimately, that such studies confirm the benefit. For example, the FDA has convened its Oncologic Drugs Advisory Committee to review what the FDA has called "dangling" or "delinquent" accelerated approvals where confirmatory studies have not been completed or where results did not confirm benefit. In addition, in 2021, the Oncology Center of Excellence announced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 of access and verification of benefit for therapies available to patients with cancer and hematologic malignancies.</w:t>
      </w:r>
    </w:p>
    <w:p>
      <w:pPr>
        <w:spacing w:after="0" w:line="81"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8"/>
          <w:szCs w:val="18"/>
          <w:color w:val="auto"/>
        </w:rPr>
        <w:t>Finally, Congress recently passed the Food and Drug Omnibus Reform Act of 2022, or FDORA, which implemented key reforms to the FDA’s authorities with respect to accelerated approval, including strengthening requirements around post-approval studies, codifying procedures for withdrawal of a product approved under the expedited approval pathway and establishing an intra-agency Accelerated Approval Council to address accelerated approval policy.</w:t>
      </w:r>
    </w:p>
    <w:p>
      <w:pPr>
        <w:spacing w:after="0" w:line="1" w:lineRule="exact"/>
        <w:rPr>
          <w:sz w:val="20"/>
          <w:szCs w:val="20"/>
          <w:color w:val="auto"/>
        </w:rPr>
      </w:pPr>
    </w:p>
    <w:p>
      <w:pPr>
        <w:ind w:right="580"/>
        <w:spacing w:after="0" w:line="250" w:lineRule="auto"/>
        <w:rPr>
          <w:sz w:val="20"/>
          <w:szCs w:val="20"/>
          <w:color w:val="auto"/>
        </w:rPr>
      </w:pPr>
      <w:r>
        <w:rPr>
          <w:rFonts w:ascii="Times New Roman" w:cs="Times New Roman" w:eastAsia="Times New Roman" w:hAnsi="Times New Roman"/>
          <w:sz w:val="18"/>
          <w:szCs w:val="18"/>
          <w:color w:val="auto"/>
        </w:rPr>
        <w:t>FDORA also added the failure to conduct post-approval studies with due diligence or to submit timely progress reports on such studies to the list of prohibited acts under the FD&amp;C Act, which means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8" w:name="page49"/>
    <w:bookmarkEnd w:id="48"/>
    <w:p>
      <w:pPr>
        <w:ind w:right="320"/>
        <w:spacing w:after="0" w:line="282" w:lineRule="auto"/>
        <w:rPr>
          <w:sz w:val="20"/>
          <w:szCs w:val="20"/>
          <w:color w:val="auto"/>
        </w:rPr>
      </w:pPr>
      <w:r>
        <w:rPr>
          <w:rFonts w:ascii="Times New Roman" w:cs="Times New Roman" w:eastAsia="Times New Roman" w:hAnsi="Times New Roman"/>
          <w:sz w:val="18"/>
          <w:szCs w:val="18"/>
          <w:color w:val="auto"/>
        </w:rPr>
        <w:t>that any such failures, whether they result from our actions or the actions of third parties, could provide the basis for enforcement actions to be brought against us, which may be costly to defend or we may be unsuccessful in our defense.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also has the authority to withdraw products approved under the accelerated approval pathway using expedited withdrawal procedures.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Circumstances that may lead to such withdrawal include:</w:t>
      </w:r>
    </w:p>
    <w:p>
      <w:pPr>
        <w:spacing w:after="0" w:line="99" w:lineRule="exact"/>
        <w:rPr>
          <w:sz w:val="20"/>
          <w:szCs w:val="20"/>
          <w:color w:val="auto"/>
        </w:rPr>
      </w:pPr>
    </w:p>
    <w:p>
      <w:pPr>
        <w:ind w:left="520" w:right="12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conduct any required post-approval study of a product candidate with due diligence, including with respect to conditions specified by the FDA;</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study required to verify and describe the predicted clinical benefit of a product candidate fails to verify and describe such benefit;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evidence demonstrates that the product candidate is not shown to be safe or effective under the conditions of use; 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sponsor's dissemination of false or misleading promotional materials relating to the relevant product candidate.</w:t>
      </w:r>
    </w:p>
    <w:p>
      <w:pPr>
        <w:spacing w:after="0" w:line="11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If any of our competitors were to receive full approval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 at all.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 or exclusivity for our product candidates.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obtained orphan drug designation in the United States and in the EU for use of tovorafenib in treating malignant glioma and glioma, respectively. We may seek orphan drug designation for tovorafenib in additional geographies or indications, or for pimasertib or any product candidates we may develop in the future. 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in the United States, or if the disease or condition affects more than 200,000 individuals in the United States and there is no reasonable expectation that the cost of developing and making available the drug for such disease or condition will be recovered from sales of the product in the United States.</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Generally, if a product candidate with a U.S. orphan drug designation subsequently receives the first marketing authorization for the drug for the indication for which it has such designation, the product is entitled to a period of marketing exclusivity, which precludes the FDA from approving another marketing application for the same drug for the same indication for a period of seven years. Orphan drug exclusivity in the United States may be lost if the FDA determines that the request for designation was materially defective or the drug in fact was ineligible for orphan-drug designation at the time the request for designation was submitted, or if the manufacturer is unable to assure a sufficient quantity of the drug to meet the needs of patients with the rare disease or condition.</w:t>
      </w:r>
    </w:p>
    <w:p>
      <w:pPr>
        <w:spacing w:after="0" w:line="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FDA may approve a subsequent application to market the same drug for the same indication during the exclusivity period in certain circumstances, such as if the subsequent product demonstrates clinical superiority (i.e., the subsequent product is safer, more effective or makes a major contribution to patient care) over the product with orphan exclusivity. Competitors, however, may receive approval of different products for the same indication for which the orphan product has exclusivity, or obtain approval for the same product but for a different indication than that for which the orphan product has exclusivity. Orphan drug designation also entitles a party to financial incentives, such as opportunities for grant funding towards clinical trial costs, tax advantages and user-fee waivers.</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EU, if a medicinal product is granted marketing authorization as an orphan medicinal product, it benefits from a period of orphan market exclusivity during which the European Medicines Agency, or the EMA, or a national regulator may not accept a marketing authorization application for a similar medicinal product in the same orphan indication. The applicable period of orphan exclusivity is ten years in the EU, but this can be reduced to six years if a drug no longer meets the criteria for orphan drug designation. The EMA or a national regulator may accept an application and grant a marketing authorization for a similar medicinal product for the orphan indication during the exclusivity period if the similar product is safer, more effective or otherwise clinically superior to the orphan product.</w:t>
      </w:r>
    </w:p>
    <w:p>
      <w:pPr>
        <w:spacing w:after="0" w:line="79" w:lineRule="exact"/>
        <w:rPr>
          <w:sz w:val="20"/>
          <w:szCs w:val="20"/>
          <w:color w:val="auto"/>
        </w:rPr>
      </w:pPr>
    </w:p>
    <w:p>
      <w:pPr>
        <w:jc w:val="both"/>
        <w:ind w:right="100"/>
        <w:spacing w:after="0" w:line="289" w:lineRule="auto"/>
        <w:rPr>
          <w:sz w:val="20"/>
          <w:szCs w:val="20"/>
          <w:color w:val="auto"/>
        </w:rPr>
      </w:pPr>
      <w:r>
        <w:rPr>
          <w:rFonts w:ascii="Times New Roman" w:cs="Times New Roman" w:eastAsia="Times New Roman" w:hAnsi="Times New Roman"/>
          <w:sz w:val="17"/>
          <w:szCs w:val="17"/>
          <w:color w:val="auto"/>
        </w:rPr>
        <w:t>We cannot assure you that any future application for orphan drug designation with respect to any other product candidate will be granted. If we are unable to obtain orphan drug designation with respect to other product candidates in the United States or other jurisdictions, we will not be eligible to obtain the period of market exclusivity that could result from orphan drug designation or be afforded the other incentives associated with orphan drug designation.</w:t>
      </w:r>
    </w:p>
    <w:p>
      <w:pPr>
        <w:spacing w:after="0" w:line="48"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 xml:space="preserve">Moreover, a recent Eleventh Circuit decision in </w:t>
      </w:r>
      <w:r>
        <w:rPr>
          <w:rFonts w:ascii="Times New Roman" w:cs="Times New Roman" w:eastAsia="Times New Roman" w:hAnsi="Times New Roman"/>
          <w:sz w:val="17"/>
          <w:szCs w:val="17"/>
          <w:i w:val="1"/>
          <w:iCs w:val="1"/>
          <w:color w:val="auto"/>
        </w:rPr>
        <w:t>Catalyst Pharmaceuticals, Inc. vs. FDA</w:t>
      </w:r>
      <w:r>
        <w:rPr>
          <w:rFonts w:ascii="Times New Roman" w:cs="Times New Roman" w:eastAsia="Times New Roman" w:hAnsi="Times New Roman"/>
          <w:sz w:val="17"/>
          <w:szCs w:val="17"/>
          <w:color w:val="auto"/>
        </w:rPr>
        <w:t xml:space="preserve"> regarding interpretation of the Orphan Drug Act exclusivity provisions as applied to drugs approved for orphan indications narrower than the drug’s orphan designation has the potential to significantly broaden the scope of orphan drug exclusivity for such products. Specifically, the Eleventh Circuit held that orphan drug exclusivity precludes the FDA from approving another marketing application for the same drug for the same orphan-designated disease or condition for a period of seven years. Although the FDA has announced that it will not apply the Catalyst decision beyond the facts at issue in that case, Catalyst could serve as a precedent for future challenges to the FDA’s orphan drug-related decisions, and, accordingly, could fundamentally change how companies rely on, or seek to work around, orphan drug</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exclusivity in the United States. Legislation has also been introduced that may reverse the Catalyst decision, but such legislation has not yet been passed.</w:t>
      </w:r>
    </w:p>
    <w:p>
      <w:pPr>
        <w:spacing w:after="0" w:line="32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comply with certain legal requirements and FDA policies, and may seek incentives under certain laws, relating to the development of drugs for pediatric patients, including the Pediatric Research Equity Act and the Best Pharmaceuticals for Children Act.</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Pediatric Research Equity Act, as amended, or PREA, requires that certain NDAs, Biologics License Applications, or BLAs, and NDA/BLA supplements contain assessment reports regarding the safety and efficacy of the product for the claimed indications in all relevant pediatric subpopulations to support dosing and administration for each pediatric subpopulation for which the product has been assessed to be safe and effective. In addition, PREA requires a molecularly targeted pediatric cancer investigation for an original NDA or BLA for a new active ingredient if the product candidate is intended to treat an adult cancer and is directed at a molecular target that the FDA determines to be substantially relevant to the growth or progression of a pediatric cancer, which may be different than the claimed adult cancer indication. PREA requires these pediatric studies be conducted using appropriate formulations for each age group that is studied, and an applicant must seek approval of any pediatric formulations that are used. The FDA may grant deferrals of PREA requirements or full or partial waivers. Unless otherwise required by regulation, PREA does not apply to a drug for an indication for which orphan designation has been granted, except that PREA will apply to an original NDA or BLA that is subject to the molecularly targeted pediatric cancer investigation requirement. Even if we are deemed exempt from PREA requirements for one application, any of our other applications may be subject to PREA requirements.</w:t>
      </w:r>
    </w:p>
    <w:p>
      <w:pPr>
        <w:spacing w:after="0" w:line="8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Under the Best Pharmaceuticals for Children Act, or the BPCA, the FDA can grant pediatric exclusivity to a sponsor that conducts pediatric studies requested by the FDA in a document called a Written Request. We may seek pediatric exclusivity for one or more of our product candidates under the BPCA, although we may not be granted such exclusivity. Pediatric exclusivity, if granted, adds six months to the end of certain unexpired statutory exclusivity periods and may also extend unexpired patent terms, depending on whether the application is an NDA or BLA. Whether this six-month extension is granted depends on the voluntary completion of pediatric studies in accordance with and in response to a Written Request for such studies, the submission of the study reports to the FDA within the timeframe required by the BPCA and the FDA’s acceptance of the study reports. The FDA has indicated a strong preference to issue Written Requests only for studies that are in addition to and/or different from pediatric studies required under PREA (if applicable).</w:t>
      </w:r>
    </w:p>
    <w:p>
      <w:pPr>
        <w:spacing w:after="0" w:line="8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general, pediatric drug development is an area that recently has been, and may continue to be, subject to evolving statutory requirements and regulatory standards, so some uncertainty exists with respect to expectations for pediatric drug development generally.</w:t>
      </w:r>
    </w:p>
    <w:p>
      <w:pPr>
        <w:spacing w:after="0" w:line="266"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a rare pediatric disease designation for one or more of our product candidates under the FDA’s Rare Pediatric Disease Priority Review Voucher Program. Even if we were to obtain marketing authorization for a product with a rare pediatric disease designation, the Rare Pediatric Disease Priority Review Voucher Program may no longer be in effect at the time of such approval or we might not be able to capture the value of the Rare Pediatric Disease Priority Review Voucher Program.</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OJEMDA was granted rare pediatric designation by the FDA in May 2021 for the treatment of LGGs harboring an activating RAF alteration that disproportionately affects children. We submitted the OJEMDA NDAs as a rare pediatric designation marketing application, and the FDA conditionally designated the marketing application as a “rare pediatric disease product application” pending the final determination at the time of approval or licensure on whether the application meets all of the eligibility criteria set forth in section 529(a)(4) of the FD&amp;C Act. On April 23, 2024, the FDA approved the NDAs for the treatment of patients 6 months of age and older with relapsed or refractory pLGG harboring a BRAF fusion or rearrangement, or BRAF V600 mutation, and in connection with the accelerated approval, Day One received a Priority Review Rare Pediatric Disease Voucher.</w:t>
      </w:r>
    </w:p>
    <w:p>
      <w:pPr>
        <w:spacing w:after="0" w:line="7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Congress authorized the FDA to award priority review vouchers to sponsors of certain rare pediatric disease product applications that meet the specified criteria. These vouchers are designed to encourage development of new drug and biological products for prevention and treatment of certain rare pediatric diseases.</w:t>
      </w:r>
    </w:p>
    <w:p>
      <w:pPr>
        <w:spacing w:after="0" w:line="68"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Although the voucher can be sold or transferred to third parties, there is no guarantee that we will be able to receive such voucher or realize any value if we receive and were to sell the voucher.</w:t>
      </w:r>
    </w:p>
    <w:p>
      <w:pPr>
        <w:spacing w:after="0" w:line="60"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For the purposes of this program, a rare pediatric disease is a (i) serious or life-threatening disease in which the serious or life-threatening manifestations primarily affect individuals aged from birth to 18 years, including age groups often called neonates, infants, children, and adolescents; and (ii) rare disease or condition within the meaning of the Orphan Drug Act. The FDA may determine that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an application for one or more of our product candidates does not meet the eligibility criteria for a priority review voucher upon approval.</w:t>
      </w:r>
    </w:p>
    <w:p>
      <w:pPr>
        <w:spacing w:after="0" w:line="11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Moreover, under the current statutory sunset provisions, the FDA generally may not award rare pediatric disease priority review vouchers after September 30, 2024. However, if the sponsor has received rare pediatric disease designation for a drug no later than September 30, 2024, the FDA may award a rare pediatric disease priority review voucher if the drug is approved by September 30, 2026.</w:t>
      </w:r>
    </w:p>
    <w:p>
      <w:pPr>
        <w:spacing w:after="0" w:line="28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a business partner are unable to successfully develop, validate, obtain marketing authorization for and commercialize any companion diagnostic tests that are deemed necessary for the use of any of our product candidates, or experience significant delays in doing so, we may not be able to obtain marketing authorization for, or realize the full commercial potential of, one or more of our product candidates.</w:t>
      </w:r>
    </w:p>
    <w:p>
      <w:pPr>
        <w:spacing w:after="0" w:line="6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Diagnostic tests can be useful in identifying patients who are most likely to benefit from a particular therapeutic drug product, among other potential uses. If a regulatory authority determines that an in vitro diagnostic test is necessary for the safe and effective use of a corresponding therapeutic product, that test is referred to as a “companion diagnostic.” Diagnostics that are not essential for the safe and effective use of a therapeutic product but that may aid in the benefit-risk decision-making about the use of the therapeutic product (such as to identify a subset of the indicated patient population for the therapeutic product that may respond particularly well) are typically referred to as “complementary diagnostics.” In the future, we may evaluate opportunities to develop, either by ourselves or with collaborators, companion or complementary diagnostic tests for our product candidates for certain indications.</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a companion diagnostic is needed for a therapeutic product, the companion diagnostic is generally developed in conjunction with the clinical program for an associated therapeutic product. To date, the FDA has required premarket approval of the vast majority of companion diagnostics for cancer therapies. Generally, when a companion diagnostic is essential to the safe and effective use of a drug product, the FDA generally requires that the companion diagnostic be approved before or concurrent with approval of the therapeutic product and before such product can be commercialized (except in limited circumstances). Where a companion diagnostic must be used to identify patients who are likely to benefit from the therapeutic product, the therapeutic product’s labeling typically limits the use of the therapeutic product to only those patients who express the specific genetic alteration or other biomarker that the companion diagnostic was developed to detect. By contrast, complementary diagnostics are not typically referenced in the indications for the therapeutic product (i.e., the therapeutic product is not limited to use in biomarker positive patients) but the complementary diagnostic may be described in other areas of the therapeutic product labeling, such as when describing clinical study results for biomarker positive and negative patient subpopulations. While a complementary diagnostic is also typically developed in conjunction with the clinical program for an associated therapeutic product, the FDA may not require that the complementary diagnostic be approved before or concurrent with approval of the therapeutic product.</w:t>
      </w:r>
    </w:p>
    <w:p>
      <w:pPr>
        <w:spacing w:after="0" w:line="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Development of a companion or complementary diagnostic could include additional meetings with regulatory authorities, such as a pre-submission meeting and the requirement to comply with the FDA’s investigational device exemption regulations for clinical studies involving the diagnostic. In the case of an investigational diagnostic that is designated as “significant risk device,” approval of an investigational device exemption application by an IRB and the FDA is required before such diagnostic may be used in conjunction with the clinical trials for a corresponding product candidate.</w:t>
      </w:r>
    </w:p>
    <w:p>
      <w:pPr>
        <w:spacing w:after="0" w:line="72"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To be successful in developing, validating, obtaining approval of and commercializing a companion or complementary diagnostic, we or our collaborators will need to address a number of scientific, technical, regulatory and logistical challenges. We have no prior experience with medical device or diagnostic test development. If we choose to develop and seek FDA approval for companion diagnostic tests on our own, we will require additional personnel. We may rely on third parties for the design, development, testing, validation and manufacture of companion diagnostic tests for our therapeutic product candidates that require companion diagnostic tests or would benefit from complementary diagnostics, the application for and receipt of any required marketing authorizations and the commercial supply of these diagnostics. If these parties are unable to successfully develop companion diagnostics for these therapeutic product candidates, or experience delays in doing so, we may be unable to enroll enough patients for our current and planned clinical trials, the development of these therapeutic product candidates may be adversely affected, these therapeutic product candidates may not obtain marketing authorization and we may not realize the full commercial potential of any of these therapeutics that obtain marketing authorization. For any product candidate for which a companion diagnostic is necessary to select patients who may benefit from use of the product candidate, any failure to successfully develop a companion diagnostic may cause or contribute to delayed enrollment of our clinical trials, and may prevent us from initiating a pivotal trial. In addition, the commercial success of any of our product candidates that require a companion diagnostic will be tied to and dependent upon the receipt of required marketing authorizations and the continued ability of such third parties to make the companion diagnostic commercially available to us on reasonable terms in the relevant geographies. There is no guarantee that physicians will adopt any particular companion diagnostic, be willing to understand how to use it, how to obtain reimbursement for it or how to explain it to patients or dedicate staff to using it. Any failure to do so could materially harm our business, results of operations and financial condition.</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1" w:name="page52"/>
    <w:bookmarkEnd w:id="51"/>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For each product and product candidate for which marketing authorization is granted, including OJEMDA, the terms of approvals, ongoing regulation of our products or other post-approval restrictions may limit how we manufacture and market our products and compliance with such requirements may involve substantial resources, which could materially impair our ability to generate revenue.</w:t>
      </w:r>
    </w:p>
    <w:p>
      <w:pPr>
        <w:spacing w:after="0" w:line="67"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For each product and product candidate for which marketing authorization is granted, including OJEMDA, an approved product and the marketing authorization holder are subject to ongoing regulation by the FDA and other regulators. Regulators may impose post-marketing requirements and elicit post-marketing commitments, which may be onerous and subject us to ongoing review and extensive regulation. For example, the FDA may request or require post-marketing clinical studies, enhanced pharmacovigilance programs, additional reporting requirements and other obligations at the time of approval or after approval. The FDA also may impose a REMS under Section 505-1 of the FD&amp;C Act in order to ensure that the benefits of our product candidates outweigh their risks. Additionally, either at the time or approval or after approval, the FDA could invoke its authority under Section 505(o) of the FD&amp;C Act and require costly post-marketing safety studies, including clinical trials, and/or epidemiologic surveillance to monitor the safety of our approved products in order to assess a known risk related to the product, assess signals of serious risks related to the product or identify an unexpected serious risk when available data indicates the potential for a serious risk.</w:t>
      </w:r>
    </w:p>
    <w:p>
      <w:pPr>
        <w:spacing w:after="0" w:line="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any product candidates for which we receive accelerated approval from the FDA are required to undergo one or more clinical trials to confirm the clinical benefit of the product. If confirmatory studies fail to meet their efficacy endpoints, the FDA may withdraw approval of the product pursuant to expedited withdrawal authorities. There is no assurance that any such product will successfully advance through its confirmatory clinical trial(s). Therefore, even if a product candidate receives accelerated approval from the FDA, such approval may be withdrawn at a later date.</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must also comply with requirements concerning advertising and promotion for any of our product candidates for which we obtain marketing authorization. Further, there are additional requirements regarding promotional communications if our products are approved through the accelerated approval pathway.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ensure that quality control and manufacturing procedures conform to current good manufacturing practices, or cGMPs, which include requirements relating to quality control and quality assurance as well as the corresponding maintenance of records and documentation and reporting requirements. We and our CMOs could be subject to periodic unannounced inspections by the FDA to monitor and ensure compliance with cGMPs, including pre-approval inspections of any manufacturing facilities proposed to commercially manufacture our product candidates, the success of which would be required prior to a commercial product launch. Accordingly, assuming we obtain marketing authorization for one or more of our product candidates, we and our CMOs will continue to expend time, money and effort in all areas of regulatory compliance, including manufacturing, production, product surveillance and quality control.</w:t>
      </w:r>
    </w:p>
    <w:p>
      <w:pPr>
        <w:spacing w:after="0" w:line="81"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If we are not able to comply with all of our post-approval regulatory requirements, we could have the marketing authorizations for our products withdrawn by regulatory authorities and our ability to market any future products could be limited, which could adversely affect our ability to achieve or sustain profitability. In addition, the cost of compliance with post-approval regulations may have a negative effect on our operating results and financial condition.</w:t>
      </w:r>
    </w:p>
    <w:p>
      <w:pPr>
        <w:spacing w:after="0" w:line="26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for which we obtain marketing authorization, including OJEMDA, will be subject to ongoing enforcement of post-marketing requirements by regulatory agencies, and we could be subject to substantial penalties, including withdrawal of our product from the market, if we fail to comply with all regulatory requirements or if we experience unanticipated problems with our products, when and if any of them are approved.</w:t>
      </w:r>
    </w:p>
    <w:p>
      <w:pPr>
        <w:spacing w:after="0" w:line="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Any product for which we obtain marketing authorization, such as OJEMDA, along with the manufacturing processes, post-approval clinical data, labeling, advertising and promotional activities for such product, will be subject to continual requirements of and review by the FDA and other regulatory authorities. These requirements include, but are not limited to, restrictions governing promotion of an approved product, submissions of safety and other post-marketing information and reports, registration and listing requirements, cGMP requirements relating to manufacturing, quality control, quality assurance and corresponding maintenance of records and documents and requirements regarding drug distribution and the distribution of samples to physicians and recordkeeping.</w:t>
      </w:r>
    </w:p>
    <w:p>
      <w:pPr>
        <w:spacing w:after="0" w:line="7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FDA and other federal and state agencies, including the Department of Justice, closely regulate compliance with all requirements governing prescription drug products, including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the promotion of off-label uses, and a company that is found to have improperly promoted off-label uses may be subject to significant liability. Violations of such requirements may lead to investigations alleging violations of the FD&amp;C Act and other statutes, including the False Claims Act and other federal and state healthcare fraud and abuse laws as well as state consumer protection laws. Our failure to comply with all regulatory requirements, and later discovery of previously unknown adverse events or other problems with our products, manufacturers or manufacturing processes, may yield various results, including:</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2" w:name="page53"/>
    <w:bookmarkEnd w:id="52"/>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taking our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recall of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authorizations;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media coverage and damage to our reputation;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Non-compliance by us or any future collaborator with regulatory requirements, including safety monitoring or pharmacovigilance, and with requirements related to the development of products for the pediatric population can also result in significant financial penalties. Further, if any of these actions were to occur, we may have to discontinue the commercialization of our product, OJEMDA, and product candidates, limit our sales and marketing efforts, conduct further post-approval studies and/or discontinue or change any other ongoing clinical studies, which in turn could result in significant expense and delay and/or limit our ability to generate sales revenues.</w:t>
      </w:r>
    </w:p>
    <w:p>
      <w:pPr>
        <w:spacing w:after="0" w:line="287"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marketing authorization in foreign jurisdictions would prevent OJEMDA and our product candidates from being marketed in those jurisdictions, and any approval we are granted for our product candidates in the United States would not assure approval of product candidates in foreign jurisdictions.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order to market and sell our products in any jurisdiction outside the United States, we must obtain separate marketing authorizations and comply with numerous and varying regulatory requirements. The approval procedure varies among countries and can involve additional testing. The time required to obtain approval may differ substantially from that required to obtain FDA approval. Further, FDA approval of OJEMDA does not guarantee approval in jurisdictions outside of the United States. The marketing authorization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authorizations and may not receive necessary approvals to commercialize our products in any market.</w:t>
      </w:r>
    </w:p>
    <w:p>
      <w:pPr>
        <w:spacing w:after="0" w:line="29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relationships with customers and third-party payors may be subject to applicable anti-kickback, fraud and abuse, transparency, health privacy and other healthcare laws and regulations, which could expose us to significant penalties, including criminal, civil and administrative penalties, contractual damages, reputational harm and diminished profits and future earnings.</w:t>
      </w:r>
    </w:p>
    <w:p>
      <w:pPr>
        <w:spacing w:after="0" w:line="6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will play a primary role in the recommendation and prescription of any product candidates for which we obtain marketing authorization.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as well as market, sell and distribute, any products for which we obtain marketing authorization. Restrictions under applicable federal and state healthcare laws and regulations that may be applicable to our business include the following:</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3" w:name="page54"/>
    <w:bookmarkEnd w:id="53"/>
    <w:p>
      <w:pPr>
        <w:ind w:left="520" w:right="100" w:hanging="512"/>
        <w:spacing w:after="0" w:line="261"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1" w:lineRule="exact"/>
        <w:rPr>
          <w:rFonts w:ascii="Times New Roman" w:cs="Times New Roman" w:eastAsia="Times New Roman" w:hAnsi="Times New Roman"/>
          <w:sz w:val="18"/>
          <w:szCs w:val="18"/>
          <w:color w:val="auto"/>
        </w:rPr>
      </w:pPr>
    </w:p>
    <w:p>
      <w:pPr>
        <w:ind w:left="520" w:right="100" w:hanging="512"/>
        <w:spacing w:after="0" w:line="258"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laws, including the False Claims Act, which can be enforced by civil whistleblower or qui tam actions on behalf of the government, and criminal false claims laws and the civil monetary penalties law, prohibit individuals or entities from,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w:t>
      </w:r>
    </w:p>
    <w:p>
      <w:pPr>
        <w:spacing w:after="0" w:line="75" w:lineRule="exact"/>
        <w:rPr>
          <w:rFonts w:ascii="Times New Roman" w:cs="Times New Roman" w:eastAsia="Times New Roman" w:hAnsi="Times New Roman"/>
          <w:sz w:val="18"/>
          <w:szCs w:val="18"/>
          <w:color w:val="auto"/>
        </w:rPr>
      </w:pPr>
    </w:p>
    <w:p>
      <w:pPr>
        <w:ind w:left="520" w:right="400" w:hanging="512"/>
        <w:spacing w:after="0" w:line="261"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prohibits, among other things, knowingly and willfully executing, or attempting to execute, a scheme to defraud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71" w:lineRule="exact"/>
        <w:rPr>
          <w:rFonts w:ascii="Times New Roman" w:cs="Times New Roman" w:eastAsia="Times New Roman" w:hAnsi="Times New Roman"/>
          <w:sz w:val="18"/>
          <w:szCs w:val="18"/>
          <w:color w:val="auto"/>
        </w:rPr>
      </w:pPr>
    </w:p>
    <w:p>
      <w:pPr>
        <w:ind w:left="520" w:right="40" w:hanging="512"/>
        <w:spacing w:after="0" w:line="261"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and their implementing regulations, imposes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such individually identifiable health information;</w:t>
      </w:r>
    </w:p>
    <w:p>
      <w:pPr>
        <w:spacing w:after="0" w:line="71" w:lineRule="exact"/>
        <w:rPr>
          <w:rFonts w:ascii="Times New Roman" w:cs="Times New Roman" w:eastAsia="Times New Roman" w:hAnsi="Times New Roman"/>
          <w:sz w:val="18"/>
          <w:szCs w:val="18"/>
          <w:color w:val="auto"/>
        </w:rPr>
      </w:pPr>
    </w:p>
    <w:p>
      <w:pPr>
        <w:ind w:left="520" w:right="80" w:hanging="512"/>
        <w:spacing w:after="0" w:line="254"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Patient Protection and Affordable Care Act, as amended by the Health Care and Education Reconciliation Act of 2010, collectively referred to as the ACA, require certain manufacturers of drugs, devices, biologics and medical supplies to annually report to the Centers for Medicare &amp; Medicaid Services, or CMS, information related to payments and other transfers of value provided to teaching hospitals, as well as ownership and investment interests held by physicians, defined to include doctors, dentists, optometrists, podiatrists and chiropractors, as well as ownership and investment interests held by physicians and their immediate family members. Since January 1, 2021, manufacturers are required to collect information regarding payments and transfers of value to physician assistants, nurse practitioners, clinical nurse specialists, anesthesiologist assistants, certified nurse anesthetists and certified nurse-midwives for reporting in the following year. The reported information is made available on a public website; and</w:t>
      </w:r>
    </w:p>
    <w:p>
      <w:pPr>
        <w:spacing w:after="0" w:line="83" w:lineRule="exact"/>
        <w:rPr>
          <w:rFonts w:ascii="Times New Roman" w:cs="Times New Roman" w:eastAsia="Times New Roman" w:hAnsi="Times New Roman"/>
          <w:sz w:val="18"/>
          <w:szCs w:val="18"/>
          <w:color w:val="auto"/>
        </w:rPr>
      </w:pPr>
    </w:p>
    <w:p>
      <w:pPr>
        <w:ind w:left="520" w:hanging="512"/>
        <w:spacing w:after="0" w:line="254"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and analogous non-U.S. fraud and abuse laws and regulations, may apply to sales or marketing arrangements and claims involving healthcare items or services reimbursed by state payors and non-governmental third-party payors, including private insurers. Some state laws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including price increases. Certain state and local laws require the registration of pharmaceutical sales representatives. Certain state and non-U.S. laws, many of which differ from each other in significant ways and often are not preempted by HIPAA, also govern the privacy and security of health information in some circumstances, thus complicating compliance efforts.</w:t>
      </w:r>
    </w:p>
    <w:p>
      <w:pPr>
        <w:spacing w:after="0" w:line="8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Efforts to ensure that our internal business processes and business arrangements with third parties will comply with applicable healthcare laws and regulations will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 If any of the physicians or other healthcare providers or entities with whom we expect to do business is found to be not in compliance with applicable laws, they may be subject to significant criminal, civil and administrative sanctions, including exclusions from government funded healthcare programs, which could have a material adverse effect on our business, results of operations, financial condition and prospects.</w:t>
      </w:r>
    </w:p>
    <w:p>
      <w:pPr>
        <w:spacing w:after="0" w:line="29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recently enacted and future legislation may increase the difficulty and cost for us to obtain marketing authorization of and commercialize our product candidates and decrease the prices we may obtain.</w:t>
      </w:r>
    </w:p>
    <w:p>
      <w:pPr>
        <w:spacing w:after="0" w:line="51"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authorization of our product candidates, restrict or regulate post-approval activities and affect our ability to profitably sell any products for which we obtain marketing authorization.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4" w:name="page55"/>
    <w:bookmarkEnd w:id="54"/>
    <w:p>
      <w:pPr>
        <w:spacing w:after="0" w:line="266" w:lineRule="auto"/>
        <w:rPr>
          <w:sz w:val="20"/>
          <w:szCs w:val="20"/>
          <w:color w:val="auto"/>
        </w:rPr>
      </w:pPr>
      <w:r>
        <w:rPr>
          <w:rFonts w:ascii="Times New Roman" w:cs="Times New Roman" w:eastAsia="Times New Roman" w:hAnsi="Times New Roman"/>
          <w:sz w:val="18"/>
          <w:szCs w:val="18"/>
          <w:color w:val="auto"/>
        </w:rPr>
        <w:t>For example, in March 2010, the ACA was signed into law.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the provisions of the ACA of importance to our potential product candidates are the following:</w:t>
      </w:r>
    </w:p>
    <w:p>
      <w:pPr>
        <w:spacing w:after="0" w:line="117" w:lineRule="exact"/>
        <w:rPr>
          <w:sz w:val="20"/>
          <w:szCs w:val="20"/>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fees and taxes on manufacturers of certain branded prescription drugs;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products;</w:t>
      </w:r>
    </w:p>
    <w:p>
      <w:pPr>
        <w:spacing w:after="0" w:line="117" w:lineRule="exact"/>
        <w:rPr>
          <w:rFonts w:ascii="Times New Roman" w:cs="Times New Roman" w:eastAsia="Times New Roman" w:hAnsi="Times New Roman"/>
          <w:sz w:val="18"/>
          <w:szCs w:val="18"/>
          <w:color w:val="auto"/>
        </w:rPr>
      </w:pPr>
    </w:p>
    <w:p>
      <w:pPr>
        <w:ind w:left="520" w:right="140" w:hanging="512"/>
        <w:spacing w:after="0" w:line="266"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67"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methodology by which rebates owed by manufacturers under the Medicaid Drug Rebate Program are calculated for drugs that are inhaled, infused, instilled, implanted or injected;</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and extended the rebate program to individuals enrolled in Medicaid managed care organizations;</w:t>
      </w:r>
    </w:p>
    <w:p>
      <w:pPr>
        <w:spacing w:after="0" w:line="53"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healthcare fraud and abuse laws, including the False Claims Act and the federal Anti-Kickback Statute, new government investigative powers and enhanced penalties for noncompliance;</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report financial arrangements with physicians, as defined by such law, and teaching hospitals;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annually report drug samples that manufacturers and distributors provide to physicians; and</w:t>
      </w:r>
    </w:p>
    <w:p>
      <w:pPr>
        <w:spacing w:after="0" w:line="117"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Patient-Centered Outcomes Research Institute to oversee, identify priorities in and conduct comparative clinical effectiveness research, along with funding for such research.</w:t>
      </w:r>
    </w:p>
    <w:p>
      <w:pPr>
        <w:spacing w:after="0" w:line="5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There have been executive, judicial and Congressional challenges to repeal or replace certain aspects of the ACA, including measures taken during the Trump administration. The Trump administration released executive orders and other directives designed to delay the implementation of certain provisions of the ACA or otherwise circumvent some of the requirements for health insurance mandated by the ACA. Concurrently, Congress considered legislation that would repeal or repeal and replace all or part of the ACA. While Congress has not passed comprehensive repeal legislation, it has enacted laws that modify certain provisions of the ACA such as removing penalties, since January 1, 2019, for not complying with the ACA’s individual mandate to carry health insurance, eliminating the implementation of certain ACA-mandated fees and increasing the point-of-sale discount that is owed by pharmaceutical manufacturers who participate in Medicare Part D. In November 2020, the U.S. Supreme Court held oral arguments on the U.S. Court of Appeals for the Fifth Circuit’s decision that held that the individual mandate is unconstitutional. On February 10, 2021, the Biden administration withdrew the federal government’s support for overturning the ACA. In June 2021, the U.S. Supreme Court remanded the case with instructions to dismiss for lack of standing. However, the U.S. Supreme Court did not decide the ultimate issue of the validity of the individual mandate. Thus, there may be other efforts to challenge the individual mandate or to challenge, repeal or replace the ACA. It is unclear how the U.S. Supreme Court ruling, other such litigation and the healthcare reform measures of the current presidential administration will impact the ACA and our business.</w:t>
      </w:r>
    </w:p>
    <w:p>
      <w:pPr>
        <w:spacing w:after="0" w:line="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created the Joint Select Committee on Deficit Reduction to recommend to Congress proposals for spending reductions. The Joint Select Committee did not achieve a targeted deficit reduction, triggering the legislation’s automatic reduction to several government programs. These changes include aggregate reductions to Medicare payments to providers of up to 2% per fiscal year, which began in 2013, and due to subsequent legislative amendments to the statute, will remain in effect through 2030, with the exception of a temporary suspension from May 1, 2020 through December 31, 2021 due to the COVID-19 pandemic, unless additional Congressional action is taken.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w:t>
      </w:r>
    </w:p>
    <w:p>
      <w:pPr>
        <w:spacing w:after="0" w:line="80"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Further,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5" w:name="page56"/>
    <w:bookmarkEnd w:id="55"/>
    <w:p>
      <w:pPr>
        <w:ind w:right="60"/>
        <w:spacing w:after="0" w:line="251" w:lineRule="auto"/>
        <w:rPr>
          <w:sz w:val="20"/>
          <w:szCs w:val="20"/>
          <w:color w:val="auto"/>
        </w:rPr>
      </w:pPr>
      <w:r>
        <w:rPr>
          <w:rFonts w:ascii="Times New Roman" w:cs="Times New Roman" w:eastAsia="Times New Roman" w:hAnsi="Times New Roman"/>
          <w:sz w:val="18"/>
          <w:szCs w:val="18"/>
          <w:color w:val="auto"/>
        </w:rPr>
        <w:t>manufacturer patient programs and reform government program reimbursement methodologies for drug products. At the federal level, the last presidential administration used several means to propose or implement drug pricing reform, including through federal budget proposals, executive orders and policy initiatives. The current presidential administration is also focused on drug pricing. For example, on September 9, 2021, the Biden administration published a wide-ranging list of policy proposals to lower prescription drug prices, including by allowing Medicare to negotiate prices and disincentivizing price increases, and to support market changes that strengthen supply chains, promote biosimilars and generic drugs and increase price transparency. These initiatives recently culminated in the enactment of the Inflation Reduction Act, or IRA, in August 2022, which will, among other things, allow the U.S. Department of Health and Human Services, or HHS, to negotiate the price of certain drugs and biologics that CMS reimburses under Medicare Part B and Part D. The IRA’s negotiation program will apply to high-expenditure single-source drugs that have been approved for at least 7 years (11 years for biologics), among other negotiation selection criteria. One statutory exemption from the negotiation program is for a drug that has only a single orphan drug designation and is approved only for an indication or indications within the scope of such designation. The negotiated prices, which for the first round of selected drugs announced August 29, 2023 will become effective in 2026, will be capped at a statutorily-determined ceiling price. The IRA also penalizes drug manufacturers that increase prices of Medicare Part B and Part D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IRA provisions will take effect progressively starting in 2023, although the drug negotiation provisions of the IRA are currently the subject of legal challenges. In addition, the Secretary of the HHS recently proposed testing three new models for pricing efficiency, including one that develops payment methods for drugs approved under accelerated approval, in consultation with the FDA, to encourage timely confirmatory trial completion and improve access to post-market safety and efficacy data with the goal of reducing Medicare spending on drugs that have no confirmed clinical benefit. Further, at the state level, individual states have increasingly introduced and passed legislation and implemented regulations designed to control pharmaceutical and biological product pricing, including: restricting price, reimbursement, discounts, product access and marketing; imposing drug price and cost disclosure and transparency requirements; permitting importation from other countries; and encouraging bulk purchasing.</w:t>
      </w:r>
    </w:p>
    <w:p>
      <w:pPr>
        <w:spacing w:after="0" w:line="9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including potentially significant additional changes to current drug pricing and reimbursement structures, will be adopted in the future, particularly if there is a change in presidential administration. Current and future reform measures may result in more rigorous coverage criteria and in additional downward pressure on the prices that we receive for any approved product. The implementation of cost containment measures or other healthcare reforms may prevent us from being able to generate revenue, attain profitability or commercialize OJEMDA and our product candidates.</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authorizations of our product candidates, if any, may be. In addition, increased scrutiny by the U.S. Congress of the FDA’s approval process may significantly delay or prevent marketing authorization, as well as subject us to more stringent product labeling and post-marketing testing and other requirements.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revenues, if any.</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some countries, including Canada and certain member states of the EU, the pricing of prescription pharmaceuticals is subject to governmental control. In these countries, pricing negotiations with governmental authorities can take considerable time after the receipt of marketing authorization for a product. To obtain reimbursement or pricing approval in some countries, we may be required to conduct a clinical trial that compares the cost-effectiveness of our product candidates to other available therapies. If reimbursement of our products is unavailable or limited in scope or amount, or if pricing is set at unsatisfactory levels, our business could be harmed. Political, economic and regulatory developments may further complicate pricing negotiations, and pricing negotiations may continue after reimbursement has been obtained. Reference pricing used by various EU member states, and parallel trade, such as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 Publication of discounts by third-party payors or authorities may lead to further pressure on the prices or reimbursement levels within the country of publication or other countries.</w:t>
      </w:r>
    </w:p>
    <w:p>
      <w:pPr>
        <w:spacing w:after="0" w:line="298"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 candidates and products outside of the United States and require us to develop and implement costly compliance programs.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spacing w:after="0" w:line="255" w:lineRule="auto"/>
        <w:rPr>
          <w:sz w:val="20"/>
          <w:szCs w:val="20"/>
          <w:color w:val="auto"/>
        </w:rPr>
      </w:pPr>
      <w:r>
        <w:rPr>
          <w:rFonts w:ascii="Times New Roman" w:cs="Times New Roman" w:eastAsia="Times New Roman" w:hAnsi="Times New Roman"/>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and their party agents from paying, offering, authorizing payment or offering anything of value, directly or indirectly, to any foreign official, political party or candidate for the purpose of influencing any act or decision of such third party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w:t>
      </w:r>
    </w:p>
    <w:p>
      <w:pPr>
        <w:spacing w:after="0" w:line="6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We are also subject to U.S. laws and regulations governing export controls, as well as economic sanctions and embargoes on certain countries and persons.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w:t>
      </w:r>
    </w:p>
    <w:p>
      <w:pPr>
        <w:spacing w:after="0" w:line="79"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U.S. Securities and Exchange Commission, or the SEC, also may suspend or bar issuers from trading securities on U.S. exchanges for violations of the FCPA’s accounting provisions.</w:t>
      </w:r>
    </w:p>
    <w:p>
      <w:pPr>
        <w:spacing w:after="0" w:line="2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and our third-party contractors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 We could also be held liable for unexpected safety events that could happen in our business offices.</w:t>
      </w:r>
    </w:p>
    <w:p>
      <w:pPr>
        <w:spacing w:after="0" w:line="81" w:lineRule="exact"/>
        <w:rPr>
          <w:sz w:val="20"/>
          <w:szCs w:val="20"/>
          <w:color w:val="auto"/>
        </w:rPr>
      </w:pPr>
    </w:p>
    <w:p>
      <w:pPr>
        <w:jc w:val="both"/>
        <w:ind w:right="500"/>
        <w:spacing w:after="0" w:line="261" w:lineRule="auto"/>
        <w:rPr>
          <w:sz w:val="20"/>
          <w:szCs w:val="20"/>
          <w:color w:val="auto"/>
        </w:rPr>
      </w:pPr>
      <w:r>
        <w:rPr>
          <w:rFonts w:ascii="Times New Roman" w:cs="Times New Roman" w:eastAsia="Times New Roman" w:hAnsi="Times New Roman"/>
          <w:sz w:val="18"/>
          <w:szCs w:val="18"/>
          <w:color w:val="auto"/>
        </w:rPr>
        <w:t>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spacing w:after="0" w:line="6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Although we maintain liability insurance to cover us for costs and expenses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spacing w:after="0" w:line="2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51"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U.S. and foreign anti-corruption, anti-money laundering, export control, sanctions and other trade laws and regulations prohibit, among other things, companies and their employees, agents, CROs, CMOs, legal counsel, accountants, consultants, contractors and</w:t>
      </w: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ind w:right="20"/>
        <w:spacing w:after="0" w:line="255" w:lineRule="auto"/>
        <w:rPr>
          <w:sz w:val="20"/>
          <w:szCs w:val="20"/>
          <w:color w:val="auto"/>
        </w:rPr>
      </w:pPr>
      <w:r>
        <w:rPr>
          <w:rFonts w:ascii="Times New Roman" w:cs="Times New Roman" w:eastAsia="Times New Roman" w:hAnsi="Times New Roman"/>
          <w:sz w:val="18"/>
          <w:szCs w:val="18"/>
          <w:color w:val="auto"/>
        </w:rPr>
        <w:t>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authorizations. We can be held liable for the corrupt or other illegal activities of our personnel, agents or partners, even if we do not explicitly authorize or have prior knowledge of such activities.</w:t>
      </w:r>
    </w:p>
    <w:p>
      <w:pPr>
        <w:spacing w:after="0" w:line="8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6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developing our current product candidates, and may continue to develop future product candidates, in combination with other therapies, which would expose us to additional risks.</w:t>
      </w:r>
    </w:p>
    <w:p>
      <w:pPr>
        <w:spacing w:after="0" w:line="5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are developing our current product candidates in combination with one or more currently approved cancer therapies or therapies in development. Even if our current or future product candidates, including pimasertib, receive marketing authorization or be commercialized for use in combination with other existing therapies, we would continue to be subject to the risks that the FDA or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spacing w:after="0" w:line="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may also evaluate our current product candidates in combination with one or more other cancer therapies that have not yet been approved for marketing by the FDA or comparable foreign regulatory authorities. We will not be able to market and sell any product candidate in combination with any such unapproved cancer therapies that do not ultimately obtain marketing authorization.</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the FDA or comparable foreign regulatory authorities do not approve or withdraw their approval of these other therapies, or if safety, efficacy, commercial adoption, manufacturing or supply issues arise with the therapies we choose to evaluate in combination with any of our current or future product candidates, we may be unable to obtain approval of or successfully market any one or all of the current or future product candidates we develop. Additionally, if the third-party providers of therapies or therapies in development used in combination with our current or future product candidates are unable to produce sufficient quantities for clinical trials or for commercialization of our current or future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29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commercialized a product candidate as a company before and currently lack the comprehensive, fully staffed expertise, personnel and resources to successfully commercialize any products on our own or together with suitable collaborators.</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never commercialized a product candidate as a company. We may license certain rights with respect to our product candidates to collaborators and rely on the assistance and guidance of those collaborators. For product candidates for which we retain commercialization rights and marketing authorization, we will have to develop our own sales, marketing, market access, commercial planning and supply organization or outsource these activities to a third-party. We are planning on finding collaborations to secure marketing authorizations and commercialize our products outside of the United States. We cannot assure that any collaboration(s) will result in short-term or long-term benefit to the company.</w:t>
      </w:r>
    </w:p>
    <w:p>
      <w:pPr>
        <w:spacing w:after="0" w:line="75"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Factors that may affect our ability to commercialize our product candidates, if approved, on our own include recruiting and retaining adequate numbers of effective sales, marketing and market access personnel, developing and producing adequate educational and marketing programs to increase public acceptance of our approved product candidates, ensuring regulatory compliance of our company, all communications and materials in the promotional domain,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build our own distribution and marketing capabilities or to find suitable partners for the commercialization of our product candidates, we may not generate revenues from them or be able to reach or sustain profitability.</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and intend to continue to rely, on third parties to conduct our clinical trials and perform some of our research and potential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marketing authorization, each of which may have an adverse effect on our business, financial condition, results of operations and prospects.</w:t>
      </w:r>
    </w:p>
    <w:p>
      <w:pPr>
        <w:spacing w:after="0" w:line="7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do not have the ability to independently conduct all aspects of our clinical trials ourselves. As a result, we are dependent on third parties to conduct our ongoing and planned clinical trials of tovorafenib and pimasertib, and any preclinical studies and clinical trials of any future products and product candidates. The timing of the initiation and completion of these trials will therefore be partially controlled by such third parties and may result in delays to our development programs. Since such third parties partially control the progress of these trials, they may also publish the data related to these trials prior to obtaining or without our approval for doing so. Specifically, we expect CROs, independent clinical investigators and consultants to play a significant role in the conduct of these trials and the subsequent collection and analysis of data. For example, in addition to the Phase 1 clinical trial run by Dana Farber Cancer Institute in collaboration with PNOC, the Children’s Oncology Group, a National Cancer Institute-supported clinical trials group and the world’s largest organization devoted exclusively to childhood and adolescent cancer research, is developing a group-wide clinical trial of tovorafenib in relapsed Langerhans cell histiocytosis. However, these investigators,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investigators, CROs and other third parties does not relieve us of our regulatory responsibilities. We and our CROs are required to comply with GCP requirements, which are regulations and guidelines enforced by the FDA for products and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products and product candidates produced under cGMP regulations. Our failure or the failure of third parties on whom we rely to comply with these regulations may require us to stop and/or repeat clinical trials, which would delay the marketing authorization process.</w:t>
      </w:r>
    </w:p>
    <w:p>
      <w:pPr>
        <w:spacing w:after="0" w:line="8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There is no guarantee that any such CROs, clinical trial investigators or other third parties on which we rely will devote adequate time and resources to our development activities or perform as contractually required. In addition, these third parties may be subject to supply chain or inflationary pressures that limit their ability to achieve anticipated timelines or result a greater cost to us. For example, we are aware of a shortage of non-human primates available for preclinical studies and although that is not expected to impact our current business if we begin new product development programs we could be subject to longer development times or difficulty completing necessary research.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subjects enrolled in such clinical trial unless we are able to transfer those subjects to another qualified clinical trial site, which may be difficult or impossible.</w:t>
      </w:r>
    </w:p>
    <w:p>
      <w:pPr>
        <w:spacing w:after="0" w:line="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addition, with respect to investigator-sponsored trials that may be conducted, we would not control the design or conduct of these trials, and it is possible that the FDA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access to and the ability to use and reference the data, including for our own regulatory submissions,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OJEMDA or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The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marketing authorization for our product candidates and the public perception of our product candidates. Additionally, the FDA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may require us to obtain and submit additional preclinical, manufacturing or clinical data.</w:t>
      </w:r>
    </w:p>
    <w:p>
      <w:pPr>
        <w:spacing w:after="0" w:line="87" w:lineRule="exact"/>
        <w:rPr>
          <w:sz w:val="20"/>
          <w:szCs w:val="20"/>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for whom they may also be conducting clinical trials or other pharmaceutical product development activities that could harm our competitive</w:t>
      </w: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9" w:name="page60"/>
    <w:bookmarkEnd w:id="59"/>
    <w:p>
      <w:pPr>
        <w:ind w:right="40"/>
        <w:spacing w:after="0" w:line="266" w:lineRule="auto"/>
        <w:rPr>
          <w:sz w:val="20"/>
          <w:szCs w:val="20"/>
          <w:color w:val="auto"/>
        </w:rPr>
      </w:pPr>
      <w:r>
        <w:rPr>
          <w:rFonts w:ascii="Times New Roman" w:cs="Times New Roman" w:eastAsia="Times New Roman" w:hAnsi="Times New Roman"/>
          <w:sz w:val="18"/>
          <w:szCs w:val="18"/>
          <w:color w:val="auto"/>
        </w:rPr>
        <w:t>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authorizations for OJEMDA, pimasertib or any future product candidates and will not be able to, or may be delayed in our efforts to, successfully commercialize our products.</w:t>
      </w:r>
    </w:p>
    <w:p>
      <w:pPr>
        <w:spacing w:after="0" w:line="280"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pharmaceutical products, including OJEMDA and our product candidates including pimasertib, is complex. Our third-party manufacturers may encounter difficulties in production, which could delay or entirely halt their ability to supply our product candidates for clinical trials or, if approved, for commercial sale.</w:t>
      </w:r>
    </w:p>
    <w:p>
      <w:pPr>
        <w:spacing w:after="0" w:line="6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do not have any manufacturing facilities, and we currently contract with certain third-party manufacturers in China. We rely, and expect to continue to rely, on third parties for the manufacture of OJEMDA and our product candidates for clinical testing, product development purposes, to support regulatory application submissions, as well as for commercial manufacture of our product candidates. In addition, we expect to contract with analytical laboratories for release and stability testing of OJEMDA and our product candidates. This reliance on third parties increases the risk that we will not have sufficient quantities of OJEMDA or our product candidates or products or such quantities at an acceptable cost or quality, which could delay, prevent or impair our development or commercialization efforts and cause the FDA to withdraw certain designations, including orphan drug designation. For example, we cannot be sure to what extent the supply chain issues caused by geopolitical uncertainty and public health epidemics, may impact our ability to procure sufficient supplies for the development of OJEMDA and our product candidates and what, if any, impact that may have on our facilities and operations in the region, including but not limited to a decrease or disruption of production, increased costs of production or other interruptions in our supply chain. In addition, any disruption in production or inability of our manufacturers, specifically in China, to produce adequate quantities to meet our needs, whether as a result of a natural disaster or other causes, could impair our ability to operate our business on a day-to-day basis and to continue our development of OJEMDA and our product candidates. Furthermore, since these manufacturers are located in China, we are exposed to the possibility of product supply disruption and increased costs in the event of changes in the policies of the United States or Chinese governments, political unrest or unstable economic conditions in China. Legislation has been introduced in Congress to limit certain U.S. biotechnology companies from using equipment or services produced or provided by select Chinese biotechnology companies, including those affiliated with the manufacture of our API, Wuxi STA,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w:t>
      </w:r>
    </w:p>
    <w:p>
      <w:pPr>
        <w:spacing w:after="0" w:line="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Any of these matters could materially adversely affect our business, financial condition and results of operations. In addition, disruptions in logistics routes and transportation capabilities could disrupt our supply chain. And, if we experience unexpected spikes in demand over time, we risk running out of our necessary supplies.</w:t>
      </w:r>
    </w:p>
    <w:p>
      <w:pPr>
        <w:spacing w:after="0" w:line="6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entered into a manufacturing and supply agreement with Quotient for drug manufacturing of OJEMDA and a packaging agreement with Sharp Corporation, or Sharp, for the packaging and serialization of OJEMDA. Supply chain issues, such as those related to certain packaging material, may negatively impact our ability to package and deliver OJEMDA and our product candidates if not managed effectively. Moreover, if any of our existing or future contract manufacturers or suppliers fail to perform satisfactorily, it could delay development or regulatory approval of our drug candidates or commercialization of our drugs, which could negatively impact our results of operations and business.</w:t>
      </w:r>
    </w:p>
    <w:p>
      <w:pPr>
        <w:spacing w:after="0" w:line="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may be unable to enter into additional agreements with third-party manufacturers or suppliers or do so on favorable terms. Our anticipated reliance on a limited number of third party-manufacturers or suppliers exposes us to the following risks:</w:t>
      </w:r>
    </w:p>
    <w:p>
      <w:pPr>
        <w:spacing w:after="0" w:line="54"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product development, analytical testing and data generation to support regulatory applications;</w:t>
      </w:r>
    </w:p>
    <w:p>
      <w:pPr>
        <w:spacing w:after="0" w:line="117"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our third-party manufacturers or suppliers could be disrupted by conditions unrelated to our business or operations, including the bankruptcy of the manufacturer or supplier, the issuance of an FDA Form 483 notice or warning letter or other enforcement action by the FDA or other regulatory authority;</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 disruptions or increased costs that are beyond our control;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deliver our drugs under specified storage conditions and in a timely manner.</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0" w:name="page61"/>
    <w:bookmarkEnd w:id="60"/>
    <w:p>
      <w:pPr>
        <w:ind w:right="20"/>
        <w:spacing w:after="0" w:line="253"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similar regulatory requirements outside of the United States. If the FDA determines that our CMOs are not in compliance with FDA laws and regulations, including those governing cGMPs, the FDA may not approve an NDA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w:t>
      </w:r>
    </w:p>
    <w:p>
      <w:pPr>
        <w:spacing w:after="0" w:line="8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w:t>
      </w:r>
    </w:p>
    <w:p>
      <w:pPr>
        <w:spacing w:after="0" w:line="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OJEMDA and 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6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we prepare for later-stage clinical trials and commercialization of OJEMDA, we will need to take steps to increase the scale of production of OJEMDA and our product candidates. Other than for our product OJEMDA, we have not yet scaled up the manufacturing process for any of our product candidates and may need to scale further to support future supply needs for any of our product candidates. Third-party manufacturers may be unable to successfully increase the manufacturing capacity for any of our product candidates in a timely or cost-effective manner, or at all. In addition, quality issues may arise during scale-up or commercial activities. For example,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authorization. If our current CMOs for clinical testing cannot perform as agreed, we may be required to replace such CMOs. Although we believe that there are several potential alternative manufacturers who could manufacture OJEMDA or our product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or public health epidemics. If our current third-party manufacturers cannot perform as agreed, we may be required to replace such manufacturers and we may be unable to replace them on a timely basis or at all.</w:t>
      </w:r>
    </w:p>
    <w:p>
      <w:pPr>
        <w:spacing w:after="0" w:line="8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OJEMDA or our product candidates may adversely affect our future profit margins and our ability to commercialize any products that obtain marketing authorization on a timely and competitive basis.</w:t>
      </w:r>
    </w:p>
    <w:p>
      <w:pPr>
        <w:spacing w:after="0" w:line="26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for raw materials and any disruptions arising from our sole suppliers could result in delays in our clinical trials or otherwise adversely affect our business and results of operations.</w:t>
      </w:r>
    </w:p>
    <w:p>
      <w:pPr>
        <w:spacing w:after="0" w:line="5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rely on a limited number of suppliers, some of whom are our sole source for certain materials, and some of whom are based in foreign jurisdictions. Our small number of suppliers involves a number of additional risks, including risks related to supplier capacity constraints, component availability, price increases, timely delivery, component quality, failure of a key supplier to remain in business and adjust to market conditions, including inflation and changes in interest rates, potential instability in the global banking system, uncertainty with respect to the federal debt ceiling and budget and potential government shutdowns related thereto, natural disasters, fire, acts of terrorism, pandemics, or other catastrophic events. Further, in the case of materials for which we have a sole supplier, even if we are able to replace any raw materials or other materials with an alternative, such alternatives may cost more, result in lower yields or not be as suitable for our purposes. In addition, some of the materials that we use to manufacture OJEMDA and our product candidates are complex materials, which may be more difficult to substitute. Therefore, any disruptions arising from our sole suppliers could result in delays and additional regulatory submissions, which may adversely affect our business and results of operations.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1" w:name="page62"/>
    <w:bookmarkEnd w:id="61"/>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with third parties for the development and commercialization of OJEMDA and our product candidates. If those collaborations are not successful, we may not be able to capitalize on the market potential of OJEMDA and our product candidates.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may seek third-party collaborators for the development and commercialization of OJEMDA and some of our product candidates on a select basis. We have not entered into any collaborations to date. Our likely collaborators for any future collaboration arrangements include large and mid-size pharmaceutical companies, regional and national pharmaceutical companies and biotechnology companies. We face significant competition in seeking appropriate collaborators. Our ability to reach a definitive agreement for a future collaboration will depend, among other things, upon our assessment of the future collaborator’s resources and expertise, the terms and conditions of the proposed collaboration and the proposed collaborator’s evaluation of a number of factors.</w:t>
      </w:r>
    </w:p>
    <w:p>
      <w:pPr>
        <w:spacing w:after="0" w:line="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we do enter into any such arrangements with any third parties, we will likely have limited control over the amount and timing of resources that our future collaborators dedicate to the development or commercialization of OJEMDA and our product candidates. Our ability to generate revenues from these arrangements will depend on our future collaborators’ abilities and efforts to successfully perform the functions assigned to them in these arrangements. Collaborations with future collaborators involving OJEMDA and our product candidates would pose numerous risks to us, including the following:</w:t>
      </w:r>
    </w:p>
    <w:p>
      <w:pPr>
        <w:spacing w:after="0" w:line="72" w:lineRule="exact"/>
        <w:rPr>
          <w:sz w:val="20"/>
          <w:szCs w:val="20"/>
          <w:color w:val="auto"/>
        </w:rPr>
      </w:pPr>
    </w:p>
    <w:p>
      <w:pPr>
        <w:ind w:left="520" w:right="28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 and may not perform their obligations as expected;</w:t>
      </w:r>
    </w:p>
    <w:p>
      <w:pPr>
        <w:spacing w:after="0" w:line="53" w:lineRule="exact"/>
        <w:rPr>
          <w:rFonts w:ascii="Times New Roman" w:cs="Times New Roman" w:eastAsia="Times New Roman" w:hAnsi="Times New Roman"/>
          <w:sz w:val="18"/>
          <w:szCs w:val="18"/>
          <w:color w:val="auto"/>
        </w:rPr>
      </w:pPr>
    </w:p>
    <w:p>
      <w:pPr>
        <w:ind w:left="520" w:right="40" w:hanging="512"/>
        <w:spacing w:after="0" w:line="261"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de-emphasize or not pursue development and commercialization of OJEMDA and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71"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OJEMDA or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jc w:val="both"/>
        <w:ind w:left="520" w:right="80" w:hanging="512"/>
        <w:spacing w:after="0" w:line="266"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OJEMDA or our product candidates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multiple products may not commit sufficient resources to the marketing and distribution of our product relative to other products;</w:t>
      </w:r>
    </w:p>
    <w:p>
      <w:pPr>
        <w:spacing w:after="0" w:line="53"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reassign manufacturing responsibilities to themselves or a new CMO, which would require that any new manufacturing facility also comply with cGMPs. The FDA or another regulator could decide to conduct an inspection of any new manufacturing facility and a material noncompliance could delay the launch of commercial manufacturing at such facility;</w:t>
      </w:r>
    </w:p>
    <w:p>
      <w:pPr>
        <w:spacing w:after="0" w:line="67" w:lineRule="exact"/>
        <w:rPr>
          <w:rFonts w:ascii="Times New Roman" w:cs="Times New Roman" w:eastAsia="Times New Roman" w:hAnsi="Times New Roman"/>
          <w:sz w:val="18"/>
          <w:szCs w:val="18"/>
          <w:color w:val="auto"/>
        </w:rPr>
      </w:pPr>
    </w:p>
    <w:p>
      <w:pPr>
        <w:ind w:left="520" w:right="360" w:hanging="512"/>
        <w:spacing w:after="0" w:line="266"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67" w:lineRule="exact"/>
        <w:rPr>
          <w:rFonts w:ascii="Times New Roman" w:cs="Times New Roman" w:eastAsia="Times New Roman" w:hAnsi="Times New Roman"/>
          <w:sz w:val="18"/>
          <w:szCs w:val="18"/>
          <w:color w:val="auto"/>
        </w:rPr>
      </w:pPr>
    </w:p>
    <w:p>
      <w:pPr>
        <w:ind w:left="520" w:right="38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OJEMDA or our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products or product candidates;</w:t>
      </w:r>
    </w:p>
    <w:p>
      <w:pPr>
        <w:spacing w:after="0" w:line="53"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OJEMDA or our product candidates in the most efficient manner or at all; and</w:t>
      </w:r>
    </w:p>
    <w:p>
      <w:pPr>
        <w:spacing w:after="0" w:line="53" w:lineRule="exact"/>
        <w:rPr>
          <w:rFonts w:ascii="Times New Roman" w:cs="Times New Roman" w:eastAsia="Times New Roman" w:hAnsi="Times New Roman"/>
          <w:sz w:val="18"/>
          <w:szCs w:val="18"/>
          <w:color w:val="auto"/>
        </w:rPr>
      </w:pPr>
    </w:p>
    <w:p>
      <w:pPr>
        <w:ind w:left="520" w:right="26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future collaborator of ours were to be involved in a business combination, the continued pursuit and emphasis on our product development or commercialization program could be delayed, diminished or terminated.</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we establish one or more collaborations, all of the risks relating to product development, marketing authorization and commercialization described herein would also apply to the activities of any such future collaborators.</w:t>
      </w: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Our Operations</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our executive officers and key employees and to attract, retain and motivate qualified personnel and manage our human capital.</w:t>
      </w:r>
    </w:p>
    <w:p>
      <w:pPr>
        <w:spacing w:after="0" w:line="5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motivate and retain highly qualified managerial, scientific, medical and commercial personnel. We are highly dependent on the development and management expertise of Jeremy Bender, Ph.D., M.B.A., our Chief Executive Officer, and Samuel Blackman, M.D., Ph.D., our Head of Research and Development, as well as the other members of our management team, other key employees and advisors. We currently do not maintain key person insurance on these individuals. Although we have entered into employment agreements with our executive officers, each of them may terminate their employment with us at any time.</w:t>
      </w:r>
    </w:p>
    <w:p>
      <w:pPr>
        <w:spacing w:after="0" w:line="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commercial and management skills and experience.</w:t>
      </w:r>
    </w:p>
    <w:p>
      <w:pPr>
        <w:spacing w:after="0" w:line="6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largely conduct our operations in the greater San Francisco Bay Area, a region that is home to other pharmaceutical companies as well as many academic and research institutions, resulting in fierce competition for qualified personnel. We may not be able to attract or retain qualified personnel in the future due to the intense competition for a limited number of qualified personnel among pharmaceutical companies.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In addition, as our business changes, key personnel may not want to work for a larger, commercial enterprise. Any or all of these competing factors may limit our ability to continue to attract and retain high quality personnel, which could negatively affect our ability to successfully develop and commercialize OJEMDA or our product candidates and to grow our business and operations as currently contemplated. We have adopted a greater level of flexibility in our recruiting practices to attract and hire candidates outside of the San Francisco Bay Area, which is intended to increase retention but could have a negative impact on employee engagement, resulting in greater employee turnover.</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and capabilities of our organization, and we may experience difficulties in managing this growth.</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had 174 full-time employees as of March 31, 2024. We expect significant growth in the number of our employees and the scope of our operations, particularly in the areas of clinical development, clinical operations, manufacturing, regulatory affairs and, if our product candidates receives marketing authorization,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Further, 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OJEMDA, pimasertib or any future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authorization of pimasertib or any future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8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manage growth and expand our organization, we may not be able to successfully implement the tasks necessary to further develop and commercialize OJEMDA, pimasertib, our other pipeline product candidates or any future product candidates and, accordingly, may not achieve our research, development and commercialization goals.</w:t>
      </w:r>
    </w:p>
    <w:p>
      <w:pPr>
        <w:spacing w:after="0" w:line="28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clinical trial investigators, CROs, CMOs, consultants, vendors and any potential commercial partners may engage in misconduct or other improper activities, including non-compliance with regulatory standards and requirements and insider trading.</w:t>
      </w:r>
    </w:p>
    <w:p>
      <w:pPr>
        <w:spacing w:after="0" w:line="5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We are exposed to the risk of fraud or other misconduct by our employees and third parties that we rely on, including, clinical trial investigators, CROs, CMOs, consultants, vendors and any potential commercial partners. Misconduct by these parties could include intentional, reckless and/or negligent conduct or disclosure of unauthorized activities to us that violates: (i) FDA regulations or those of comparable foreign regulatory authorities, including those laws that require the reporting of true, complete and accurate information, (ii) manufacturing (e.g., cGMP) and clinical practice (e.g., GCP) standards,</w:t>
      </w:r>
    </w:p>
    <w:p>
      <w:pPr>
        <w:spacing w:after="0" w:line="3" w:lineRule="exact"/>
        <w:rPr>
          <w:sz w:val="20"/>
          <w:szCs w:val="20"/>
          <w:color w:val="auto"/>
        </w:rPr>
      </w:pPr>
    </w:p>
    <w:p>
      <w:pPr>
        <w:ind w:right="660" w:firstLine="8"/>
        <w:spacing w:after="0" w:line="250" w:lineRule="auto"/>
        <w:tabs>
          <w:tab w:leader="none" w:pos="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health and data privacy, security, fraud and abuse, government price reporting, transparency reporting requirements and other healthcare laws and regulations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3" w:name="page64"/>
    <w:bookmarkEnd w:id="63"/>
    <w:p>
      <w:pPr>
        <w:ind w:right="40"/>
        <w:spacing w:after="0" w:line="261" w:lineRule="auto"/>
        <w:rPr>
          <w:sz w:val="20"/>
          <w:szCs w:val="20"/>
          <w:color w:val="auto"/>
        </w:rPr>
      </w:pPr>
      <w:r>
        <w:rPr>
          <w:rFonts w:ascii="Times New Roman" w:cs="Times New Roman" w:eastAsia="Times New Roman" w:hAnsi="Times New Roman"/>
          <w:sz w:val="18"/>
          <w:szCs w:val="18"/>
          <w:color w:val="auto"/>
        </w:rPr>
        <w:t>in the United States and abroad, (iv) sexual harassment and other workplace misconduct, or (v) laws that require the true, complete and accurate reporting of financial information or data. In particular, research, sales, marketing and business arrangements in our industry are subject to a wide variety of laws and regulations that are intended to prevent fraud, misconduct, kickbacks and other abusive practices. Such misconduct could also involve the improper use of information obtained in the course of clinical trials, which could result in regulatory sanctions and cause serious harm to our reputation.</w:t>
      </w:r>
    </w:p>
    <w:p>
      <w:pPr>
        <w:spacing w:after="0" w:line="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have adopted a code of conduct applicable to all of our employees,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 with respect to third parties, third parties are not our employees, and except for remedies available to us under our agreements, we have limited ability to control resources that any such third party will devote to our preclinical studies or our clinical trials. The third parties we rely on for these services may also have relationships with other entities, some of which may be our competitors, for whom they may also be conducting drug development activities, which could affect their performance on our behalf. Our reliance on third parties for drug development activities means that we will have less direct control over the conduct, timing and completion of studies and the management of data generated from such studies. Nonetheless, we remain responsible for ensuring that our studies and trials are conducted in accordance with applicable protocol, legal and regulatory requirements and scientific standards. In other words, our reliance on third parties does not relieve us of our regulatory responsibilities. For example, we will remain responsible for ensuring that each of our clinical trials is conducted in accordance with the investigational plan and relevant protocols and that any such trial complies with GCP standards. If we or any of our CROs or any clinical trial sites fail to comply with applicable GCP requirements, the clinical data generated in those trials may be deemed unreliable. This may cause the FDA or other comparable foreign regulatory authorities to require us to perform additional clinical trials before approving our marketing applications. If any of the third parties we rely on violates federal or state fraud and abuse or false claims laws and regulations or healthcare privacy and security laws, or other laws, actions may be instituted against us.</w:t>
      </w:r>
    </w:p>
    <w:p>
      <w:pPr>
        <w:spacing w:after="0" w:line="82"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If any actions based on our conduct, our employees’ conduct or third-party conduct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Medicaid and other federal healthcare programs, injunctions, private actions brought by individual whistleblowers in the name of the government, debarment or refusal to allow us to enter into government contracts,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w:t>
      </w:r>
    </w:p>
    <w:p>
      <w:pPr>
        <w:spacing w:after="0" w:line="8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Additionally, there are risks that the third parties we rely on could become disqualified, debarred, suspended or otherwise penalized by the FDA or other comparable foreign regulatory authorities for violations of applicable regulatory requirements, in which case we may need to engage a substitute and may not be able to use some or all of the data produced by such contractors in support of our marketing applications.</w:t>
      </w:r>
    </w:p>
    <w:p>
      <w:pPr>
        <w:spacing w:after="0" w:line="280"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are compromised, or our information technology systems or those of our CROs, CMOs, vendors, contractors, consultants or other third-party partners fail or suffer security breaches, cyber-attacks, loss or leakage of data or other disruptions, this could result in a material disruption of our development programs, compromise sensitive information related to our business or other personal information or prevent us from accessing critical information, potentially exposing us to liability, harm our reputation or otherwise adversely affecting our business.</w:t>
      </w:r>
    </w:p>
    <w:p>
      <w:pPr>
        <w:spacing w:after="0" w:line="7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may collect, process, store and transmit proprietary, confidential and sensitive information (including but not limited to intellectual property, trade secrets, proprietary business information, personal information and protected health information, or PHI). It is critical that we do so in a secure manner to maintain the confidentiality, integrity and availability of such information. We depend on information technology and telecommunications systems for significant elements of our operations and we have installed, and expect to expand, a number of enterprise software systems that affect a broad range of business processes and functional areas, including, for example, systems handling human resources, financial reporting and controls, customer relationship management, regulatory compliance and other infrastructure operations.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This risk extends to the third parties with whom we work, as we rely on a number of third parties to operate our critical business systems and process confidential, proprietary and sensitive information.</w:t>
      </w:r>
    </w:p>
    <w:p>
      <w:pPr>
        <w:spacing w:after="0" w:line="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Despite the implementation of security measures, given the size, complexity and increasing amounts of proprietary, sensitive and confidential information maintained by our internal information technology systems and those of our CROs, CMOs, vendors, contractors, consultants and other third-party partners are potentially vulnerable to breakdown, service interruptions, system malfunction, accidents by our personnel or third-party partners, natural disasters, terrorism, global pandemics, war and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ind w:right="160"/>
        <w:spacing w:after="0" w:line="258" w:lineRule="auto"/>
        <w:rPr>
          <w:sz w:val="20"/>
          <w:szCs w:val="20"/>
          <w:color w:val="auto"/>
        </w:rPr>
      </w:pPr>
      <w:r>
        <w:rPr>
          <w:rFonts w:ascii="Times New Roman" w:cs="Times New Roman" w:eastAsia="Times New Roman" w:hAnsi="Times New Roman"/>
          <w:sz w:val="18"/>
          <w:szCs w:val="18"/>
          <w:color w:val="auto"/>
        </w:rPr>
        <w:t>telecommunication and electrical failures, as well as security breaches from inadvertent or intentional actions by our personnel or those of our CROs, CMOs, vendors, contractors, consultants, business partners and/or other third-party partners, or from cyber-attacks by malicious third parties (including through viruses, worms, malicious code, malware, ransomware, denial-of-service attacks, social engineering and other means to affect service reliability and the confidentiality, integrity and availability of information), which may compromise our system infrastructure, or that of our CROs, CMOs, vendors, contractors, consultants and other third-party partners, or lead to data leakage.</w:t>
      </w:r>
    </w:p>
    <w:p>
      <w:pPr>
        <w:spacing w:after="0" w:line="75"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risk of a security breach or disruption, particularly through cyber-attacks or cyber intrusion, including by computer hackers, viruses, foreign governments and cyber terrorists, has generally increased as the number, intensity and sophistication of attempted attacks and intrusions from around the world have increased. The increase of “work from home” in recent years has generally increased the attack surface available for exploitation, as more companies and individuals work online and work remotely, and as such, the risk of a cybersecurity incident potentially occurring, and our investment in risk mitigations against such an incident, is increasing. For example, there has been an increase in phishing and spam emails as well as social engineering attempts from “hackers” hoping to use the increase of remote work to their advantage.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To the extent that any disruption or security breach were to result in a loss of, or damage to, our data or applications, or those of our CROs, CMOs, vendors, contractors, consultants and other third-party partners, or inappropriate disclosure of confidential, sensitive or proprietary information, we could incur liability and reputational damage and the further development and commercialization of OJEMDA, pimasertib or any future product candidates could be delayed. Any breach, loss or compromise of proprietary, sensitive or confidential information may also subject us to civil fines and penalties, including under HIPAA, and other relevant state and federal privacy laws in the United States. For example, the California Consumer Privacy Act of 2018, or the CCPA, as amended by the California Privacy Rights Act, or the CPRA, imposes a private right of action for security breaches that could lead to some form of remedy including regulatory scrutiny, fines, private right of action settlements, and other consequences.</w:t>
      </w:r>
    </w:p>
    <w:p>
      <w:pPr>
        <w:spacing w:after="0" w:line="87"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The costs related to significant security breaches or disruptions could be material and exceed the limits of the cybersecurity insurance we maintain against such risks. If the information technology systems of our CROs, CMOs, vendors, contractors, consultants and other third-party partners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7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cannot assure you that our data protection efforts and our investment in information technology will prevent significant breakdowns, data leakages, breaches in our systems, or those of our CROs, CMOs, vendors, contractors, consultants and other third-party partners, or other cyber incidents that could have a material adverse effect upon our reputation, business, operations or financial condition. For example, if such an event were to occur and cause interruptions in our operations, or those of our third-party CROs, CMOs, vendors and other contractors and consultants, it could result in a material disruption of our programs and the development of our product candidates could be delayed. In addition, the loss of clinical trial data for OJEMDA, pimasertib or any other product candidates could result in delays in our marketing authorization efforts and significantly increase our costs to recover or reproduce the data. Furthermore, significant disruptions of our internal information technology systems or those of our third-party CROs, CMOs,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personnel,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required to comply with laws, rules and regulations that require us to maintain the security of personal information. We may have contractual and other legal obligations to notify relevant stakeholders of security breaches. Failure to prevent or mitigate cyber-attacks could result in the unauthorized access to sensitive, confidential or proprietary information. Most jurisdictions have enacted laws requiring companies to notify individuals, regulatory authorities and others of security breaches involving certain types of data. In addition, our agreements with CROs, CMOs, vendors, contractors, consultants and other third-party partners may require us to notify them in the event of a security breach. Such mandatory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w:t>
      </w:r>
    </w:p>
    <w:p>
      <w:pPr>
        <w:spacing w:after="0" w:line="8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costs to respond to a security breach and/or to mitigate any security vulnerabilities that may be identified could be significant, our efforts to address these issues may not be successful and these issues could result in interruptions, delays, negative publicity, loss of customer trust or diminished use of our products, as well as other harms to our business and our competitive position. Remediation of any potential security breach may involve significant time, resources and expenses. Any security breach may result in regulatory inquiries, litigation or other investigations, and can affect our financial and operational condition.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5" w:name="page66"/>
    <w:bookmarkEnd w:id="65"/>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Litigation resulting from security breaches may adversely affect our business. Unauthorized access to our systems, networks or physical facilities could result in litigation with our customers or other relevant stakeholders. These proceedings could force us to spend money in defense or settlement, divert management’s time and attention, increase our costs of doing business or adversely affect our reputation.</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may not have adequate insurance coverage for security incidents or breaches, including fines, judgments, settlements, penalties, costs, attorney fees and other impacts that arise out of incidents or breaches. The successful assertion of one or more large claims against us that exceeds available insurance coverage, or results in changes to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grow our customer base and process, store and transmit increasingly large amounts of proprietary and sensitive data.</w:t>
      </w:r>
    </w:p>
    <w:p>
      <w:pPr>
        <w:spacing w:after="0" w:line="29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laws, regulations and standards, and contractual obligations related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p>
    <w:p>
      <w:pPr>
        <w:spacing w:after="0" w:line="6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We and third parties who we work with are or may become subject to numerous domestic and foreign data protection laws and regulations (i.e., laws and regulations that address privacy and data security), the scopes of which are changing, subject to differing applications and interpretations, and may be inconsistent among countries, or conflict with other rules. We are or may become subject to the terms of contractual obligations related to privacy, data protection and data security. The actual or perceived failure by us or related third parties to comply with such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federal health information privacy and security laws, federal and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protected health information from third parties (including research institutions from which we obtain clinical trial data) that are subject to privacy and security requirements under HIPAA, as amended by HITECH. Depending on the facts and circumstances, we could be subject to civil and criminal penalties if we obtain, use or disclose individually identifiable health information maintained by a HIPAA-covered entity in a manner that is not authorized or permitted by HIPAA.</w:t>
      </w:r>
    </w:p>
    <w:p>
      <w:pPr>
        <w:spacing w:after="0" w:line="8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Washington state recently passed the My Health My Data Act, which is focused on the collection of consumer health data. The My Health My Data Act has a broader scope than HIPAA and includes a private right of action. The My Health Data Act became effective on March 31, 2024 and there may be substantial regulatory action and litigation associated with the My Health Data Act.</w:t>
      </w:r>
    </w:p>
    <w:p>
      <w:pPr>
        <w:spacing w:after="0" w:line="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state of California recently enacted the CCPA, which creates new individual privacy rights for California consumers and places increased privacy and data security obligations on entities handling personal information of consumers or households. The CCPA, in effect since January 1, 2020, and most recently amended by the CPRA, is now in effect as of January 1, 2023 and enforced as of July 1, 2023, subject to the regulations promulgated through a newly created enforcement agency called the California Privacy Protection Agency, or the CPPA. The CCPA gives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including by California residents’ employers. The CCPA and CPRA provide for civil penalties and a private right of action for data breaches that is expected to increase data breach litigation. The CCPA and CPRA may increase our compliance costs and potential liability. The CCPA has prompted several proposals for new federal and state-level privacy legislation, such as in Nevada, New Hampshire, Ohio, New York, Washington, Illinois and Nebraska, as well as in Virginia, which passed the Virginia Consumer Data Protection Act, or VCDPA (effective as of January 1, 2023), and Colorado, which enacted the Colorado Privacy Act, or CoPA (effective as of July 1, 2023). The VCDPA, CoPA and other such proposed legislation, if enacted, could increase our potential liability and compliance costs, and adversely affect our business.</w:t>
      </w:r>
    </w:p>
    <w:p>
      <w:pPr>
        <w:spacing w:after="0" w:line="8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Foreign data protection laws, including Regulation 2016/679, known as the General Data Protection Regulation, or GDPR, may apply to personal information (including health-related data) obtained from individuals in the European Economic Area, or the EEA, and Switzerland. The GDPR, and its implementing legislation across the EU, imposes strict obligations on businesses, including requiring changes to informed consent practices and more detailed notices for clinical trial subjects and investigators, requiring limitations on data processing, establishing a legal basis for processing personal information, notification of data processing obligations, notification of security incidents to appropriate data protection authorities or data subjects, protecting the security and confidentiality of the personal information, and establishing means for data subjects to exercise rights in relation to their personal information. The GDPR subjects noncompliant companies to fines of up to the greater of 20 million Euros or 4% of their global annual revenues, potential bans on processing of personal information (including clinical trials), and private litigation. To the extent applicable, the GDPR will</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ind w:right="140"/>
        <w:spacing w:after="0" w:line="254" w:lineRule="auto"/>
        <w:rPr>
          <w:sz w:val="20"/>
          <w:szCs w:val="20"/>
          <w:color w:val="auto"/>
        </w:rPr>
      </w:pPr>
      <w:r>
        <w:rPr>
          <w:rFonts w:ascii="Times New Roman" w:cs="Times New Roman" w:eastAsia="Times New Roman" w:hAnsi="Times New Roman"/>
          <w:sz w:val="18"/>
          <w:szCs w:val="18"/>
          <w:color w:val="auto"/>
        </w:rPr>
        <w:t>increase our responsibility and liability in relation to personal information that we process, and we may be required to put in place additional mechanisms and expend additional time and resources to ensure compliance with the EU data protection rules. Additionally, the UK implemented the Data Protection Act effective in May 2018 and statutorily amended in 2019, that substantially implements the GDPR and contains provisions, including UK-specific derogations, for how GDPR is applied in the UK. Changes in these legislations may add additional complexity, variation in requirements, restrictions and potential legal risk, require additional investment in resources for compliance programs, could impact strategies and availability of previously useful data, and could result in increased compliance costs and/or changes in business practices and policies. In addition, supervisory authorities in the EEA, Switzerland, and the UK have enforced data protection legislation inconsistently, which may result in us having to spend additional resources in order to comply with rules and guidance applicable only in certain, local jurisdictions.</w:t>
      </w:r>
    </w:p>
    <w:p>
      <w:pPr>
        <w:spacing w:after="0" w:line="8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Further, European data protection laws generally prohibit the transfer of personal information to countries outside of the EEA, UK and Switzerland, such as the United States, which are not considered by the European Commission to provide an adequate level of data protection. Switzerland has adopted similar restrictions. Although there are legal mechanisms to allow for the transfer of personal information from the EEA, UK, and Switzerland to the United States and other countries, they are or may become subject to legal challenges that, if successful, could invalidate these mechanisms, restrict our ability to process personal information of Europeans outside of Europe and adversely impact our business. For example, in July 2020, the Court of Justice of the European Union, or CJEU, invalidated the EU-U.S. Privacy Shield, which enabled the transfer of personal information from EU to the U.S. for companies that had self-certified to the Privacy Shield on the grounds that the EU-U.S. Privacy Shield failed to offer adequate protections to EU personal information transferred to the United States. While the CJEU did not invalidate the use of other data transfer mechanisms, such as the Standard Contractual Clauses, the decision has led to uncertainty regarding the use of such mechanisms for data transfers to the United States, and the CJEU made clear that reliance on Standard Contractual Clauses alone may not necessarily be sufficient in all circumstances. The European Data Protection Board, or EDPB, issued additional guidance regarding the CJEU’s decision on November 11, 2020 which imposes higher burdens on the use of data transfer mechanisms, such as the Standard Contractual Clauses, for cross-border data transfers. In June 2021, the European Commission adopted new Standard Contractual Clauses under the GDPR for transfers of personal data outside the EU to countries that the European Commission has not deemed to provide an adequate level of protection for such personal data. Effective July 10, 2023, the new EU-U.S. Data Privacy Framework, or the DPF, has been recognized as adequate under EU law to allow transfers of personal data from the EU to certified companies in the United States. However, the DPF is subject to further legal challenges which could cause the legal requirements for personal data transfers from the EU to the United States to become uncertain once again. While the DPF does not apply to the UK, on October 12, 2023, the UK government adopted an adequacy decision concluding that the United States ensures an adequate level of protection transferred from the UK to the United States under the UK Extension to the EU-U.S. Data Privacy Framework, or the UK DPF. We anticipate a similar adequacy decision from the Swiss government, or Swiss DPF. Both the UK DPF and the Swiss DPF could also be contested or otherwise affected by any challenges to the EU-U.S. DPF. If we cannot implement a valid compliance mechanism for cross-border data transfers, we may face increased exposure to regulatory actions, substantial fines, and injunctions against processing or transferring personal data from Europe or other foreign jurisdictions. In the EU and other markets, potential new rules and restrictions on the flow of data across borders could increase the cost and complexity of doing business in those regions.</w:t>
      </w:r>
    </w:p>
    <w:p>
      <w:pPr>
        <w:spacing w:after="0" w:line="9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In addition, further to the UK’s exit from the EU on January 31, 2020, the GDPR ceased to apply in the UK at the end of the transition period on December 31, 2020. However, as of January 1, 2021, the United Kingdom’s European Union (Withdrawal) Act 2018 incorporated the GDPR (as it existed on December 31, 2020 but subject to certain UK-specific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With respect to transfers of personal data from the EU to the United Kingdom, on June 28, 2021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w:t>
      </w:r>
    </w:p>
    <w:p>
      <w:pPr>
        <w:spacing w:after="0" w:line="6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Other countries, including China, Brazil, Australia and Japan, for example, have adopted certain legal requirements for local storage and processing of data and cross-border transfers of personal information, any and all of which could increase the cost and complexity of conducting preclinical testing and clinical trials or delivering our future products, if any, and operating our business. These obligations may be interpreted and applied in a manner that is inconsistent from one jurisdiction to another and may conflict with other requirements or our practices.</w:t>
      </w:r>
    </w:p>
    <w:p>
      <w:pPr>
        <w:spacing w:after="0" w:line="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Further, on July 26, 2023, the SEC adopted new cybersecurity disclosure rules for public companies that require disclosure regarding cybersecurity risk management (including the board’s role in overseeing cybersecurity risks, management’s role and expertise in assessing and managing cybersecurity risks and processes for assessing, identifying and managing cybersecurity risks) in annual reports on Form 10-K. These new cybersecurity disclosure rules also require the disclosure of material cybersecurity incidents by Form 8-K, within four business days of determining an incident is material.</w:t>
      </w:r>
    </w:p>
    <w:p>
      <w:pPr>
        <w:spacing w:after="0" w:line="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or may become subject to the terms of external and internal privacy and security policies, representations, certifications and publications related to privacy and security.</w:t>
      </w: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ind w:right="40"/>
        <w:spacing w:after="0" w:line="254" w:lineRule="auto"/>
        <w:rPr>
          <w:sz w:val="20"/>
          <w:szCs w:val="20"/>
          <w:color w:val="auto"/>
        </w:rPr>
      </w:pPr>
      <w:r>
        <w:rPr>
          <w:rFonts w:ascii="Times New Roman" w:cs="Times New Roman" w:eastAsia="Times New Roman" w:hAnsi="Times New Roman"/>
          <w:sz w:val="18"/>
          <w:szCs w:val="18"/>
          <w:color w:val="auto"/>
        </w:rPr>
        <w:t>Compliance with domestic and foreign privacy, data security and data protection laws, regulations and contractual and other obligations could require us to take on more onerous obligations in our contracts, restrict our ability to collect, use and disclose data, or in some cases, impact our ability to operate in certain jurisdictions. The actual or perceived failure to comply with domestic and foreign privacy, data privacy and data protection laws and regulations could result in government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privacy, data security and data protection laws or breached our contractual obligations, even if we are not found liable, could be expensive and time consuming to defend and could result in adverse publicity that could harm our business.</w:t>
      </w:r>
    </w:p>
    <w:p>
      <w:pPr>
        <w:spacing w:after="0" w:line="29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current operations are primarily located in the San Francisco Bay Area. Any unplanned event, such as earthquake, flood, fire, explosion, extreme weather conditions, medical epidemic or pandemic, power shortage, telecommunication failure or other natural or man-made accident or incident that results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In addition, the long-term effects of climate change on general economic conditions and the pharmaceutical industry in particular are unclear, and may heighten or intensify existing risk of natural disasters. Loss of access to these facilities may result in increased costs, delays in the development of OJEMDA or our product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8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5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of 2017, or the Tax Cuts and Jobs Act, enacted many significant changes to the U.S. tax laws. Future guidance from the Internal Revenue Service and other tax authorities with respect to the Tax Cuts and Jobs Act may affect us, and certain aspects of the Tax Cuts and Jobs Act could be repealed or modified in future legislation. For example, the CARES Act modified certain provisions of the Tax Cuts and Jobs Act. In addition, it is uncertain if and to what extent various states will conform to the Tax Cuts and Jobs Act, the CARES Act, or any newly enacted federal tax legislation. Changes in corporate tax rates, the realization of net deferred tax assets relating to our operations, the taxation of foreign earnings, and the deductibility of expenses under the Tax Cuts and Jobs Act, the CARES Act or future reform legislation could have a material impact on the value of our deferred tax assets, could result in significant one-time charges, and could increase our future U.S. tax expense.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we may never achieve profitability. Unused losses incurred in taxable years beginning on or prior to December 31, 2017, will carry forward to offset future taxable income, if any, until such unused losses expire. Under the Tax Cuts and Jobs Act, as modified by the CARES Act, unused U.S. federal net operating losses generated in tax years beginning after December 31, 2017, will not expire and may be carried forward indefinitely but the deductibility of such federal net operating losses in taxable years beginning after December 31, 2020, is limited to 80% of current year taxable income. It is uncertain if and to what extent various states will conform to the Tax Cuts and Jobs Act or the CARES Act. In addition, both our current and our future unused losses and other tax attributes may be subject to limitation under Sections 382 and 383 of the Internal Revenue Code of 1986, as amended, or the Code, if we undergo, or have undergone, an “ownership change,” generally defined as a greater than 50 percentage point change (by value) in our equity ownership</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8" w:name="page69"/>
    <w:bookmarkEnd w:id="68"/>
    <w:p>
      <w:pPr>
        <w:spacing w:after="0" w:line="253" w:lineRule="auto"/>
        <w:rPr>
          <w:sz w:val="20"/>
          <w:szCs w:val="20"/>
          <w:color w:val="auto"/>
        </w:rPr>
      </w:pPr>
      <w:r>
        <w:rPr>
          <w:rFonts w:ascii="Times New Roman" w:cs="Times New Roman" w:eastAsia="Times New Roman" w:hAnsi="Times New Roman"/>
          <w:sz w:val="18"/>
          <w:szCs w:val="18"/>
          <w:color w:val="auto"/>
        </w:rPr>
        <w:t>by certain stockholders over a three-year period. We have not completed a Section 382 study to assess whether an ownership change has occurred or whether there have been multiple ownership changes since our formation due to the complexity and cost associated with such a study and the fact that there may be additional ownership changes in the future. As a result, our net operating loss carryforwards generated in taxable years beginning on or before December 31, 2017, may expire prior to being used, and the deductibility of our net operating loss carryforwards generated in taxable years beginning after December 31, 2017 may be limited, and, if we undergo an ownership change (or if we previously underwent such an ownership change), our ability to use all of our pre-change net operating loss carryforwards and other pre-change tax attributes (such as research tax credits) to offset our post-change income or taxes may be limited.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spacing w:after="0" w:line="29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engaged, and will continue to engage, in strategic transactions that could impact our liquidity, increase our expenses and present significant distractions to our management.</w:t>
      </w:r>
    </w:p>
    <w:p>
      <w:pPr>
        <w:spacing w:after="0" w:line="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have engaged in strategic transactions, for instance with affiliates of Takeda Pharmaceutical Company Limited, Viracta Therapeutics, Inc. and Merck KGaA, Darmstadt, Germany, and from time to time, we may consider further strategic transactions, such as acquisitions of companies, businesses or assets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term or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81" w:lineRule="exact"/>
        <w:rPr>
          <w:sz w:val="20"/>
          <w:szCs w:val="20"/>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17" w:lineRule="exact"/>
        <w:rPr>
          <w:rFonts w:ascii="Times New Roman" w:cs="Times New Roman" w:eastAsia="Times New Roman" w:hAnsi="Times New Roman"/>
          <w:sz w:val="18"/>
          <w:szCs w:val="18"/>
          <w:color w:val="auto"/>
        </w:rPr>
      </w:pPr>
    </w:p>
    <w:p>
      <w:pPr>
        <w:ind w:left="520" w:right="540" w:hanging="512"/>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products, product candidates or technologies;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pay for acquisitions;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systems and personnel of any acquired businesses with our operations, systems and personnel;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or other necessary rights for our products and technology, or if the scope of the patent protection obtained is not sufficiently broad or our rights under our patents (owned, co-owned or licensed) is not sufficiently broad, our competitors could develop and commercialize products and technology similar or identical to ours, and our ability to successfully commercialize our products and technology may be adversely affected.</w:t>
      </w:r>
    </w:p>
    <w:p>
      <w:pPr>
        <w:spacing w:after="0" w:line="7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in the United States and other countries for OJEMDA and our current product candidates and future products, as well as our core technologies, including our manufacturing know-how. We strive to protect and enhance the proprietary technology, inventions and improvements that are commercially important to the development of our business by seeking, maintaining and defending our intellectual property, whether developed internally or licensed from third parties. We also rely on trade secrets, know-how, continuing technological innovation and in-licensing opportunities to develop, strengthen and maintain our proprietary position in the field of cancer drug development. Additionally, we intend to rely on regulatory protection afforded through rare drug designations, data exclusivity and market exclusivity as well as patent term extensions, where available.</w:t>
      </w:r>
    </w:p>
    <w:p>
      <w:pPr>
        <w:spacing w:after="0" w:line="8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own or licensed patent applications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9" w:name="page70"/>
    <w:bookmarkEnd w:id="69"/>
    <w:p>
      <w:pPr>
        <w:ind w:right="240"/>
        <w:spacing w:after="0" w:line="255" w:lineRule="auto"/>
        <w:rPr>
          <w:sz w:val="20"/>
          <w:szCs w:val="20"/>
          <w:color w:val="auto"/>
        </w:rPr>
      </w:pPr>
      <w:r>
        <w:rPr>
          <w:rFonts w:ascii="Times New Roman" w:cs="Times New Roman" w:eastAsia="Times New Roman" w:hAnsi="Times New Roman"/>
          <w:sz w:val="18"/>
          <w:szCs w:val="18"/>
          <w:color w:val="auto"/>
        </w:rPr>
        <w:t>will mature into issued patents, and cannot provide any assurances that any such patents, if issued, will include claims with a scope sufficient to protect OJEMDA and our current and future product candidates or otherwise provide any competitive advantage. Additionally, patents can be enforced only in those jurisdictions in which the patent has issued. Furthermore, patents have a limited lifespan. In the United States, the natural expiration of a patent is generally 20 years after its first nonprovisional U.S. filing. The natural expiration of a patent outside of the United States varies in accordance with provisions of applicable local law, but is generally 20 years from the earliest local filing date.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w:t>
      </w:r>
    </w:p>
    <w:p>
      <w:pPr>
        <w:spacing w:after="0" w:line="8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Moreover, our exclusive licenses may be subject to field restrictions and retained rights, which may adversely impact our competitive position. See “Management’s Discussion and Analysis of Financial Condition and Results of Operations—Significant Agreements.” Our licensed patent portfolio may not provide us with adequate and continuing patent protection sufficient to exclude others from commercializing products similar to OJEMDA and our product candidates, including generic versions of such products. In addition, the patent portfolio licensed to us is, or may be, licensed to third parties outside our licensed field, and such third parties may have certain enforcement rights. Thus, patents licensed to us could be put at risk of being invalidated or interpreted narrowly in litigation filed by or against another licensee or in administrative proceedings brought by or against another licensee in response to such litigation or for other reasons.</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Publications of discoveries in the scientific literature often lag behind the actual discoveries, and patent applications in the United States and in other jurisdictions are typically not published until 18 months after filing, or in some cases not at all. Therefore, we cannot know with certainty whether the inventors of our patents and applications were the first to make the inventions claimed in those patents or pending patent applications, or that they were the first to file for patent protection of such inventions. Further, we cannot assure you that all of the potentially relevant prior art relating to our patents and patent applications has been found. If such prior art exists, it can invalidate a patent or prevent a patent from issuing from a pending patent application. As a result, the issuance, scope, validity and commercial value of our patent rights cannot be predicted with any certainty. Further, if the breadth or strength of protection provided by our patents and patent applications is threatened, regardless of the outcome, it could dissuade companies from collaborating with us to license, develop or commercialize OJEMDA or our current or future product candidates.</w:t>
      </w:r>
    </w:p>
    <w:p>
      <w:pPr>
        <w:spacing w:after="0" w:line="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or our licensors may not be able to file and prosecute all necessary or desirable patent applications at a reasonable cost or in a timely manner. In addition, the scope of the claims initially submitted for examination may be significantly narrowed by the time they issue, if at all. It is also possible that we or our licensors will fail to identify patentable aspects of our research and development output before it is too late to obtain patent protection. We cannot provide any assurances that we will be able to pursue or obtain additional patent protection based on our research and development efforts, or that any such patents or other intellectual property we generate will provide any competitive advantage. Moreover, we do not have the right to control the preparation, filing and prosecution of patent applications, or to control the maintenance of the patents, covering technology that we license from third parties. Therefore, these patents and applications may not be filed, prosecuted or maintained in a manner consistent with the best interests of our business.</w:t>
      </w:r>
    </w:p>
    <w:p>
      <w:pPr>
        <w:spacing w:after="0" w:line="8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Even if we acquire patent protection that we expect should enable us to maintain competitive advantage, the issuance of a patent is not conclusive as to its inventorship, scope, validity or enforceability. Third parties, including competitors, may challenge the inventorship, scope, validity or enforceability thereof, which may result in such patents being narrowed, invalidated or held unenforceable. If issued, our patents may be challenged in patent offices in the United States and abroad, or in court. For example, we may be subject to a third-party submission of prior art to the U.S. Patent and Trademark Office, or USPTO, challenging the validity of one or more claims of our patents, once issued. Such submissions may also be made prior to a patent’s issuance, precluding the granting of a patent based on one of our patent applications. We may become involved in opposition,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derivation, interference or similar proceedings in the United States or abroad challenging the claims of our patents, once issued. Furthermore, patents may be challenged in court, once issued. Competitors may claim that they invented the inventions claimed in such patents or patent applications prior to the inventors of our patents, or may have filed patent applications before the inventors of our patents did. A competitor may also claim that we are infringing its patents and that we therefore cannot practice our technology as claimed under our patent applications and patents, if issued. As a result, one or more claims of our patents may be narrowed or invalidated. In litigation, a competitor could claim that our patents, if issued, are not valid for a number of reasons. If a court agrees, we would lose our rights to those challenged patents.</w:t>
      </w:r>
    </w:p>
    <w:p>
      <w:pPr>
        <w:spacing w:after="0" w:line="8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Even if they are unchallenged, our patents and pending patent applications, if issued, may not provide us with any meaningful protection or prevent competitors from designing around our patent claims to circumvent our patents by developing similar or alternative technologies or therapeutics in a non-infringing manner. For example, even if we have a valid and enforceable patent, we may not be able to exclude others from practicing our invention if the other party can show that they used the invention in commerce before our filing date or the other party benefits from a compulsory license. If the patent protection provided by the patents and patent applications we hold or pursue with respect to OJEMDA or our product candidates is not sufficiently broad to impede such competition, our ability to successfully commercialize OJEMDA or our product candidates could be negatively affected, which would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ind w:right="120"/>
        <w:spacing w:after="0" w:line="266" w:lineRule="auto"/>
        <w:rPr>
          <w:sz w:val="20"/>
          <w:szCs w:val="20"/>
          <w:color w:val="auto"/>
        </w:rPr>
      </w:pPr>
      <w:r>
        <w:rPr>
          <w:rFonts w:ascii="Times New Roman" w:cs="Times New Roman" w:eastAsia="Times New Roman" w:hAnsi="Times New Roman"/>
          <w:sz w:val="18"/>
          <w:szCs w:val="18"/>
          <w:color w:val="auto"/>
        </w:rPr>
        <w:t>harm our business. Certain regulatory exclusivities may be available, however, the scope of such regulatory exclusivities is subject to change and may not provide us with adequate and continuing protection sufficient to exclude others from commercializing products similar to OJEMDA and our product candidates.</w:t>
      </w:r>
    </w:p>
    <w:p>
      <w:pPr>
        <w:spacing w:after="0" w:line="28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products or product candidates would be adversely affected.</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spacing w:after="0" w:line="7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patent applications we own or in-license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spacing w:after="0" w:line="8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other similar proceedings challenging our owned patent rights. An adverse determination in any such submission, proceeding or litigation could jeopardize patent term adjustment or otherwise reduce patent term, reduce the scope of or invalidate or render unenforceable, our patent rights, or allow third parties to commercialize our product candidates and compete directly with us, without payment to us. Moreover, our patents or the patents of our licensors may become subject to post-grant challenge proceedings, such as oppositions in a foreign patent office, that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 candidates.</w:t>
      </w:r>
    </w:p>
    <w:p>
      <w:pPr>
        <w:spacing w:after="0" w:line="7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Furthermore, the issuance of a patent does not give us the right to practice the patented invention. Third parties may have blocking patents that could prevent us from marketing our own patented product and practicing our own patented technology.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520" w:right="20" w:hanging="512"/>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products that are similar to OJEMDA and our product candidates but that are not covered by the claims of the patents that we own or license;</w:t>
      </w:r>
    </w:p>
    <w:p>
      <w:pPr>
        <w:spacing w:after="0" w:line="53"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collaborators might not have been the first to make the inventions covered by the issued patents or patent application that we own or license;</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collaborators might not have been the first to file patent applications covering certain of our inventions;</w:t>
      </w:r>
    </w:p>
    <w:p>
      <w:pPr>
        <w:spacing w:after="0" w:line="117" w:lineRule="exact"/>
        <w:rPr>
          <w:rFonts w:ascii="Times New Roman" w:cs="Times New Roman" w:eastAsia="Times New Roman" w:hAnsi="Times New Roman"/>
          <w:sz w:val="18"/>
          <w:szCs w:val="18"/>
          <w:color w:val="auto"/>
        </w:rPr>
      </w:pPr>
    </w:p>
    <w:p>
      <w:pPr>
        <w:ind w:left="520" w:right="580" w:hanging="512"/>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 pending patent applications we own or license will not lead to issued patents;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license may be held invalid or unenforceable,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71" w:name="page72"/>
    <w:bookmarkEnd w:id="71"/>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protect and police our trademarks and trade secrets; and</w:t>
      </w:r>
    </w:p>
    <w:p>
      <w:pPr>
        <w:spacing w:after="0" w:line="11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it could significantly harm our business, results of operations and prospects.</w:t>
      </w:r>
    </w:p>
    <w:p>
      <w:pPr>
        <w:spacing w:after="0" w:line="329"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6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and post grant review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There may also be patent applications that, if issued as patents, could be asserted against us. Patent applications in the United States and elsewhere are typically published approximately 18 months after the earliest filing for which priority is claimed, with such earliest filing date being commonly referred to as the priority date. Certain U.S. patent applications that will not be filed outside the United States can remain confidential until patents issue. Therefore, patent applications covering our product candidates could have been filed by third parties without our knowledge. Additionally, pending patent applications that have been published can, subject to certain limitations, be later amended in a manner that could cover our product candidates and their uses or manufacturing processes.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 candidates. Further, we may incorrectly determine that our product candidates and their uses and manufacturing processes are not covered by a third-party patent or may incorrectly predict whether a third-party’s pending patent application will issue with claims of relevant scope. Our determination of the expiration date of any patent in the United States or abroad that we consider relevant may be incorrect, which may negatively impact our ability to develop and market our product candidates. Third-party intellectual property right holders may also actively bring infringement or other intellectual property-related claims against us, even if we have received patent protection for our product candidates and the relevant uses and processes.</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84"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costly litigation that may cause negative publicity;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the time and attention of our technical personnel and management;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development delays;</w:t>
      </w:r>
    </w:p>
    <w:p>
      <w:pPr>
        <w:spacing w:after="0" w:line="117" w:lineRule="exact"/>
        <w:rPr>
          <w:rFonts w:ascii="Times New Roman" w:cs="Times New Roman" w:eastAsia="Times New Roman" w:hAnsi="Times New Roman"/>
          <w:sz w:val="18"/>
          <w:szCs w:val="18"/>
          <w:color w:val="auto"/>
        </w:rPr>
      </w:pPr>
    </w:p>
    <w:p>
      <w:pPr>
        <w:ind w:left="520" w:right="62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commercializing OJEMDA or any of our product candidates until the asserted patent expires or is held finally invalid or not infringed in a court of law;</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develop non-infringing technology, which may not be possible on a cost-effective basis;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2" w:name="page73"/>
    <w:bookmarkEnd w:id="72"/>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significant liability to third parties; or</w:t>
      </w:r>
    </w:p>
    <w:p>
      <w:pPr>
        <w:spacing w:after="0" w:line="11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Although no third party has asserted a claim of patent infringement against us as of March 31, 2024, others may hold proprietary rights that could prevent OJEMDA or our product candidates from being marketed. It is possible that a third-party may assert a claim of patent infringement directed at OJEMDA or our product candidates. Any patent-related legal action against us claiming damages and seeking to enjoin commercial activities relating to OJEMDA or our product candidates, treatment indications, or processes could subject us to significant liability for damages, including treble damages if we were determined to willfully infringe, and require us to obtain a license to manufacture or market OJEMDA or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current and/or future strategic partners were able to obtain a license, the rights may be nonexclusive, which could result in our competitors gaining access to the same intellectual property. In addition, we cannot be certain that we could redesign OJEMDA,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OJEMDA or our product candidates and technology.</w:t>
      </w:r>
    </w:p>
    <w:p>
      <w:pPr>
        <w:spacing w:after="0" w:line="7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287"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current product candidates and research programs are licensed from third parties. If these license agreements are terminated or interpreted to narrow our rights, our ability to advance OJEMDA and our current product candidates or develop new product candidates based on these technologies will be materially adversely affected.</w:t>
      </w:r>
    </w:p>
    <w:p>
      <w:pPr>
        <w:spacing w:after="0" w:line="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now depend on, at least in part, Viracta Therapeutics, Inc., Takeda Pharmaceutical Company Limited, Dana Farber Cancer Institute, Millennium Pharmaceuticals, Inc. and Merck KGaA, Darmstadt, Germany, and will continue to depend on Viracta Therapeutics, Inc., Takeda Pharmaceutical Company Limited, Dana Farber Cancer Institute, Millennium Pharmaceuticals, Inc. and Merck KGaA, Darmstadt, Germany and on licenses and sublicenses from other third parties, as well as potentially on other strategic relationships with third parties, for the research, development, manufacturing and commercialization of OJEMDA and our current product candidates. If any of our licenses or relationships or any in-licenses on which our licenses are based are terminated or breached, we may:</w:t>
      </w:r>
    </w:p>
    <w:p>
      <w:pPr>
        <w:spacing w:after="0" w:line="79"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our rights to develop and market OJEMDA or our current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patent or trade secret protection for OJEMDA or our current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significant delays in the development or commercialization of OJEMDA or our current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able to obtain any other licenses on acceptable terms, if at all; 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liability for damages.</w:t>
      </w:r>
    </w:p>
    <w:p>
      <w:pPr>
        <w:spacing w:after="0" w:line="1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Additionally, even if not terminated or breached, our intellectual property licenses or sublicenses may be subject to disagreements over contract interpretation which could narrow the scope of our rights to the relevant intellectual property or technology or increase our financial or other obligations.</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If we experience any of the foregoing, it could have a materially adverse effect on our business and could force us to cease operations which could cause you to lose all of your investment.</w:t>
      </w:r>
    </w:p>
    <w:p>
      <w:pPr>
        <w:spacing w:after="0" w:line="266"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breach our license agreements, it could have a material adverse effect on our commercialization efforts for OJEMDA and our product candidates.</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we breach any of the agreements under which we license the use, development and commercialization rights to OJEMDA and our product candidates or technology from third parties, we could lose license rights that are important to our business. Or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3" w:name="page74"/>
    <w:bookmarkEnd w:id="73"/>
    <w:p>
      <w:pPr>
        <w:spacing w:after="0" w:line="261" w:lineRule="auto"/>
        <w:rPr>
          <w:sz w:val="20"/>
          <w:szCs w:val="20"/>
          <w:color w:val="auto"/>
        </w:rPr>
      </w:pPr>
      <w:r>
        <w:rPr>
          <w:rFonts w:ascii="Times New Roman" w:cs="Times New Roman" w:eastAsia="Times New Roman" w:hAnsi="Times New Roman"/>
          <w:sz w:val="18"/>
          <w:szCs w:val="18"/>
          <w:color w:val="auto"/>
        </w:rPr>
        <w:t>OJEMDA and our current lead product candidates are protected by, among other intellectual property rights, patents and patent applications we co-own and exclusively in-license from Viracta Therapeutics, Inc. (f/k/a Sunesis Pharmaceuticals, Inc.). OJEMDA and our current lead product candidates and pipeline and our anticipated near-term pipeline may include technologies, licensed from other third parties, including, for example, Merck KGaA, Darmstadt, Germany.</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license agreements, we are subject to various obligations, including diligence obligations such as development and commercialization obligations, as well as potential royalty payments and other obligations. If we fail to comply with any of these obligations or otherwise breach our license agreements, our licensors may have the right to terminate the applicable license in whole or in part. Generally, the loss of any one of our current licenses, or any other license we may acquire in the future, could harm our business, prospects, financial condition and results of operations.</w:t>
      </w:r>
    </w:p>
    <w:p>
      <w:pPr>
        <w:spacing w:after="0" w:line="7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54" w:lineRule="exact"/>
        <w:rPr>
          <w:sz w:val="20"/>
          <w:szCs w:val="20"/>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intellectual property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OJEMDA and our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1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inventors are able to contest the assignment of their rights to our licensors.</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or at all, we may be unable to successfully develop and successfully commercialize OJEMDA and the affected product candidates. In addition, if disputes arise as to ownership of licensed intellectual property, our ability to pursue or enforce the licensed patent rights may be jeopardized. If we or our licensors fail to adequately protect this intellectual property, our ability to commercialize our products could suffer.</w:t>
      </w:r>
    </w:p>
    <w:p>
      <w:pPr>
        <w:spacing w:after="0" w:line="72"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In addition, the agreements under which we license intellectual property or technology from third parties, including our licenses with Viracta Therapeutics, Inc., Takeda Pharmaceutical Company Limited, Dana Farber Cancer Institute, Millennium Pharmaceuticals, Inc. and Merck KGaA, Darmstadt, Germany,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license prevent or impair our ability to maintain our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6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spite of our best efforts, our licensors might conclude that we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marketing authorization of, and to market, products identical to ours. This could have a material adverse effect on our competitive position, business, financial conditions, results of operations and prospects.</w:t>
      </w:r>
    </w:p>
    <w:p>
      <w:pPr>
        <w:spacing w:after="0" w:line="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84"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In the future, we may need to obtain additional licenses of third-party technology that may not be available to us or are available only on commercially unreasonable terms, and which may cause us to operate our business in a more costly or otherwise adverse manner that was not anticipated.</w:t>
      </w:r>
    </w:p>
    <w:p>
      <w:pPr>
        <w:spacing w:after="0" w:line="2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seek to expand our product candidate pipeline in part by in-licensing the rights to key technologies. The future growth of our business will depend in part on our ability to in-license or otherwise acquire the rights to additional product candidates or</w:t>
      </w: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4" w:name="page75"/>
    <w:bookmarkEnd w:id="74"/>
    <w:p>
      <w:pPr>
        <w:ind w:right="200"/>
        <w:spacing w:after="0" w:line="282" w:lineRule="auto"/>
        <w:rPr>
          <w:sz w:val="20"/>
          <w:szCs w:val="20"/>
          <w:color w:val="auto"/>
        </w:rPr>
      </w:pPr>
      <w:r>
        <w:rPr>
          <w:rFonts w:ascii="Times New Roman" w:cs="Times New Roman" w:eastAsia="Times New Roman" w:hAnsi="Times New Roman"/>
          <w:sz w:val="18"/>
          <w:szCs w:val="18"/>
          <w:color w:val="auto"/>
        </w:rPr>
        <w:t>technologies. We cannot assure you that we will be able to in-license or acquire the rights to any product candidates or technologies from third parties on acceptable terms or at all.</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Other companies and academic institutions may also have filed or are planning to file patent applications potentially relevant to our business. From time to time, in order to avoid infringing these third-party patents, we may be required to license technology from third parties to further develop or commercialize our existing or future product candidates. Should we be required to obtain licenses to any third-party technology, including any such patents required to manufacture, use or sell our existing or future product candidates, such licenses may not be available to us on commercially reasonable terms, or at all. The inability to obtain any third-party license required to develop or commercialize any of our existing or future product candidates could cause us to abandon any related efforts, which could seriously harm our business and operations.</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in-licensing and acquisition of these technologies is a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financial condition and prospects could suffer.</w:t>
      </w:r>
    </w:p>
    <w:p>
      <w:pPr>
        <w:spacing w:after="0" w:line="291"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own patents or our licensors’ patents, which could be expensive, time consuming and unsuccessful. Further, our own issued patents or our licensors’ patents could be found invalid or unenforceable if challenged in court.</w:t>
      </w:r>
    </w:p>
    <w:p>
      <w:pPr>
        <w:spacing w:after="0" w:line="5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collaborators were to initiate legal proceedings against a third-party to enforce a patent directed at OJEMDA or one of our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Third parties may also raise similar invalidity claims before the USPTO or patent offices abroad, even outside the context of litigation. Such mechanisms include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post grant review proceedings, derivation proceedings and equivalent proceedings in foreign jurisdictions (e.g., opposition proceedings). The outcome following legal assertions of invalidity and/or unenforceability is unpredictable. With respect to the validity question, for example, we cannot be certain that there is no invalidating prior art, of which we, our licensors and the patent examiners are unaware during prosecution.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 If a third party were to prevail on a legal assertion of invalidity or unenforceability, we would lose at least part, and perhaps all, of the patent protection on our technology, or any product candidates that we may develop. Such a loss of patent protection would have a material adverse impact on our business, financial condition, results of operations and prospects.</w:t>
      </w:r>
    </w:p>
    <w:p>
      <w:pPr>
        <w:spacing w:after="0" w:line="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 candidates.</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costs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7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5" w:name="page76"/>
    <w:bookmarkEnd w:id="75"/>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may lead to unfavorable publicity that harms our reputation and causes the market price of our common shares to decline.</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existing product candidates, approved products, programs or intellectual property could be diminished. Accordingly, the market price of shares of our common stock may decline. Such announcements could also harm our reputation or the market for our product candidates, which could have a material adverse effect on our business.</w:t>
      </w:r>
    </w:p>
    <w:p>
      <w:pPr>
        <w:spacing w:after="0" w:line="28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from their regular responsibilities. In addition, the uncertainties associated with such proceedings could have a material adverse effect on our ability to raise the funds necessary to continue our clinical trials, continue our development programs, license necessary technology from third parties or enter into development or manufacturing partnerships that would help us bring our product candidates to market.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of the expense and uncertainty of litigation, we may not be in a position to enforce our intellectual property rights against third parties.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product development, in-license needed technology or enter into development partnerships that would help us bring OJEMDA and our product candidates to market.</w:t>
      </w:r>
    </w:p>
    <w:p>
      <w:pPr>
        <w:spacing w:after="0" w:line="29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patent reform legislation could increase the uncertainties and costs surrounding the prosecution of our patent applications and/or those of our licensors and the enforcement or defense of our issued patents and/or those of our licensors.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third-party was first to invent the claimed invention. A third-party that files a patent application in the USPTO after March 2013 but before us could therefore be awarded a patent covering an invention of ours even if we had made the invention before it was made by such third-party.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candidates or (2) invent any of the inventions claimed in the patents or patent applications.</w:t>
      </w:r>
    </w:p>
    <w:p>
      <w:pPr>
        <w:spacing w:after="0" w:line="8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 xml:space="preserve">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An adverse determination in any such submission or proceeding could reduce the scope or enforceability of, or invalidate, our patent rights, which could adversely affect our competitive position.</w:t>
      </w:r>
    </w:p>
    <w:p>
      <w:pPr>
        <w:spacing w:after="0" w:line="7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76" w:name="page77"/>
    <w:bookmarkEnd w:id="76"/>
    <w:p>
      <w:pPr>
        <w:ind w:right="20"/>
        <w:spacing w:after="0" w:line="261" w:lineRule="auto"/>
        <w:rPr>
          <w:sz w:val="20"/>
          <w:szCs w:val="20"/>
          <w:color w:val="auto"/>
        </w:rPr>
      </w:pPr>
      <w:r>
        <w:rPr>
          <w:rFonts w:ascii="Times New Roman" w:cs="Times New Roman" w:eastAsia="Times New Roman" w:hAnsi="Times New Roman"/>
          <w:sz w:val="18"/>
          <w:szCs w:val="18"/>
          <w:color w:val="auto"/>
        </w:rPr>
        <w:t>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and/or those of our licensors and the enforcement or defense of our issued patents or those of our licensors, all of which could have a material adverse effect on our business, financial condition, results of operations and prospects.</w:t>
      </w:r>
    </w:p>
    <w:p>
      <w:pPr>
        <w:spacing w:after="0" w:line="284"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laws in other countries, could diminish the value of patents in general, thereby impairing our ability to protect OJEMDA and our product candidates.</w:t>
      </w:r>
    </w:p>
    <w:p>
      <w:pPr>
        <w:spacing w:after="0" w:line="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is the case with other 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with respect to our patents or third-party patents. In addition, the U.S. Congress or other foreign legislative bodies may pass patent reform legislation that is unfavorable to us.</w:t>
      </w:r>
    </w:p>
    <w:p>
      <w:pPr>
        <w:spacing w:after="0" w:line="8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For example, the U.S. Supreme Court has ruled on several patent cases in recent years, either narrowing the scope of patent protection available in certain circumstances or weakening the rights of patent owners in certain situations. The Federal Circuit recently issued the In Re: Cellect, LLC decision that involves the interaction of patent term adjustment, or PTA, terminal disclaimers, and obviousness-type double patenting. This decision creates uncertainty to the patent terms of certain U.S. patents that share the same priority claim where one expires later than another due to accrued PTA.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Additionally, starting from June 1, 2023, European applications have the option, upon grant of a patent, of becoming a Unitary Patent which will be subject to the jurisdiction of the Unitary Patent Court, or the UPC. This will be a significant change in European patent practice.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may be potentially vulnerable to a single UPC-based revocation challenge that, if successful, could invalidate the patent in all countries who are signatories to the UPC. We cannot predict with certainty the long-term effects of the new unitary patent system.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and/or our licensors may be subject to claims that former employees, collaborators or other third parties have an interest in our patents or other intellectual property as an inventor or co-inventor. In addition, we cannot assure you that all inventors have been or will be identified by us and/or by our collaborators despite diligent effort.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licensors may have relied on third-party consultants or collaborators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This could have a material adverse effect on our competitive position, business, financial conditions, results of operations, and prospects.</w:t>
      </w:r>
    </w:p>
    <w:p>
      <w:pPr>
        <w:spacing w:after="0" w:line="7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intellectual property. Such claims could have a material adverse effect on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our product candidates, our business may be materially harmed.</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authorization of our product candidates, one or more of our U.S. patents or those of our licensors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marketing authorization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may launch their product earlier than might otherwise be the case.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Although we have pending patent applications in the United States and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w:t>
      </w:r>
    </w:p>
    <w:p>
      <w:pPr>
        <w:spacing w:after="0" w:line="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8" w:name="page79"/>
    <w:bookmarkEnd w:id="78"/>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9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rely in part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wrongfully used or disclosed alleged confidential information or trade secrets.</w:t>
      </w:r>
    </w:p>
    <w:p>
      <w:pPr>
        <w:spacing w:after="0" w:line="1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have entered into or may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 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successfully commercializing OJEMDA and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79" w:name="page80"/>
    <w:bookmarkEnd w:id="79"/>
    <w:p>
      <w:pPr>
        <w:ind w:right="40"/>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287"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is common in the biopharmaceutical industry, in addition to our employees, we engage the services of consultants to assist us in the development of OJEMDA and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patent protection and patent prosecution for OJEMDA and some of our product candidates may be dependent on third parties.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While we normally seek to obtain the right to control prosecution, maintenance and enforcement of the patents relating to OJEMDA and our product candidates, there may be times when the filing and prosecution activities for patents and patent applications relating to OJEMDA and our product candidates are controlled by our licensors or collaboration partners. If any of our licensors or collaboration partners fail to prosecute, maintain and enforce such patents and patent applications in a manner consistent with the best interests of our business, including by payment of all applicable fees for patents covering OJEMDA and our product candidates, we could lose our rights to the intellectual property or our exclusivity with respect to those rights, our ability to develop and commercialize OJEMDA and those product candidates may be adversely affected and we may not be able to prevent competitors from making, using and selling competing products. In addition, even where we have the right to control patent prosecution of patents and patent applications we have licensed from third parties, we may still be adversely affected or prejudiced by actions or inactions of our licensors and their counsel that took place prior to the date upon which we assumed control over patent prosecution.</w:t>
      </w:r>
    </w:p>
    <w:p>
      <w:pPr>
        <w:spacing w:after="0" w:line="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Currently, our intellectual property protection includes patents and patent applications that we have in-licensed from, among others, Viracta Therapeutics, Inc., Takeda Pharmaceutical Company Limited and Merck KGaA, Darmstadt, Germany. Our exclusive and non-exclusive licenses may be subject to certain retained rights, which may adversely impact our competitive position. We do not control the prosecution and maintenance of several of the licensed patent portfolios; thus, we cannot assure you that the licensed patent families will be prepared, filed, prosecuted, or maintained in a manner consistent with the best interests of our business. See “Management’s Discussion and Analysis of Financial Condition and Results of Operations—Significant Agreements.” Our licensed patent portfolio may not provide us with adequate and continuing patent protection sufficient to exclude others from commercializing products similar to OJEMDA and our product candidates.</w:t>
      </w:r>
    </w:p>
    <w:p>
      <w:pPr>
        <w:spacing w:after="0" w:line="293"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6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Some of our own issued patents or pending patent applications may have been generated through the use of U.S. government funding, and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existing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0" w:name="page81"/>
    <w:bookmarkEnd w:id="80"/>
    <w:p>
      <w:pPr>
        <w:spacing w:after="0" w:line="256" w:lineRule="auto"/>
        <w:rPr>
          <w:sz w:val="20"/>
          <w:szCs w:val="20"/>
          <w:color w:val="auto"/>
        </w:rPr>
      </w:pPr>
      <w:r>
        <w:rPr>
          <w:rFonts w:ascii="Times New Roman" w:cs="Times New Roman" w:eastAsia="Times New Roman" w:hAnsi="Times New Roman"/>
          <w:sz w:val="18"/>
          <w:szCs w:val="18"/>
          <w:color w:val="auto"/>
        </w:rPr>
        <w:t>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29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w:t>
      </w:r>
    </w:p>
    <w:p>
      <w:pPr>
        <w:spacing w:after="0" w:line="6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Certain geo-political actions in the United States or other countries may increase the uncertainties and costs related to the prosecution or maintenance of our patent applications, or those of our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and liquid trading market for our common stock may never be sustained. As a result, you may not be able to resell your shares of common stock at or above the purchase price.</w:t>
      </w:r>
    </w:p>
    <w:p>
      <w:pPr>
        <w:spacing w:after="0" w:line="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An active trading market for our common stock may never be sustained. The market value of our common stock may decrease from the purchase price. As a result of these and other factors, you may be unable to resell your shares of our common stock at or above the purchase price. The lack of an active market may impair your ability to sell your shares at the time you wish to sell them or at a price that you consider reasonable. The lack of an active market may also reduce the fair market value of your shares.</w:t>
      </w:r>
    </w:p>
    <w:p>
      <w:pPr>
        <w:spacing w:after="0" w:line="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26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54" w:lineRule="exact"/>
        <w:rPr>
          <w:sz w:val="20"/>
          <w:szCs w:val="20"/>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variations in the level of expense related to the current or future development of our programs;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status of enrollment for our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or the addition or termination of clinical trials or funding support by us or potential future partners;</w:t>
      </w:r>
    </w:p>
    <w:p>
      <w:pPr>
        <w:spacing w:after="0" w:line="117" w:lineRule="exact"/>
        <w:rPr>
          <w:rFonts w:ascii="Times New Roman" w:cs="Times New Roman" w:eastAsia="Times New Roman" w:hAnsi="Times New Roman"/>
          <w:sz w:val="18"/>
          <w:szCs w:val="18"/>
          <w:color w:val="auto"/>
        </w:rPr>
      </w:pPr>
    </w:p>
    <w:p>
      <w:pPr>
        <w:ind w:left="520" w:right="260" w:hanging="512"/>
        <w:spacing w:after="0" w:line="282"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collaboration, licensing or similar arrangements, and the timing of payments we may make or receive under potential future arrangements or the termination or modification of any such potential future arrangements;</w:t>
      </w:r>
    </w:p>
    <w:p>
      <w:pPr>
        <w:spacing w:after="0" w:line="53"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misappropriation or violation lawsuit or opposition, interference or cancellation proceeding in which we may become involved;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7"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53"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product candidate we develop receives marketing authorization, the timing and terms of such approval and market acceptance and demand for such product;</w:t>
      </w:r>
    </w:p>
    <w:p>
      <w:pPr>
        <w:spacing w:after="0" w:line="53" w:lineRule="exact"/>
        <w:rPr>
          <w:rFonts w:ascii="Times New Roman" w:cs="Times New Roman" w:eastAsia="Times New Roman" w:hAnsi="Times New Roman"/>
          <w:sz w:val="18"/>
          <w:szCs w:val="18"/>
          <w:color w:val="auto"/>
        </w:rPr>
      </w:pPr>
    </w:p>
    <w:p>
      <w:pPr>
        <w:ind w:left="520" w:right="60" w:hanging="512"/>
        <w:spacing w:after="0" w:line="261"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to establish a sales, marketing and distribution infrastructure to commercialize any products for which we may obtain marketing authorization and intend to commercialize on our own or jointly with future collaborators;</w:t>
      </w: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1" w:name="page82"/>
    <w:bookmarkEnd w:id="81"/>
    <w:p>
      <w:pPr>
        <w:ind w:left="520" w:hanging="512"/>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current or future product candidates or products, if any, or those of our competitors;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expense or gain associated with the change in value of the success payments and contingent consideration;</w:t>
      </w:r>
    </w:p>
    <w:p>
      <w:pPr>
        <w:spacing w:after="0" w:line="117" w:lineRule="exact"/>
        <w:rPr>
          <w:rFonts w:ascii="Times New Roman" w:cs="Times New Roman" w:eastAsia="Times New Roman" w:hAnsi="Times New Roman"/>
          <w:sz w:val="18"/>
          <w:szCs w:val="18"/>
          <w:color w:val="auto"/>
        </w:rPr>
      </w:pPr>
    </w:p>
    <w:p>
      <w:pPr>
        <w:ind w:left="520" w:right="100" w:hanging="512"/>
        <w:spacing w:after="0" w:line="266"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 such as due to rising interest rates, inflation, potential instability in the global banking system, uncertainty with respect to the federal debt ceiling and budget and potential government shutdowns related thereto, global regional conflicts and public health epidemics;</w:t>
      </w:r>
    </w:p>
    <w:p>
      <w:pPr>
        <w:spacing w:after="0" w:line="67" w:lineRule="exact"/>
        <w:rPr>
          <w:rFonts w:ascii="Times New Roman" w:cs="Times New Roman" w:eastAsia="Times New Roman" w:hAnsi="Times New Roman"/>
          <w:sz w:val="18"/>
          <w:szCs w:val="18"/>
          <w:color w:val="auto"/>
        </w:rPr>
      </w:pPr>
    </w:p>
    <w:p>
      <w:pPr>
        <w:ind w:left="520" w:right="60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development activities, such as additional program in-licensing, which could result in up-front payments or increased development expenses;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likely to be highly volatile, which could result in substantial losses for purchasers of our common stock.</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is likely to continue to be highly volatile and subject to wide fluctuations in response to various factors, some of which we cannot control. As a result of this volatility, you may not be able to sell your shares of common stock at or above the price paid. The market price for our common stock may be influenced by many factors, including the other risks described in this “Risk Factors” section and the following:</w:t>
      </w:r>
    </w:p>
    <w:p>
      <w:pPr>
        <w:spacing w:after="0" w:line="68" w:lineRule="exact"/>
        <w:rPr>
          <w:sz w:val="20"/>
          <w:szCs w:val="20"/>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or clinical trials by us or those of our competitors or by existing or future collaborators or licensing partners;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enrollment status of our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development status of our product candidates, including variations in the level of expense related to the development of our programs or funding support by us or by existing or future collaborators or licensing partners;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 especially changes in laws or regulations applicable to our business;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 candidates by us, our future collaboration partners, or our competitors, and the timing of these introductions or announcements;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11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collaboration, licensing or similar arrangements, and the timing of payments we may make or receive under existing or future arrangements or the termination or modification of any such existing or future arrangements;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or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significant acquisitions, strategic collaborations,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and proprietary rights;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520" w:right="620" w:hanging="512"/>
        <w:spacing w:after="0" w:line="282"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 comparable companies or our industry generally;</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fluctuations of trading volume of our common stock;</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82" w:name="page83"/>
    <w:bookmarkEnd w:id="82"/>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rate increases on the overall stock market and the market for biopharmaceutical company stocks;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common stock by us, insiders or our stockholders;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w:t>
      </w:r>
    </w:p>
    <w:p>
      <w:pPr>
        <w:spacing w:after="0" w:line="117"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inflation, potential instability in the global banking system and uncertainty with respect to the federal debt ceiling and budget and potential government shutdowns related thereto, many of which are beyond our control;</w:t>
      </w:r>
    </w:p>
    <w:p>
      <w:pPr>
        <w:spacing w:after="0" w:line="53" w:lineRule="exact"/>
        <w:rPr>
          <w:rFonts w:ascii="Times New Roman" w:cs="Times New Roman" w:eastAsia="Times New Roman" w:hAnsi="Times New Roman"/>
          <w:sz w:val="18"/>
          <w:szCs w:val="18"/>
          <w:color w:val="auto"/>
        </w:rPr>
      </w:pPr>
    </w:p>
    <w:p>
      <w:pPr>
        <w:ind w:left="520" w:right="680" w:hanging="512"/>
        <w:spacing w:after="0" w:line="282"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global pandemics, such as the COVID-19 pandemic, or war, incidents of terrorism or responses to these events, including global regional conflicts;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the stock market in general, and the markets for pharmaceutical, biopharmaceutical and biotechnology stocks in particular, have experienced extreme price and volume fluctuations, including as a result of the COVID-19 pandemic, increase in inflation and changes in interest rates, as well as disruptions to the supply chain, that have been often unrelated or disproportionate to the operating performance of the issuer. Furthermore, the trading price of our common stock may be adversely affected by third 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8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w:t>
      </w:r>
    </w:p>
    <w:p>
      <w:pPr>
        <w:spacing w:after="0" w:line="28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our stockholders’ ability to achieve a return on their investment will depend on appreciation of the value of our common stock.</w:t>
      </w:r>
    </w:p>
    <w:p>
      <w:pPr>
        <w:spacing w:after="0" w:line="5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for our common stock, which is not certain.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may cause the price of our common stock to decline.</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6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holders of an aggregate of 87,377,163 shares of our outstanding common stock as of March 31, 2024 will have rights, subject to some conditions, to require us to file registration statements covering their shares or to include their shares in registration statements that we may file for ourselves or our stockholders. We also have registered shares of common stock that we may issue under our equity incentive plans. These shares are freely tradeable in the public market upon issuance.</w:t>
      </w:r>
    </w:p>
    <w:p>
      <w:pPr>
        <w:spacing w:after="0" w:line="7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options or vesting of outstanding restricted stock unit awards, or the perception that such sales may occur, could adversely affect the market price of our common stock.</w:t>
      </w:r>
    </w:p>
    <w:p>
      <w:pPr>
        <w:spacing w:after="0" w:line="72"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or other securities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3" w:name="page84"/>
    <w:bookmarkEnd w:id="83"/>
    <w:p>
      <w:pPr>
        <w:ind w:right="180"/>
        <w:spacing w:after="0" w:line="282" w:lineRule="auto"/>
        <w:rPr>
          <w:sz w:val="20"/>
          <w:szCs w:val="20"/>
          <w:color w:val="auto"/>
        </w:rPr>
      </w:pPr>
      <w:r>
        <w:rPr>
          <w:rFonts w:ascii="Times New Roman" w:cs="Times New Roman" w:eastAsia="Times New Roman" w:hAnsi="Times New Roman"/>
          <w:sz w:val="18"/>
          <w:szCs w:val="18"/>
          <w:color w:val="auto"/>
        </w:rPr>
        <w:t>convertible into shares, our stockholders will be diluted. These sales, or the perception in the market that the holders of a large number of shares intend to sell shares, could reduce the market price of our common stock.</w:t>
      </w:r>
    </w:p>
    <w:p>
      <w:pPr>
        <w:spacing w:after="0" w:line="26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5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Based on the beneficial ownership of our common stock as of March 31, 2024, our executive officers, directors, holders of 5% or more of our capital stock and their respective affiliates beneficially owned 47.0% of our voting stock. The voting power of this group may increase to the extent they convert shares of non-voting common stock they hold into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w:t>
      </w:r>
    </w:p>
    <w:p>
      <w:pPr>
        <w:spacing w:after="0" w:line="29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prevent or delay an acquisition of us, which may be beneficial to our stockholders, and may prevent attempts by our stockholders to replace or remove our current management.</w:t>
      </w:r>
    </w:p>
    <w:p>
      <w:pPr>
        <w:spacing w:after="0" w:line="5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68" w:lineRule="exact"/>
        <w:rPr>
          <w:sz w:val="20"/>
          <w:szCs w:val="20"/>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restated certificate of incorporation and restated bylaws;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11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p>
    <w:p>
      <w:pPr>
        <w:spacing w:after="0" w:line="280"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exclusive forum provision in our organizational documents may limit a stockholder’s ability to bring a claim in a judicial forum that it finds favorable for disputes with us or any of our directors, officers or other employees, or the underwriters of any offering giving rise to such claim, which may discourage lawsuits with respect to such claims.</w:t>
      </w:r>
    </w:p>
    <w:p>
      <w:pPr>
        <w:spacing w:after="0" w:line="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restated certificate of incorporation provides that, to the fullest extent permitted by law,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 This exclusive forum provision does not apply to suits brought to enforce a duty or liability created by the Securities Exchange Act of 1934, as amended, or the Exchange Act. It could apply, however, to a suit that falls within one or more of the categories enumerated in the exclusive forum provision.</w:t>
      </w:r>
    </w:p>
    <w:p>
      <w:pPr>
        <w:spacing w:after="0" w:line="7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4" w:name="page85"/>
    <w:bookmarkEnd w:id="84"/>
    <w:p>
      <w:pPr>
        <w:ind w:right="60"/>
        <w:spacing w:after="0" w:line="282" w:lineRule="auto"/>
        <w:rPr>
          <w:sz w:val="20"/>
          <w:szCs w:val="20"/>
          <w:color w:val="auto"/>
        </w:rPr>
      </w:pPr>
      <w:r>
        <w:rPr>
          <w:rFonts w:ascii="Times New Roman" w:cs="Times New Roman" w:eastAsia="Times New Roman" w:hAnsi="Times New Roman"/>
          <w:sz w:val="18"/>
          <w:szCs w:val="18"/>
          <w:color w:val="auto"/>
        </w:rPr>
        <w:t>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5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Section 22 of the Securities Act of 1933, as amended, or the Securities Act, creates concurrent jurisdiction for federal and state courts over all claims brought to enforce any duty or liability created by the Securities Act or the rules and regulations thereunder. Our amended and restated bylaws provide that the federal district courts of the United States of America will, to the fullest extent permitted by law, be the exclusive forum for resolving any complaint asserting a cause of action arising under the Securities Act, or a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w:t>
      </w:r>
    </w:p>
    <w:p>
      <w:pPr>
        <w:spacing w:after="0" w:line="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p>
    <w:p>
      <w:pPr>
        <w:spacing w:after="0" w:line="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or other employees, or the underwriters of any offering giving rise to such claim, which may discourage lawsuits against us and our directors, officers, and other employees.</w:t>
      </w:r>
    </w:p>
    <w:p>
      <w:pPr>
        <w:spacing w:after="0" w:line="28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company, our common stock price and trading volume could decline.</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future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333"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will be required to devote substantial time to new compliance initiatives and corporate governance practices.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The Sarbanes-Oxley Act, the Dodd-Frank Wall Street Reform and Consumer Protection Act, the listing requirements of the Nasdaq Global Select Market, or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5" w:name="page86"/>
    <w:bookmarkEnd w:id="85"/>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over financial reporting our ability to produce accurate and timely financial statements could be impaired.</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Section 404 of the Sarbanes-Oxley Act, our management is required to report upon the effectiveness of our internal control over financial reporting and our independent registered public accounting firm is required to attest to the effectiveness of our internal control over financial reporting in our annual reports on Form 10-K. The rules governing the standards that must be met for our management and our independent registered public accounting firm to assess our internal control over financial reporting are complex and require significant documentation, testing, and possible remediation. In connection with our and our independent registered public accounting firm’s evaluations of our internal control over financial reporting,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process will be time-consuming, costly and complicated.</w:t>
      </w:r>
    </w:p>
    <w:p>
      <w:pPr>
        <w:spacing w:after="0" w:line="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Any failure to maintain internal control over financial reporting, including any failure to implement required new or improved controls, or difficulties encountered in their implementation, could severely inhibit our ability to accurately report our financial condition, results of operations or cash flows. If we or our independent registered public accounting firm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stock price and results of operations.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the global financial crisis of 2007-2008 caused extreme volatility and disruptions in the capital and credit markets. Similarly, the volatility associated with the COVID-19 pandemic caused significant instability and disruptions in the capital and credit markets and, in recent months, the global economy has been impacted by increasing interest rates and inflation, as well as the possibility of a recession or further economic downturn. Moreover, there have been recent concerns with respect to the stability of the global banking system. For example, on March 10, 2023, Silicon Valley Bank, or SVB, one of our banking partners, was closed by the California Department of Financial Protection and Innovation, which appointed the Federal Deposit Insurance Corporation, or the FDIC, as receiver. While we only had a minimal amount of our cash directly at SVB and, since that date, the FDIC has stated that all depositors of SVB will be made whole, there is no guarantee that the federal government would guarantee all depositors as they did</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86" w:name="page87"/>
    <w:bookmarkEnd w:id="86"/>
    <w:p>
      <w:pPr>
        <w:ind w:right="120"/>
        <w:spacing w:after="0" w:line="254" w:lineRule="auto"/>
        <w:rPr>
          <w:sz w:val="20"/>
          <w:szCs w:val="20"/>
          <w:color w:val="auto"/>
        </w:rPr>
      </w:pPr>
      <w:r>
        <w:rPr>
          <w:rFonts w:ascii="Times New Roman" w:cs="Times New Roman" w:eastAsia="Times New Roman" w:hAnsi="Times New Roman"/>
          <w:sz w:val="18"/>
          <w:szCs w:val="18"/>
          <w:color w:val="auto"/>
        </w:rPr>
        <w:t>with SVB depositors in the event of further bank closures and continued instability in the global banking system may adversely impact our business and financial condition. Likewise, the capital and credit markets may be adversely affected by global regional conflicts, and the possibility of wider or additional global conflicts, global sanctions imposed in response thereto or an energy crisis. A severe or prolonged economic downturn, such as the global financial crisis, could result in a variety of risks to our business, including a decrease in the demand for our drug candidates and in our ability to raise additional capital when needed on acceptable terms, if at all. A weak or declining economy also could strain our suppliers, possibly resulting in supply disruption. We cannot anticipate all of the ways in which the foregoing, and the current economic climate and financial market conditions generally, could adversely impact our business. Furthermore, our stock price may decline due in part to the volatility of the stock market and any general economic downturn.</w:t>
      </w:r>
    </w:p>
    <w:p>
      <w:pPr>
        <w:spacing w:after="0" w:line="8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Further, our business and operations may be impacted by the political instability and military hostilities in multiple geographies including Ukraine, the Middle East and the tensions between China and Taiwan. We are closely monitoring the unfolding events of the armed conflict in Israel which began in October 2023. While this conflict is still evolving, to date, the conflict has not had an adverse impact on our business results of operations. However, if the conflict continues to worsen or intensify, any business interruptions or spillover effects could adversely affect our business and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Company’s directors and Section 16 officers (as defined in Rule 16a-1(f) under the Exchange Act) are only permitted to trade in the Company’s securities pursuant to a prearranged trading plan intended to satisfy the affirmative defense of Rule 10b5-1(c) under the Exchange Act (a “Rule 10b5-1 Plan”). During the three months ended March 31, 2024, the Company’s General Counsel and Chief Compliance Officer adopted a new Rule 10b5-1 Plan. The Plan (as defined below) were entered into during an open trading window in accordance with the Company’s Insider Trading Policy.</w:t>
      </w:r>
    </w:p>
    <w:p>
      <w:pPr>
        <w:spacing w:after="0" w:line="7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February 28, 2024, Adam Dubow, our General Counsel and Chief Compliance Officer entered into a pre-arranged written stock sale plan in accordance with Rule 10b5-1 (the “Dubow Rule 10b5-1 Plan”) under the Exchange Act for the sale of shares of our common stock. The Dubow Rule 10b5-1 Plan was entered into during an open trading window in accordance with our policies regarding transactions in our securities and is intended to satisfy the affirmative defense of Rule 10b5-1(c) under the Exchange Act. The Dubow Rule 10b5-1 Plan provides for the potential sale of shares of our common stock, including upon the vesting and settlement of restricted stock units/vesting and exercise of stock options, so long as the market price of our common stock is higher than certain minimum threshold prices specified in the Dubow Rule 10b5-1 Plan, between May 29, 2024 and June 30, 2025. The aggregate number of shares of common stock that will be available for sale under the Dubow Rule 10b5-1 Plan is not yet determinable because the shares available will be net of shares sold to satisfy tax withholding obligations that arise in connection with the vesting and settlement of such restricted stock unit awards. As such, for purposes of this disclosure, the aggregate number of shares of common stock available for sale is approximately 62,000, which reflects the aggregate maximum number of shares underlying Adam Dubow’s restricted stock units which may be sold, without excluding the shares that will be sold to satisfy the tax withholding obligations. The Dubow Rule 10b5-1 Plan expires on June 30, 2025.</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filed or furnished as part of this Quarterly Report on Form 10-Q are set forth on the Exhibit Index below.</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24"/>
                <w:szCs w:val="24"/>
                <w:color w:val="auto"/>
              </w:rPr>
            </w:pPr>
          </w:p>
        </w:tc>
        <w:tc>
          <w:tcPr>
            <w:tcW w:w="4500" w:type="dxa"/>
            <w:vAlign w:val="bottom"/>
            <w:vMerge w:val="restart"/>
          </w:tcPr>
          <w:p>
            <w:pPr>
              <w:ind w:left="18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vMerge w:val="restart"/>
          </w:tcPr>
          <w:p>
            <w:pPr>
              <w:spacing w:after="0"/>
              <w:rPr>
                <w:sz w:val="24"/>
                <w:szCs w:val="24"/>
                <w:color w:val="auto"/>
              </w:rPr>
            </w:pP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tcPr>
          <w:p>
            <w:pPr>
              <w:spacing w:after="0"/>
              <w:rPr>
                <w:sz w:val="24"/>
                <w:szCs w:val="24"/>
                <w:color w:val="auto"/>
              </w:rPr>
            </w:pPr>
          </w:p>
        </w:tc>
        <w:tc>
          <w:tcPr>
            <w:tcW w:w="130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4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40" w:type="dxa"/>
            <w:vAlign w:val="bottom"/>
          </w:tcPr>
          <w:p>
            <w:pPr>
              <w:spacing w:after="0"/>
              <w:rPr>
                <w:sz w:val="24"/>
                <w:szCs w:val="24"/>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75"/>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45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1">
            <w:col w:w="11220"/>
          </w:cols>
          <w:pgMar w:left="320" w:top="981" w:right="359" w:bottom="1440" w:gutter="0" w:footer="0" w:header="0"/>
        </w:sectPr>
      </w:pPr>
    </w:p>
    <w:tbl>
      <w:tblPr>
        <w:tblLayout w:type="fixed"/>
        <w:tblInd w:w="140" w:type="dxa"/>
        <w:tblCellMar>
          <w:top w:w="0" w:type="dxa"/>
          <w:left w:w="0" w:type="dxa"/>
          <w:bottom w:w="0" w:type="dxa"/>
          <w:right w:w="0" w:type="dxa"/>
        </w:tblCellMar>
      </w:tblPr>
      <w:tr>
        <w:trPr>
          <w:trHeight w:val="207"/>
        </w:trPr>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w:t>
            </w:r>
          </w:p>
        </w:tc>
        <w:tc>
          <w:tcPr>
            <w:tcW w:w="44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Amendment No. 1 to the License Agreement for RAF, dated</w:t>
              </w:r>
            </w:hyperlink>
          </w:p>
        </w:tc>
        <w:tc>
          <w:tcPr>
            <w:tcW w:w="12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5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March 4, 2024, by and between Day One Biopharmaceuticals,</w:t>
              </w:r>
            </w:hyperlink>
          </w:p>
        </w:tc>
        <w:tc>
          <w:tcPr>
            <w:tcW w:w="8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8-K</w:t>
            </w:r>
          </w:p>
        </w:tc>
        <w:tc>
          <w:tcPr>
            <w:tcW w:w="13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001-40431</w:t>
            </w:r>
          </w:p>
        </w:tc>
        <w:tc>
          <w:tcPr>
            <w:tcW w:w="13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03/07/2024</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78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34">
              <w:r>
                <w:rPr>
                  <w:rFonts w:ascii="Times New Roman" w:cs="Times New Roman" w:eastAsia="Times New Roman" w:hAnsi="Times New Roman"/>
                  <w:sz w:val="18"/>
                  <w:szCs w:val="18"/>
                  <w:color w:val="0000FF"/>
                  <w:w w:val="99"/>
                </w:rPr>
                <w:t>Inc. and Sunesis Pharmaceuticals, Inc.</w:t>
              </w:r>
            </w:hyperlink>
          </w:p>
        </w:tc>
        <w:tc>
          <w:tcPr>
            <w:tcW w:w="1740" w:type="dxa"/>
            <w:vAlign w:val="bottom"/>
            <w:gridSpan w:val="8"/>
          </w:tcPr>
          <w:p>
            <w:pPr>
              <w:spacing w:after="0"/>
              <w:rPr>
                <w:sz w:val="17"/>
                <w:szCs w:val="17"/>
                <w:color w:val="auto"/>
              </w:rPr>
            </w:pPr>
          </w:p>
        </w:tc>
        <w:tc>
          <w:tcPr>
            <w:tcW w:w="8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31.1</w:t>
            </w:r>
          </w:p>
        </w:tc>
        <w:tc>
          <w:tcPr>
            <w:tcW w:w="45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52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13a-14(a) and 15d-14(a) under the Securities Exchange Act of</w:t>
            </w: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5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1934, as Adopted Pursuant to Section 302 of the Sarbanes-</w:t>
            </w: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40" w:type="dxa"/>
            <w:vAlign w:val="bottom"/>
            <w:tcBorders>
              <w:top w:val="single" w:sz="8" w:color="0000FF"/>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2800" w:type="dxa"/>
            <w:vAlign w:val="bottom"/>
            <w:tcBorders>
              <w:top w:val="single" w:sz="8" w:color="0000FF"/>
            </w:tcBorders>
            <w:gridSpan w:val="6"/>
          </w:tcPr>
          <w:p>
            <w:pPr>
              <w:spacing w:after="0"/>
              <w:rPr>
                <w:sz w:val="17"/>
                <w:szCs w:val="17"/>
                <w:color w:val="auto"/>
              </w:rPr>
            </w:pPr>
          </w:p>
        </w:tc>
        <w:tc>
          <w:tcPr>
            <w:tcW w:w="280" w:type="dxa"/>
            <w:vAlign w:val="bottom"/>
            <w:gridSpan w:val="6"/>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31.2</w:t>
            </w:r>
          </w:p>
        </w:tc>
        <w:tc>
          <w:tcPr>
            <w:tcW w:w="44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w:t>
            </w:r>
          </w:p>
        </w:tc>
        <w:tc>
          <w:tcPr>
            <w:tcW w:w="8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52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13a-14(a) and 15d-14(a) under the Securities Exchange Act of</w:t>
            </w: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5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1934, as Adopted Pursuant to Section 302 of the Sarbanes-</w:t>
            </w: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top w:val="single" w:sz="8" w:color="0000FF"/>
              <w:bottom w:val="single" w:sz="8" w:color="0000EE"/>
            </w:tcBorders>
          </w:tcPr>
          <w:p>
            <w:pPr>
              <w:spacing w:after="0"/>
              <w:rPr>
                <w:sz w:val="17"/>
                <w:szCs w:val="17"/>
                <w:color w:val="auto"/>
              </w:rPr>
            </w:pPr>
          </w:p>
        </w:tc>
        <w:tc>
          <w:tcPr>
            <w:tcW w:w="2820" w:type="dxa"/>
            <w:vAlign w:val="bottom"/>
            <w:tcBorders>
              <w:top w:val="single" w:sz="8" w:color="0000FF"/>
            </w:tcBorders>
            <w:gridSpan w:val="7"/>
          </w:tcPr>
          <w:p>
            <w:pPr>
              <w:spacing w:after="0"/>
              <w:rPr>
                <w:sz w:val="17"/>
                <w:szCs w:val="17"/>
                <w:color w:val="auto"/>
              </w:rPr>
            </w:pPr>
          </w:p>
        </w:tc>
        <w:tc>
          <w:tcPr>
            <w:tcW w:w="280" w:type="dxa"/>
            <w:vAlign w:val="bottom"/>
            <w:gridSpan w:val="6"/>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32.1*</w:t>
            </w:r>
          </w:p>
        </w:tc>
        <w:tc>
          <w:tcPr>
            <w:tcW w:w="42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260" w:type="dxa"/>
            <w:vAlign w:val="bottom"/>
            <w:gridSpan w:val="5"/>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3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U.S.C. Section 1350, as Adopted Pursuant to Section 906 of</w:t>
            </w:r>
          </w:p>
        </w:tc>
        <w:tc>
          <w:tcPr>
            <w:tcW w:w="14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4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2100" w:type="dxa"/>
            <w:vAlign w:val="bottom"/>
            <w:gridSpan w:val="9"/>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32.2*</w:t>
            </w:r>
          </w:p>
        </w:tc>
        <w:tc>
          <w:tcPr>
            <w:tcW w:w="42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w:t>
            </w:r>
          </w:p>
        </w:tc>
        <w:tc>
          <w:tcPr>
            <w:tcW w:w="300" w:type="dxa"/>
            <w:vAlign w:val="bottom"/>
            <w:gridSpan w:val="7"/>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3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U.S.C. Section 1350, as Adopted Pursuant to Section 906 of</w:t>
            </w:r>
          </w:p>
        </w:tc>
        <w:tc>
          <w:tcPr>
            <w:tcW w:w="14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3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20" w:type="dxa"/>
            <w:vAlign w:val="bottom"/>
            <w:tcBorders>
              <w:bottom w:val="single" w:sz="8" w:color="0000EE"/>
            </w:tcBorders>
          </w:tcPr>
          <w:p>
            <w:pPr>
              <w:spacing w:after="0"/>
              <w:rPr>
                <w:sz w:val="17"/>
                <w:szCs w:val="17"/>
                <w:color w:val="auto"/>
              </w:rPr>
            </w:pPr>
          </w:p>
        </w:tc>
        <w:tc>
          <w:tcPr>
            <w:tcW w:w="2120" w:type="dxa"/>
            <w:vAlign w:val="bottom"/>
            <w:gridSpan w:val="10"/>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5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w:t>
            </w: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5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not appear in the Interactive Data File because its XBRL tags</w:t>
            </w:r>
          </w:p>
        </w:tc>
        <w:tc>
          <w:tcPr>
            <w:tcW w:w="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45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c>
          <w:tcPr>
            <w:tcW w:w="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5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45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Linkbase Documents.</w:t>
            </w:r>
          </w:p>
        </w:tc>
        <w:tc>
          <w:tcPr>
            <w:tcW w:w="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140" w:right="4280" w:hanging="1002"/>
        <w:spacing w:after="0" w:line="282" w:lineRule="auto"/>
        <w:tabs>
          <w:tab w:leader="none" w:pos="11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67"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 has omitted portions of the exhibit as permitted under Item 601(b)(10) of Regulation S-K.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490" w:lineRule="exact"/>
        <w:rPr>
          <w:sz w:val="20"/>
          <w:szCs w:val="20"/>
          <w:color w:val="auto"/>
        </w:rPr>
      </w:pPr>
    </w:p>
    <w:p>
      <w:pPr>
        <w:sectPr>
          <w:pgSz w:w="11900" w:h="16838" w:orient="portrait"/>
          <w:cols w:equalWidth="0" w:num="2">
            <w:col w:w="9860" w:space="720"/>
            <w:col w:w="640"/>
          </w:cols>
          <w:pgMar w:left="320" w:top="981" w:right="359" w:bottom="1440" w:gutter="0" w:footer="0" w:header="0"/>
          <w:type w:val="continuous"/>
        </w:sectPr>
      </w:pPr>
    </w:p>
    <w:p>
      <w:pPr>
        <w:ind w:right="300" w:firstLine="8"/>
        <w:spacing w:after="0" w:line="261" w:lineRule="auto"/>
        <w:tabs>
          <w:tab w:leader="none" w:pos="13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type w:val="continuous"/>
        </w:sectPr>
      </w:pPr>
    </w:p>
    <w:bookmarkStart w:id="88" w:name="page89"/>
    <w:bookmarkEnd w:id="8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7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DAY ONE BIOPHARMACEUTICALS, INC.</w:t>
      </w:r>
    </w:p>
    <w:p>
      <w:pPr>
        <w:spacing w:after="0" w:line="252" w:lineRule="exact"/>
        <w:rPr>
          <w:sz w:val="20"/>
          <w:szCs w:val="20"/>
          <w:color w:val="auto"/>
        </w:rPr>
      </w:pPr>
    </w:p>
    <w:p>
      <w:pPr>
        <w:ind w:left="20"/>
        <w:spacing w:after="0"/>
        <w:tabs>
          <w:tab w:leader="none" w:pos="4800" w:val="left"/>
        </w:tabs>
        <w:rPr>
          <w:sz w:val="20"/>
          <w:szCs w:val="20"/>
          <w:color w:val="auto"/>
        </w:rPr>
      </w:pPr>
      <w:r>
        <w:rPr>
          <w:rFonts w:ascii="Times New Roman" w:cs="Times New Roman" w:eastAsia="Times New Roman" w:hAnsi="Times New Roman"/>
          <w:sz w:val="18"/>
          <w:szCs w:val="18"/>
          <w:color w:val="auto"/>
        </w:rPr>
        <w:t>Date: May 6, 2024</w:t>
      </w:r>
      <w:r>
        <w:rPr>
          <w:sz w:val="20"/>
          <w:szCs w:val="20"/>
          <w:color w:val="auto"/>
        </w:rPr>
        <w:tab/>
      </w:r>
      <w:r>
        <w:rPr>
          <w:rFonts w:ascii="Times New Roman" w:cs="Times New Roman" w:eastAsia="Times New Roman" w:hAnsi="Times New Roman"/>
          <w:sz w:val="18"/>
          <w:szCs w:val="18"/>
          <w:color w:val="auto"/>
        </w:rPr>
        <w:t>By: /s/ Jeremy Bender,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26035</wp:posOffset>
            </wp:positionV>
            <wp:extent cx="38487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Jeremy Bender, Ph.D., M.B.A.</w:t>
      </w:r>
    </w:p>
    <w:p>
      <w:pPr>
        <w:spacing w:after="0" w:line="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ind w:left="20"/>
        <w:spacing w:after="0"/>
        <w:tabs>
          <w:tab w:leader="none" w:pos="4800" w:val="left"/>
        </w:tabs>
        <w:rPr>
          <w:sz w:val="20"/>
          <w:szCs w:val="20"/>
          <w:color w:val="auto"/>
        </w:rPr>
      </w:pPr>
      <w:r>
        <w:rPr>
          <w:rFonts w:ascii="Times New Roman" w:cs="Times New Roman" w:eastAsia="Times New Roman" w:hAnsi="Times New Roman"/>
          <w:sz w:val="18"/>
          <w:szCs w:val="18"/>
          <w:color w:val="auto"/>
        </w:rPr>
        <w:t>Date: May 6, 2024</w:t>
      </w:r>
      <w:r>
        <w:rPr>
          <w:sz w:val="20"/>
          <w:szCs w:val="20"/>
          <w:color w:val="auto"/>
        </w:rPr>
        <w:tab/>
      </w:r>
      <w:r>
        <w:rPr>
          <w:rFonts w:ascii="Times New Roman" w:cs="Times New Roman" w:eastAsia="Times New Roman" w:hAnsi="Times New Roman"/>
          <w:sz w:val="18"/>
          <w:szCs w:val="18"/>
          <w:color w:val="auto"/>
        </w:rPr>
        <w:t>By: /s/ Charles N. York II,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26035</wp:posOffset>
            </wp:positionV>
            <wp:extent cx="38487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Charles N. York II, M.B.A.</w:t>
      </w:r>
    </w:p>
    <w:p>
      <w:pPr>
        <w:spacing w:after="0" w:line="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Chief Operating Officer and Chief Financial Officer</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60"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 THE SARBANES-OXLEY ACT OF 2002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Jeremy Bender, certify that:</w:t>
      </w:r>
    </w:p>
    <w:p>
      <w:pPr>
        <w:spacing w:after="0" w:line="198" w:lineRule="exact"/>
        <w:rPr>
          <w:sz w:val="20"/>
          <w:szCs w:val="20"/>
          <w:color w:val="auto"/>
        </w:rPr>
      </w:pPr>
    </w:p>
    <w:p>
      <w:pPr>
        <w:ind w:left="360" w:hanging="352"/>
        <w:spacing w:after="0"/>
        <w:tabs>
          <w:tab w:leader="none" w:pos="3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Day One Biopharmaceuticals, Inc.;</w:t>
      </w:r>
    </w:p>
    <w:p>
      <w:pPr>
        <w:spacing w:after="0" w:line="184" w:lineRule="exact"/>
        <w:rPr>
          <w:rFonts w:ascii="Times New Roman" w:cs="Times New Roman" w:eastAsia="Times New Roman" w:hAnsi="Times New Roman"/>
          <w:sz w:val="18"/>
          <w:szCs w:val="18"/>
          <w:color w:val="auto"/>
        </w:rPr>
      </w:pPr>
    </w:p>
    <w:p>
      <w:pPr>
        <w:ind w:left="760" w:right="40" w:hanging="752"/>
        <w:spacing w:after="0" w:line="266" w:lineRule="auto"/>
        <w:tabs>
          <w:tab w:leader="none" w:pos="37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760" w:right="360" w:hanging="752"/>
        <w:spacing w:after="0" w:line="282" w:lineRule="auto"/>
        <w:tabs>
          <w:tab w:leader="none" w:pos="37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left="760" w:right="20" w:hanging="752"/>
        <w:spacing w:after="0" w:line="266" w:lineRule="auto"/>
        <w:tabs>
          <w:tab w:leader="none" w:pos="37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500" w:right="40" w:hanging="690"/>
        <w:spacing w:after="0" w:line="266" w:lineRule="auto"/>
        <w:tabs>
          <w:tab w:leader="none" w:pos="116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500" w:right="100" w:hanging="690"/>
        <w:spacing w:after="0" w:line="266" w:lineRule="auto"/>
        <w:tabs>
          <w:tab w:leader="none" w:pos="116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1500" w:hanging="690"/>
        <w:spacing w:after="0" w:line="282" w:lineRule="auto"/>
        <w:tabs>
          <w:tab w:leader="none" w:pos="116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500" w:right="160" w:hanging="690"/>
        <w:spacing w:after="0" w:line="266" w:lineRule="auto"/>
        <w:tabs>
          <w:tab w:leader="none" w:pos="116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760" w:right="300" w:hanging="752"/>
        <w:spacing w:after="0" w:line="282" w:lineRule="auto"/>
        <w:tabs>
          <w:tab w:leader="none" w:pos="37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jc w:val="right"/>
        <w:ind w:left="1500" w:right="580" w:hanging="690"/>
        <w:spacing w:after="0" w:line="282" w:lineRule="auto"/>
        <w:tabs>
          <w:tab w:leader="none" w:pos="116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500" w:right="280" w:hanging="690"/>
        <w:spacing w:after="0" w:line="282" w:lineRule="auto"/>
        <w:tabs>
          <w:tab w:leader="none" w:pos="116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6, 2024</w:t>
      </w:r>
    </w:p>
    <w:p>
      <w:pPr>
        <w:spacing w:after="0" w:line="27" w:lineRule="exact"/>
        <w:rPr>
          <w:sz w:val="20"/>
          <w:szCs w:val="20"/>
          <w:color w:val="auto"/>
        </w:rPr>
      </w:pPr>
    </w:p>
    <w:p>
      <w:pPr>
        <w:ind w:left="5520"/>
        <w:spacing w:after="0"/>
        <w:tabs>
          <w:tab w:leader="none" w:pos="5880" w:val="left"/>
        </w:tabs>
        <w:rPr>
          <w:sz w:val="20"/>
          <w:szCs w:val="20"/>
          <w:color w:val="auto"/>
        </w:rPr>
      </w:pPr>
      <w:r>
        <w:rPr>
          <w:rFonts w:ascii="Times New Roman" w:cs="Times New Roman" w:eastAsia="Times New Roman" w:hAnsi="Times New Roman"/>
          <w:sz w:val="18"/>
          <w:szCs w:val="18"/>
          <w:color w:val="auto"/>
        </w:rPr>
        <w:t>/s/</w:t>
        <w:tab/>
        <w:t>Jeremy Bender,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Jeremy Bender, Ph.D., MBA</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1167765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60"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 THE SARBANES-OXLEY ACT OF 2002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N. York II, certify that:</w:t>
      </w:r>
    </w:p>
    <w:p>
      <w:pPr>
        <w:spacing w:after="0" w:line="198" w:lineRule="exact"/>
        <w:rPr>
          <w:sz w:val="20"/>
          <w:szCs w:val="20"/>
          <w:color w:val="auto"/>
        </w:rPr>
      </w:pPr>
    </w:p>
    <w:p>
      <w:pPr>
        <w:ind w:left="360" w:hanging="352"/>
        <w:spacing w:after="0"/>
        <w:tabs>
          <w:tab w:leader="none" w:pos="3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Day One Biopharmaceuticals, Inc.;</w:t>
      </w:r>
    </w:p>
    <w:p>
      <w:pPr>
        <w:spacing w:after="0" w:line="184" w:lineRule="exact"/>
        <w:rPr>
          <w:rFonts w:ascii="Times New Roman" w:cs="Times New Roman" w:eastAsia="Times New Roman" w:hAnsi="Times New Roman"/>
          <w:sz w:val="18"/>
          <w:szCs w:val="18"/>
          <w:color w:val="auto"/>
        </w:rPr>
      </w:pPr>
    </w:p>
    <w:p>
      <w:pPr>
        <w:ind w:left="760" w:right="40" w:hanging="752"/>
        <w:spacing w:after="0" w:line="266" w:lineRule="auto"/>
        <w:tabs>
          <w:tab w:leader="none" w:pos="37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760" w:right="360" w:hanging="752"/>
        <w:spacing w:after="0" w:line="282" w:lineRule="auto"/>
        <w:tabs>
          <w:tab w:leader="none" w:pos="37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left="760" w:right="20" w:hanging="752"/>
        <w:spacing w:after="0" w:line="266" w:lineRule="auto"/>
        <w:tabs>
          <w:tab w:leader="none" w:pos="37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500" w:right="40" w:hanging="690"/>
        <w:spacing w:after="0" w:line="266" w:lineRule="auto"/>
        <w:tabs>
          <w:tab w:leader="none" w:pos="116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500" w:right="100" w:hanging="690"/>
        <w:spacing w:after="0" w:line="266" w:lineRule="auto"/>
        <w:tabs>
          <w:tab w:leader="none" w:pos="116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1500" w:hanging="690"/>
        <w:spacing w:after="0" w:line="282" w:lineRule="auto"/>
        <w:tabs>
          <w:tab w:leader="none" w:pos="116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500" w:right="160" w:hanging="690"/>
        <w:spacing w:after="0" w:line="266" w:lineRule="auto"/>
        <w:tabs>
          <w:tab w:leader="none" w:pos="116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760" w:right="300" w:hanging="752"/>
        <w:spacing w:after="0" w:line="282" w:lineRule="auto"/>
        <w:tabs>
          <w:tab w:leader="none" w:pos="37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jc w:val="right"/>
        <w:ind w:left="1500" w:right="580" w:hanging="690"/>
        <w:spacing w:after="0" w:line="282" w:lineRule="auto"/>
        <w:tabs>
          <w:tab w:leader="none" w:pos="116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500" w:right="280" w:hanging="690"/>
        <w:spacing w:after="0" w:line="282" w:lineRule="auto"/>
        <w:tabs>
          <w:tab w:leader="none" w:pos="116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6, 2024</w:t>
      </w:r>
    </w:p>
    <w:p>
      <w:pPr>
        <w:spacing w:after="0" w:line="27" w:lineRule="exact"/>
        <w:rPr>
          <w:sz w:val="20"/>
          <w:szCs w:val="20"/>
          <w:color w:val="auto"/>
        </w:rPr>
      </w:pPr>
    </w:p>
    <w:p>
      <w:pPr>
        <w:ind w:left="5080"/>
        <w:spacing w:after="0"/>
        <w:tabs>
          <w:tab w:leader="none" w:pos="59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Charles N. York II,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336867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Charles N. York II, M.B.A.</w:t>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i w:val="1"/>
          <w:iCs w:val="1"/>
          <w:color w:val="auto"/>
        </w:rPr>
        <w:t>Chief Operating Officer and Chief Financial Officer</w:t>
      </w:r>
    </w:p>
    <w:p>
      <w:pPr>
        <w:spacing w:after="0" w:line="3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1043305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 Jeremy Bender, Chief Executive Officer of Day One Biopharmaceuticals, Inc. (the “Company”), do hereby certify, pursuant to 18 U.S.C. Section 1350, as adopted pursuant to Section 906 of the Sarbanes-Oxley Act of 2002, that to the best of my knowledge:</w:t>
      </w:r>
    </w:p>
    <w:p>
      <w:pPr>
        <w:spacing w:after="0" w:line="135" w:lineRule="exact"/>
        <w:rPr>
          <w:sz w:val="20"/>
          <w:szCs w:val="20"/>
          <w:color w:val="auto"/>
        </w:rPr>
      </w:pPr>
    </w:p>
    <w:p>
      <w:pPr>
        <w:ind w:left="760" w:right="160" w:hanging="752"/>
        <w:spacing w:after="0" w:line="282" w:lineRule="auto"/>
        <w:tabs>
          <w:tab w:leader="none" w:pos="37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March 31, 2024 (the “Report”) fully complies with the requirements of Section 13(a) or 15(d) of the Securities Exchange Act of 1934, as amended; and</w:t>
      </w:r>
    </w:p>
    <w:p>
      <w:pPr>
        <w:spacing w:after="0" w:line="12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May 6, 2024</w:t>
            </w:r>
          </w:p>
        </w:tc>
        <w:tc>
          <w:tcPr>
            <w:tcW w:w="772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/s/   Jeremy Bender, Ph.D., M.B.A.</w:t>
            </w:r>
          </w:p>
        </w:tc>
        <w:tc>
          <w:tcPr>
            <w:tcW w:w="120" w:type="dxa"/>
            <w:vAlign w:val="bottom"/>
          </w:tcPr>
          <w:p>
            <w:pPr>
              <w:spacing w:after="0"/>
              <w:rPr>
                <w:sz w:val="20"/>
                <w:szCs w:val="20"/>
                <w:color w:val="auto"/>
              </w:rPr>
            </w:pPr>
          </w:p>
        </w:tc>
      </w:tr>
      <w:tr>
        <w:trPr>
          <w:trHeight w:val="189"/>
        </w:trPr>
        <w:tc>
          <w:tcPr>
            <w:tcW w:w="3400" w:type="dxa"/>
            <w:vAlign w:val="bottom"/>
          </w:tcPr>
          <w:p>
            <w:pPr>
              <w:spacing w:after="0"/>
              <w:rPr>
                <w:sz w:val="16"/>
                <w:szCs w:val="16"/>
                <w:color w:val="auto"/>
              </w:rPr>
            </w:pPr>
          </w:p>
        </w:tc>
        <w:tc>
          <w:tcPr>
            <w:tcW w:w="2380" w:type="dxa"/>
            <w:vAlign w:val="bottom"/>
          </w:tcPr>
          <w:p>
            <w:pPr>
              <w:ind w:left="1960"/>
              <w:spacing w:after="0" w:line="189" w:lineRule="exact"/>
              <w:rPr>
                <w:sz w:val="20"/>
                <w:szCs w:val="20"/>
                <w:color w:val="auto"/>
              </w:rPr>
            </w:pPr>
            <w:r>
              <w:rPr>
                <w:rFonts w:ascii="Times New Roman" w:cs="Times New Roman" w:eastAsia="Times New Roman" w:hAnsi="Times New Roman"/>
                <w:sz w:val="18"/>
                <w:szCs w:val="18"/>
                <w:color w:val="auto"/>
                <w:w w:val="76"/>
              </w:rPr>
              <w:t>Jeremy</w:t>
            </w:r>
          </w:p>
        </w:tc>
        <w:tc>
          <w:tcPr>
            <w:tcW w:w="5340" w:type="dxa"/>
            <w:vAlign w:val="bottom"/>
            <w:tcBorders>
              <w:top w:val="single" w:sz="8" w:color="auto"/>
            </w:tcBorders>
          </w:tcPr>
          <w:p>
            <w:pPr>
              <w:ind w:left="140"/>
              <w:spacing w:after="0" w:line="189" w:lineRule="exact"/>
              <w:rPr>
                <w:sz w:val="20"/>
                <w:szCs w:val="20"/>
                <w:color w:val="auto"/>
              </w:rPr>
            </w:pPr>
            <w:r>
              <w:rPr>
                <w:rFonts w:ascii="Times New Roman" w:cs="Times New Roman" w:eastAsia="Times New Roman" w:hAnsi="Times New Roman"/>
                <w:sz w:val="18"/>
                <w:szCs w:val="18"/>
                <w:color w:val="auto"/>
              </w:rPr>
              <w:t>Bender, Ph.D., MBA</w:t>
            </w:r>
          </w:p>
        </w:tc>
        <w:tc>
          <w:tcPr>
            <w:tcW w:w="120" w:type="dxa"/>
            <w:vAlign w:val="bottom"/>
          </w:tcPr>
          <w:p>
            <w:pPr>
              <w:spacing w:after="0"/>
              <w:rPr>
                <w:sz w:val="16"/>
                <w:szCs w:val="16"/>
                <w:color w:val="auto"/>
              </w:rPr>
            </w:pPr>
          </w:p>
        </w:tc>
      </w:tr>
      <w:tr>
        <w:trPr>
          <w:trHeight w:val="236"/>
        </w:trPr>
        <w:tc>
          <w:tcPr>
            <w:tcW w:w="3400" w:type="dxa"/>
            <w:vAlign w:val="bottom"/>
          </w:tcPr>
          <w:p>
            <w:pPr>
              <w:spacing w:after="0"/>
              <w:rPr>
                <w:sz w:val="20"/>
                <w:szCs w:val="20"/>
                <w:color w:val="auto"/>
              </w:rPr>
            </w:pPr>
          </w:p>
        </w:tc>
        <w:tc>
          <w:tcPr>
            <w:tcW w:w="7720" w:type="dxa"/>
            <w:vAlign w:val="bottom"/>
            <w:gridSpan w:val="2"/>
          </w:tcPr>
          <w:p>
            <w:pPr>
              <w:ind w:left="196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tc>
        <w:tc>
          <w:tcPr>
            <w:tcW w:w="120" w:type="dxa"/>
            <w:vAlign w:val="bottom"/>
          </w:tcPr>
          <w:p>
            <w:pPr>
              <w:spacing w:after="0"/>
              <w:rPr>
                <w:sz w:val="20"/>
                <w:szCs w:val="20"/>
                <w:color w:val="auto"/>
              </w:rPr>
            </w:pPr>
          </w:p>
        </w:tc>
      </w:tr>
      <w:tr>
        <w:trPr>
          <w:trHeight w:val="243"/>
        </w:trPr>
        <w:tc>
          <w:tcPr>
            <w:tcW w:w="3400" w:type="dxa"/>
            <w:vAlign w:val="bottom"/>
          </w:tcPr>
          <w:p>
            <w:pPr>
              <w:spacing w:after="0"/>
              <w:rPr>
                <w:sz w:val="21"/>
                <w:szCs w:val="21"/>
                <w:color w:val="auto"/>
              </w:rPr>
            </w:pPr>
          </w:p>
        </w:tc>
        <w:tc>
          <w:tcPr>
            <w:tcW w:w="7720" w:type="dxa"/>
            <w:vAlign w:val="bottom"/>
            <w:gridSpan w:val="2"/>
          </w:tcPr>
          <w:p>
            <w:pPr>
              <w:ind w:left="19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20" w:type="dxa"/>
            <w:vAlign w:val="bottom"/>
          </w:tcPr>
          <w:p>
            <w:pPr>
              <w:spacing w:after="0"/>
              <w:rPr>
                <w:sz w:val="21"/>
                <w:szCs w:val="21"/>
                <w:color w:val="auto"/>
              </w:rPr>
            </w:pPr>
          </w:p>
        </w:tc>
      </w:tr>
      <w:tr>
        <w:trPr>
          <w:trHeight w:val="216"/>
        </w:trPr>
        <w:tc>
          <w:tcPr>
            <w:tcW w:w="34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5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r>
        <w:trPr>
          <w:trHeight w:val="1620"/>
        </w:trPr>
        <w:tc>
          <w:tcPr>
            <w:tcW w:w="34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 Charles N. York II, Chief Financial Officer of Day One Biopharmaceuticals, Inc. (the “Company”), do hereby certify, pursuant to 18 U.S.C. Section 1350, as adopted pursuant to Section 906 of the Sarbanes-Oxley Act of 2002, that to the best of my knowledge:</w:t>
      </w:r>
    </w:p>
    <w:p>
      <w:pPr>
        <w:spacing w:after="0" w:line="135" w:lineRule="exact"/>
        <w:rPr>
          <w:sz w:val="20"/>
          <w:szCs w:val="20"/>
          <w:color w:val="auto"/>
        </w:rPr>
      </w:pPr>
    </w:p>
    <w:p>
      <w:pPr>
        <w:ind w:left="760" w:right="160" w:hanging="752"/>
        <w:spacing w:after="0" w:line="282" w:lineRule="auto"/>
        <w:tabs>
          <w:tab w:leader="none" w:pos="37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March 31, 2024 (the “Report”) fully complies with the requirements of Section 13(a) or 15(d) of the Securities Exchange Act of 1934, as amended; and</w:t>
      </w:r>
    </w:p>
    <w:p>
      <w:pPr>
        <w:spacing w:after="0" w:line="12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May 6, 2024</w:t>
            </w:r>
          </w:p>
        </w:tc>
        <w:tc>
          <w:tcPr>
            <w:tcW w:w="76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/s/ Charles N. York II, M.B.A.</w:t>
            </w:r>
          </w:p>
        </w:tc>
        <w:tc>
          <w:tcPr>
            <w:tcW w:w="120" w:type="dxa"/>
            <w:vAlign w:val="bottom"/>
          </w:tcPr>
          <w:p>
            <w:pPr>
              <w:spacing w:after="0"/>
              <w:rPr>
                <w:sz w:val="20"/>
                <w:szCs w:val="20"/>
                <w:color w:val="auto"/>
              </w:rPr>
            </w:pPr>
          </w:p>
        </w:tc>
      </w:tr>
      <w:tr>
        <w:trPr>
          <w:trHeight w:val="20"/>
        </w:trPr>
        <w:tc>
          <w:tcPr>
            <w:tcW w:w="3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8"/>
        </w:trPr>
        <w:tc>
          <w:tcPr>
            <w:tcW w:w="3480" w:type="dxa"/>
            <w:vAlign w:val="bottom"/>
          </w:tcPr>
          <w:p>
            <w:pPr>
              <w:spacing w:after="0"/>
              <w:rPr>
                <w:sz w:val="19"/>
                <w:szCs w:val="19"/>
                <w:color w:val="auto"/>
              </w:rPr>
            </w:pPr>
          </w:p>
        </w:tc>
        <w:tc>
          <w:tcPr>
            <w:tcW w:w="76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Charles N. York II, M.B.A.</w:t>
            </w:r>
          </w:p>
        </w:tc>
        <w:tc>
          <w:tcPr>
            <w:tcW w:w="120" w:type="dxa"/>
            <w:vAlign w:val="bottom"/>
          </w:tcPr>
          <w:p>
            <w:pPr>
              <w:spacing w:after="0"/>
              <w:rPr>
                <w:sz w:val="19"/>
                <w:szCs w:val="19"/>
                <w:color w:val="auto"/>
              </w:rPr>
            </w:pPr>
          </w:p>
        </w:tc>
      </w:tr>
      <w:tr>
        <w:trPr>
          <w:trHeight w:val="319"/>
        </w:trPr>
        <w:tc>
          <w:tcPr>
            <w:tcW w:w="3480" w:type="dxa"/>
            <w:vAlign w:val="bottom"/>
          </w:tcPr>
          <w:p>
            <w:pPr>
              <w:spacing w:after="0"/>
              <w:rPr>
                <w:sz w:val="24"/>
                <w:szCs w:val="24"/>
                <w:color w:val="auto"/>
              </w:rPr>
            </w:pPr>
          </w:p>
        </w:tc>
        <w:tc>
          <w:tcPr>
            <w:tcW w:w="7640" w:type="dxa"/>
            <w:vAlign w:val="bottom"/>
            <w:gridSpan w:val="2"/>
          </w:tcPr>
          <w:p>
            <w:pPr>
              <w:ind w:left="2000"/>
              <w:spacing w:after="0"/>
              <w:rPr>
                <w:sz w:val="20"/>
                <w:szCs w:val="20"/>
                <w:color w:val="auto"/>
              </w:rPr>
            </w:pPr>
            <w:r>
              <w:rPr>
                <w:rFonts w:ascii="Times New Roman" w:cs="Times New Roman" w:eastAsia="Times New Roman" w:hAnsi="Times New Roman"/>
                <w:sz w:val="18"/>
                <w:szCs w:val="18"/>
                <w:i w:val="1"/>
                <w:iCs w:val="1"/>
                <w:color w:val="auto"/>
              </w:rPr>
              <w:t>Chief Operating Officer and Chief Financial Officer</w:t>
            </w:r>
          </w:p>
        </w:tc>
        <w:tc>
          <w:tcPr>
            <w:tcW w:w="120" w:type="dxa"/>
            <w:vAlign w:val="bottom"/>
          </w:tcPr>
          <w:p>
            <w:pPr>
              <w:spacing w:after="0"/>
              <w:rPr>
                <w:sz w:val="24"/>
                <w:szCs w:val="24"/>
                <w:color w:val="auto"/>
              </w:rPr>
            </w:pPr>
          </w:p>
        </w:tc>
      </w:tr>
      <w:tr>
        <w:trPr>
          <w:trHeight w:val="337"/>
        </w:trPr>
        <w:tc>
          <w:tcPr>
            <w:tcW w:w="3480" w:type="dxa"/>
            <w:vAlign w:val="bottom"/>
          </w:tcPr>
          <w:p>
            <w:pPr>
              <w:spacing w:after="0"/>
              <w:rPr>
                <w:sz w:val="24"/>
                <w:szCs w:val="24"/>
                <w:color w:val="auto"/>
              </w:rPr>
            </w:pPr>
          </w:p>
        </w:tc>
        <w:tc>
          <w:tcPr>
            <w:tcW w:w="7640" w:type="dxa"/>
            <w:vAlign w:val="bottom"/>
            <w:gridSpan w:val="2"/>
          </w:tcPr>
          <w:p>
            <w:pPr>
              <w:ind w:left="200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c>
          <w:tcPr>
            <w:tcW w:w="120" w:type="dxa"/>
            <w:vAlign w:val="bottom"/>
          </w:tcPr>
          <w:p>
            <w:pPr>
              <w:spacing w:after="0"/>
              <w:rPr>
                <w:sz w:val="24"/>
                <w:szCs w:val="24"/>
                <w:color w:val="auto"/>
              </w:rPr>
            </w:pPr>
          </w:p>
        </w:tc>
      </w:tr>
      <w:tr>
        <w:trPr>
          <w:trHeight w:val="675"/>
        </w:trPr>
        <w:tc>
          <w:tcPr>
            <w:tcW w:w="34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620"/>
        </w:trPr>
        <w:tc>
          <w:tcPr>
            <w:tcW w:w="348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3" w:name="page94"/>
    <w:bookmarkEnd w:id="9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1."/>
      <w:numFmt w:val="decimal"/>
      <w:start w:val="1"/>
    </w:lvl>
  </w:abstractNum>
  <w:abstractNum w:abstractNumId="3">
    <w:nsid w:val="737B8DDC"/>
    <w:multiLevelType w:val="hybridMultilevel"/>
    <w:lvl w:ilvl="0">
      <w:lvlJc w:val="left"/>
      <w:lvlText w:val="%1."/>
      <w:numFmt w:val="decimal"/>
      <w:start w:val="2"/>
    </w:lvl>
  </w:abstractNum>
  <w:abstractNum w:abstractNumId="4">
    <w:nsid w:val="6CEAF087"/>
    <w:multiLevelType w:val="hybridMultilevel"/>
    <w:lvl w:ilvl="0">
      <w:lvlJc w:val="left"/>
      <w:lvlText w:val="%1."/>
      <w:numFmt w:val="decimal"/>
      <w:start w:val="3"/>
    </w:lvl>
  </w:abstractNum>
  <w:abstractNum w:abstractNumId="5">
    <w:nsid w:val="22221A70"/>
    <w:multiLevelType w:val="hybridMultilevel"/>
    <w:lvl w:ilvl="0">
      <w:lvlJc w:val="left"/>
      <w:lvlText w:val="%1."/>
      <w:numFmt w:val="decimal"/>
      <w:start w:val="4"/>
    </w:lvl>
  </w:abstractNum>
  <w:abstractNum w:abstractNumId="6">
    <w:nsid w:val="4516DDE9"/>
    <w:multiLevelType w:val="hybridMultilevel"/>
    <w:lvl w:ilvl="0">
      <w:lvlJc w:val="left"/>
      <w:lvlText w:val="%1."/>
      <w:numFmt w:val="decimal"/>
      <w:start w:val="5"/>
    </w:lvl>
  </w:abstractNum>
  <w:abstractNum w:abstractNumId="7">
    <w:nsid w:val="3006C83E"/>
    <w:multiLevelType w:val="hybridMultilevel"/>
    <w:lvl w:ilvl="0">
      <w:lvlJc w:val="left"/>
      <w:lvlText w:val="%1."/>
      <w:numFmt w:val="decimal"/>
      <w:start w:val="6"/>
    </w:lvl>
  </w:abstractNum>
  <w:abstractNum w:abstractNumId="8">
    <w:nsid w:val="614FD4A1"/>
    <w:multiLevelType w:val="hybridMultilevel"/>
    <w:lvl w:ilvl="0">
      <w:lvlJc w:val="left"/>
      <w:lvlText w:val="%1."/>
      <w:numFmt w:val="decimal"/>
      <w:start w:val="7"/>
    </w:lvl>
  </w:abstractNum>
  <w:abstractNum w:abstractNumId="9">
    <w:nsid w:val="419AC241"/>
    <w:multiLevelType w:val="hybridMultilevel"/>
    <w:lvl w:ilvl="0">
      <w:lvlJc w:val="left"/>
      <w:lvlText w:val="%1."/>
      <w:numFmt w:val="decimal"/>
      <w:start w:val="8"/>
    </w:lvl>
  </w:abstractNum>
  <w:abstractNum w:abstractNumId="10">
    <w:nsid w:val="5577F8E1"/>
    <w:multiLevelType w:val="hybridMultilevel"/>
    <w:lvl w:ilvl="0">
      <w:lvlJc w:val="left"/>
      <w:lvlText w:val="%1."/>
      <w:numFmt w:val="decimal"/>
      <w:start w:val="9"/>
    </w:lvl>
  </w:abstractNum>
  <w:abstractNum w:abstractNumId="11">
    <w:nsid w:val="440BADFC"/>
    <w:multiLevelType w:val="hybridMultilevel"/>
    <w:lvl w:ilvl="0">
      <w:lvlJc w:val="left"/>
      <w:lvlText w:val="%1."/>
      <w:numFmt w:val="decimal"/>
      <w:start w:val="10"/>
    </w:lvl>
  </w:abstractNum>
  <w:abstractNum w:abstractNumId="12">
    <w:nsid w:val="5072367"/>
    <w:multiLevelType w:val="hybridMultilevel"/>
    <w:lvl w:ilvl="0">
      <w:lvlJc w:val="left"/>
      <w:lvlText w:val="%1."/>
      <w:numFmt w:val="decimal"/>
      <w:start w:val="11"/>
    </w:lvl>
  </w:abstractNum>
  <w:abstractNum w:abstractNumId="13">
    <w:nsid w:val="3804823E"/>
    <w:multiLevelType w:val="hybridMultilevel"/>
    <w:lvl w:ilvl="0">
      <w:lvlJc w:val="left"/>
      <w:lvlText w:val="%1."/>
      <w:numFmt w:val="decimal"/>
      <w:start w:val="2"/>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1)"/>
      <w:numFmt w:val="decimal"/>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1)"/>
      <w:numFmt w:val="lowerRoman"/>
      <w:start w:val="3"/>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lvl w:ilvl="1">
      <w:lvlJc w:val="left"/>
      <w:lvlText w:val="%2"/>
      <w:numFmt w:val="decimal"/>
      <w:start w:val="104"/>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34" Type="http://schemas.openxmlformats.org/officeDocument/2006/relationships/hyperlink" Target="https://www.sec.gov/Archives/edgar/data/1845337/000119312524062203/d76476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2024-05-06T15:47:15Z</dcterms:created>
  <dcterms:modified xsi:type="dcterms:W3CDTF">2024-05-06T15:47:15Z</dcterms:modified>
</cp:coreProperties>
</file>