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85725</wp:posOffset>
            </wp:positionV>
            <wp:extent cx="1543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46"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105410</wp:posOffset>
            </wp:positionV>
            <wp:extent cx="1543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4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7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77"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3" w:lineRule="exact"/>
        <w:rPr>
          <w:sz w:val="24"/>
          <w:szCs w:val="24"/>
          <w:color w:val="auto"/>
        </w:rPr>
      </w:pPr>
    </w:p>
    <w:p>
      <w:pPr>
        <w:ind w:left="366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3678555</wp:posOffset>
            </wp:positionH>
            <wp:positionV relativeFrom="paragraph">
              <wp:posOffset>-4445</wp:posOffset>
            </wp:positionV>
            <wp:extent cx="514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5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001-40431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106045</wp:posOffset>
            </wp:positionV>
            <wp:extent cx="1543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DAY ONE BIOPHARMACEUTICALS, INC.</w:t>
      </w:r>
    </w:p>
    <w:p>
      <w:pPr>
        <w:spacing w:after="0" w:line="58" w:lineRule="exact"/>
        <w:rPr>
          <w:sz w:val="24"/>
          <w:szCs w:val="24"/>
          <w:color w:val="auto"/>
        </w:rPr>
      </w:pPr>
    </w:p>
    <w:tbl>
      <w:tblPr>
        <w:tblLayout w:type="fixed"/>
        <w:tblInd w:w="1520" w:type="dxa"/>
        <w:tblCellMar>
          <w:top w:w="0" w:type="dxa"/>
          <w:left w:w="0" w:type="dxa"/>
          <w:bottom w:w="0" w:type="dxa"/>
          <w:right w:w="0" w:type="dxa"/>
        </w:tblCellMar>
      </w:tblPr>
      <w:tr>
        <w:trPr>
          <w:trHeight w:val="210"/>
        </w:trPr>
        <w:tc>
          <w:tcPr>
            <w:tcW w:w="6180" w:type="dxa"/>
            <w:vAlign w:val="bottom"/>
            <w:gridSpan w:val="3"/>
          </w:tcPr>
          <w:p>
            <w:pPr>
              <w:jc w:val="center"/>
              <w:ind w:left="1905"/>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1220" w:type="dxa"/>
            <w:vAlign w:val="bottom"/>
          </w:tcPr>
          <w:p>
            <w:pPr>
              <w:spacing w:after="0"/>
              <w:rPr>
                <w:sz w:val="18"/>
                <w:szCs w:val="18"/>
                <w:color w:val="auto"/>
              </w:rPr>
            </w:pPr>
          </w:p>
        </w:tc>
      </w:tr>
      <w:tr>
        <w:trPr>
          <w:trHeight w:val="123"/>
        </w:trPr>
        <w:tc>
          <w:tcPr>
            <w:tcW w:w="2880" w:type="dxa"/>
            <w:vAlign w:val="bottom"/>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366"/>
        </w:trPr>
        <w:tc>
          <w:tcPr>
            <w:tcW w:w="6180" w:type="dxa"/>
            <w:vAlign w:val="bottom"/>
            <w:gridSpan w:val="3"/>
          </w:tcPr>
          <w:p>
            <w:pPr>
              <w:jc w:val="center"/>
              <w:ind w:right="3600"/>
              <w:spacing w:after="0"/>
              <w:rPr>
                <w:sz w:val="20"/>
                <w:szCs w:val="20"/>
                <w:color w:val="auto"/>
              </w:rPr>
            </w:pPr>
            <w:r>
              <w:rPr>
                <w:rFonts w:ascii="Arial" w:cs="Arial" w:eastAsia="Arial" w:hAnsi="Arial"/>
                <w:sz w:val="16"/>
                <w:szCs w:val="16"/>
                <w:b w:val="1"/>
                <w:bCs w:val="1"/>
                <w:color w:val="auto"/>
                <w:w w:val="93"/>
              </w:rPr>
              <w:t>Delaware</w:t>
            </w:r>
          </w:p>
        </w:tc>
        <w:tc>
          <w:tcPr>
            <w:tcW w:w="1220" w:type="dxa"/>
            <w:vAlign w:val="bottom"/>
          </w:tcPr>
          <w:p>
            <w:pPr>
              <w:jc w:val="right"/>
              <w:ind w:right="30"/>
              <w:spacing w:after="0"/>
              <w:rPr>
                <w:sz w:val="20"/>
                <w:szCs w:val="20"/>
                <w:color w:val="auto"/>
              </w:rPr>
            </w:pPr>
            <w:r>
              <w:rPr>
                <w:rFonts w:ascii="Arial" w:cs="Arial" w:eastAsia="Arial" w:hAnsi="Arial"/>
                <w:sz w:val="16"/>
                <w:szCs w:val="16"/>
                <w:b w:val="1"/>
                <w:bCs w:val="1"/>
                <w:color w:val="auto"/>
              </w:rPr>
              <w:t>83-2415215</w:t>
            </w:r>
          </w:p>
        </w:tc>
      </w:tr>
      <w:tr>
        <w:trPr>
          <w:trHeight w:val="150"/>
        </w:trPr>
        <w:tc>
          <w:tcPr>
            <w:tcW w:w="6180" w:type="dxa"/>
            <w:vAlign w:val="bottom"/>
            <w:gridSpan w:val="3"/>
          </w:tcPr>
          <w:p>
            <w:pPr>
              <w:jc w:val="center"/>
              <w:ind w:right="3600"/>
              <w:spacing w:after="0"/>
              <w:rPr>
                <w:sz w:val="20"/>
                <w:szCs w:val="20"/>
                <w:color w:val="auto"/>
              </w:rPr>
            </w:pPr>
            <w:r>
              <w:rPr>
                <w:rFonts w:ascii="Arial" w:cs="Arial" w:eastAsia="Arial" w:hAnsi="Arial"/>
                <w:sz w:val="13"/>
                <w:szCs w:val="13"/>
                <w:b w:val="1"/>
                <w:bCs w:val="1"/>
                <w:color w:val="auto"/>
                <w:w w:val="88"/>
              </w:rPr>
              <w:t>(State or other jurisdiction of</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6180" w:type="dxa"/>
            <w:vAlign w:val="bottom"/>
            <w:gridSpan w:val="3"/>
          </w:tcPr>
          <w:p>
            <w:pPr>
              <w:jc w:val="center"/>
              <w:ind w:right="3580"/>
              <w:spacing w:after="0"/>
              <w:rPr>
                <w:sz w:val="20"/>
                <w:szCs w:val="20"/>
                <w:color w:val="auto"/>
              </w:rPr>
            </w:pPr>
            <w:r>
              <w:rPr>
                <w:rFonts w:ascii="Arial" w:cs="Arial" w:eastAsia="Arial" w:hAnsi="Arial"/>
                <w:sz w:val="13"/>
                <w:szCs w:val="13"/>
                <w:b w:val="1"/>
                <w:bCs w:val="1"/>
                <w:color w:val="auto"/>
                <w:w w:val="88"/>
              </w:rPr>
              <w:t>incorporation or organization)</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89"/>
              </w:rPr>
              <w:t>Identification No.)</w:t>
            </w:r>
          </w:p>
        </w:tc>
      </w:tr>
      <w:tr>
        <w:trPr>
          <w:trHeight w:val="434"/>
        </w:trPr>
        <w:tc>
          <w:tcPr>
            <w:tcW w:w="6180" w:type="dxa"/>
            <w:vAlign w:val="bottom"/>
            <w:gridSpan w:val="3"/>
          </w:tcPr>
          <w:p>
            <w:pPr>
              <w:jc w:val="center"/>
              <w:ind w:right="3600"/>
              <w:spacing w:after="0"/>
              <w:rPr>
                <w:sz w:val="20"/>
                <w:szCs w:val="20"/>
                <w:color w:val="auto"/>
              </w:rPr>
            </w:pPr>
            <w:r>
              <w:rPr>
                <w:rFonts w:ascii="Arial" w:cs="Arial" w:eastAsia="Arial" w:hAnsi="Arial"/>
                <w:sz w:val="16"/>
                <w:szCs w:val="16"/>
                <w:b w:val="1"/>
                <w:bCs w:val="1"/>
                <w:color w:val="auto"/>
                <w:w w:val="92"/>
              </w:rPr>
              <w:t>2000 Sierra Point Parkway, Suite 501</w:t>
            </w:r>
          </w:p>
        </w:tc>
        <w:tc>
          <w:tcPr>
            <w:tcW w:w="1220" w:type="dxa"/>
            <w:vAlign w:val="bottom"/>
          </w:tcPr>
          <w:p>
            <w:pPr>
              <w:jc w:val="right"/>
              <w:ind w:right="210"/>
              <w:spacing w:after="0"/>
              <w:rPr>
                <w:sz w:val="20"/>
                <w:szCs w:val="20"/>
                <w:color w:val="auto"/>
              </w:rPr>
            </w:pPr>
            <w:r>
              <w:rPr>
                <w:rFonts w:ascii="Arial" w:cs="Arial" w:eastAsia="Arial" w:hAnsi="Arial"/>
                <w:sz w:val="16"/>
                <w:szCs w:val="16"/>
                <w:b w:val="1"/>
                <w:bCs w:val="1"/>
                <w:color w:val="auto"/>
              </w:rPr>
              <w:t>94005</w:t>
            </w:r>
          </w:p>
        </w:tc>
      </w:tr>
      <w:tr>
        <w:trPr>
          <w:trHeight w:val="210"/>
        </w:trPr>
        <w:tc>
          <w:tcPr>
            <w:tcW w:w="6180" w:type="dxa"/>
            <w:vAlign w:val="bottom"/>
            <w:gridSpan w:val="3"/>
          </w:tcPr>
          <w:p>
            <w:pPr>
              <w:jc w:val="center"/>
              <w:ind w:right="3600"/>
              <w:spacing w:after="0"/>
              <w:rPr>
                <w:sz w:val="20"/>
                <w:szCs w:val="20"/>
                <w:color w:val="auto"/>
              </w:rPr>
            </w:pPr>
            <w:r>
              <w:rPr>
                <w:rFonts w:ascii="Arial" w:cs="Arial" w:eastAsia="Arial" w:hAnsi="Arial"/>
                <w:sz w:val="16"/>
                <w:szCs w:val="16"/>
                <w:b w:val="1"/>
                <w:bCs w:val="1"/>
                <w:color w:val="auto"/>
                <w:w w:val="93"/>
              </w:rPr>
              <w:t>Brisbane, CA</w:t>
            </w:r>
          </w:p>
        </w:tc>
        <w:tc>
          <w:tcPr>
            <w:tcW w:w="1220" w:type="dxa"/>
            <w:vAlign w:val="bottom"/>
          </w:tcPr>
          <w:p>
            <w:pPr>
              <w:spacing w:after="0"/>
              <w:rPr>
                <w:sz w:val="18"/>
                <w:szCs w:val="18"/>
                <w:color w:val="auto"/>
              </w:rPr>
            </w:pPr>
          </w:p>
        </w:tc>
      </w:tr>
      <w:tr>
        <w:trPr>
          <w:trHeight w:val="181"/>
        </w:trPr>
        <w:tc>
          <w:tcPr>
            <w:tcW w:w="6180" w:type="dxa"/>
            <w:vAlign w:val="bottom"/>
            <w:gridSpan w:val="3"/>
          </w:tcPr>
          <w:p>
            <w:pPr>
              <w:jc w:val="center"/>
              <w:ind w:right="358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90"/>
              </w:rPr>
              <w:t>(Zip Code)</w:t>
            </w:r>
          </w:p>
        </w:tc>
      </w:tr>
      <w:tr>
        <w:trPr>
          <w:trHeight w:val="203"/>
        </w:trPr>
        <w:tc>
          <w:tcPr>
            <w:tcW w:w="5320" w:type="dxa"/>
            <w:vAlign w:val="bottom"/>
            <w:gridSpan w:val="2"/>
          </w:tcPr>
          <w:p>
            <w:pPr>
              <w:jc w:val="center"/>
              <w:ind w:left="2825"/>
              <w:spacing w:after="0"/>
              <w:rPr>
                <w:sz w:val="20"/>
                <w:szCs w:val="20"/>
                <w:color w:val="auto"/>
              </w:rPr>
            </w:pPr>
            <w:r>
              <w:rPr>
                <w:rFonts w:ascii="Arial" w:cs="Arial" w:eastAsia="Arial" w:hAnsi="Arial"/>
                <w:sz w:val="16"/>
                <w:szCs w:val="16"/>
                <w:b w:val="1"/>
                <w:bCs w:val="1"/>
                <w:color w:val="auto"/>
                <w:w w:val="93"/>
              </w:rPr>
              <w:t>(650) 484-0899</w:t>
            </w: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180" w:type="dxa"/>
            <w:vAlign w:val="bottom"/>
            <w:gridSpan w:val="3"/>
          </w:tcPr>
          <w:p>
            <w:pPr>
              <w:jc w:val="center"/>
              <w:ind w:left="1965"/>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220" w:type="dxa"/>
            <w:vAlign w:val="bottom"/>
          </w:tcPr>
          <w:p>
            <w:pPr>
              <w:spacing w:after="0"/>
              <w:rPr>
                <w:sz w:val="18"/>
                <w:szCs w:val="18"/>
                <w:color w:val="auto"/>
              </w:rPr>
            </w:pP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55"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105410</wp:posOffset>
            </wp:positionV>
            <wp:extent cx="1543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9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52" w:lineRule="exact"/>
        <w:rPr>
          <w:sz w:val="24"/>
          <w:szCs w:val="24"/>
          <w:color w:val="auto"/>
        </w:rPr>
      </w:pPr>
    </w:p>
    <w:tbl>
      <w:tblPr>
        <w:tblLayout w:type="fixed"/>
        <w:tblInd w:w="20" w:type="dxa"/>
        <w:tblCellMar>
          <w:top w:w="0" w:type="dxa"/>
          <w:left w:w="0" w:type="dxa"/>
          <w:bottom w:w="0" w:type="dxa"/>
          <w:right w:w="0" w:type="dxa"/>
        </w:tblCellMar>
      </w:tblPr>
      <w:tr>
        <w:trPr>
          <w:trHeight w:val="16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1360"/>
              <w:spacing w:after="0"/>
              <w:rPr>
                <w:sz w:val="20"/>
                <w:szCs w:val="20"/>
                <w:color w:val="auto"/>
              </w:rPr>
            </w:pPr>
            <w:r>
              <w:rPr>
                <w:rFonts w:ascii="Arial" w:cs="Arial" w:eastAsia="Arial" w:hAnsi="Arial"/>
                <w:sz w:val="13"/>
                <w:szCs w:val="13"/>
                <w:b w:val="1"/>
                <w:bCs w:val="1"/>
                <w:color w:val="auto"/>
              </w:rPr>
              <w:t>Trading Symbol</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379"/>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$0.0001 per share</w:t>
            </w:r>
          </w:p>
        </w:tc>
        <w:tc>
          <w:tcPr>
            <w:tcW w:w="160" w:type="dxa"/>
            <w:vAlign w:val="bottom"/>
          </w:tcPr>
          <w:p>
            <w:pPr>
              <w:spacing w:after="0"/>
              <w:rPr>
                <w:sz w:val="24"/>
                <w:szCs w:val="24"/>
                <w:color w:val="auto"/>
              </w:rPr>
            </w:pPr>
          </w:p>
        </w:tc>
        <w:tc>
          <w:tcPr>
            <w:tcW w:w="3580" w:type="dxa"/>
            <w:vAlign w:val="bottom"/>
          </w:tcPr>
          <w:p>
            <w:pPr>
              <w:ind w:left="1480"/>
              <w:spacing w:after="0"/>
              <w:rPr>
                <w:sz w:val="20"/>
                <w:szCs w:val="20"/>
                <w:color w:val="auto"/>
              </w:rPr>
            </w:pPr>
            <w:r>
              <w:rPr>
                <w:rFonts w:ascii="Arial" w:cs="Arial" w:eastAsia="Arial" w:hAnsi="Arial"/>
                <w:sz w:val="16"/>
                <w:szCs w:val="16"/>
                <w:b w:val="1"/>
                <w:bCs w:val="1"/>
                <w:color w:val="auto"/>
              </w:rPr>
              <w:t>DAWN</w:t>
            </w:r>
          </w:p>
        </w:tc>
        <w:tc>
          <w:tcPr>
            <w:tcW w:w="160" w:type="dxa"/>
            <w:vAlign w:val="bottom"/>
          </w:tcPr>
          <w:p>
            <w:pPr>
              <w:spacing w:after="0"/>
              <w:rPr>
                <w:sz w:val="24"/>
                <w:szCs w:val="24"/>
                <w:color w:val="auto"/>
              </w:rPr>
            </w:pPr>
          </w:p>
        </w:tc>
        <w:tc>
          <w:tcPr>
            <w:tcW w:w="3580" w:type="dxa"/>
            <w:vAlign w:val="bottom"/>
          </w:tcPr>
          <w:p>
            <w:pPr>
              <w:ind w:left="720"/>
              <w:spacing w:after="0"/>
              <w:rPr>
                <w:sz w:val="20"/>
                <w:szCs w:val="20"/>
                <w:color w:val="auto"/>
              </w:rPr>
            </w:pPr>
            <w:r>
              <w:rPr>
                <w:rFonts w:ascii="Arial" w:cs="Arial" w:eastAsia="Arial" w:hAnsi="Arial"/>
                <w:sz w:val="16"/>
                <w:szCs w:val="16"/>
                <w:b w:val="1"/>
                <w:bCs w:val="1"/>
                <w:color w:val="auto"/>
              </w:rPr>
              <w:t>Nasdaq Global Select Market</w:t>
            </w:r>
          </w:p>
        </w:tc>
      </w:tr>
    </w:tbl>
    <w:p>
      <w:pPr>
        <w:spacing w:after="0" w:line="77"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5"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29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17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300" w:type="dxa"/>
            <w:vAlign w:val="bottom"/>
          </w:tcPr>
          <w:p>
            <w:pPr>
              <w:ind w:left="29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8"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660"/>
        <w:spacing w:after="0" w:line="24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 2023, the registrant had 87,042,933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This Quarterly Report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our product candidates, potential therapeutic benefits and economic value of our product candidates, use of net proceeds from our public offerings, our ability to maintain and recognize the benefits of certain designations received by product candidates, the timing and results of nonclinical studies and clinical trials, commercial collaboration with third parties, and our ability to recognize milestone and royalty payments from commercialization agreements, the potential impact of global business or macroeconomic conditions, including as a result of inflation, rising interest rates, cybersecurity incidents, instability in the global banking system, government shutdowns, uncertainty with respect to the federal budget and global regional conflicts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other similar expressions that convey uncertainty of future events or outcomes are intended to identify forward-looking statements, although not all forward-looking statements contain these identifying words.</w:t>
      </w:r>
    </w:p>
    <w:p>
      <w:pPr>
        <w:spacing w:after="0" w:line="18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Part II,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Unless the context indicates otherwise, as used in this Quarterly Report on Form 10-Q, the terms “Day One,” “the Company,” “we,” “us,” and “our” refer to Day One Biopharmaceuticals, Inc., a Delaware corporation, and its consolidated subsidiaries taken as a whole, unless otherwise noted. “Day One” and all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40" w:type="dxa"/>
            <w:vAlign w:val="bottom"/>
            <w:gridSpan w:val="6"/>
          </w:tcPr>
          <w:p>
            <w:pPr>
              <w:ind w:left="60"/>
              <w:spacing w:after="0"/>
              <w:rPr>
                <w:sz w:val="20"/>
                <w:szCs w:val="20"/>
                <w:color w:val="auto"/>
              </w:rPr>
            </w:pPr>
            <w:r>
              <w:rPr>
                <w:rFonts w:ascii="Arial" w:cs="Arial" w:eastAsia="Arial" w:hAnsi="Arial"/>
                <w:sz w:val="18"/>
                <w:szCs w:val="18"/>
                <w:b w:val="1"/>
                <w:bCs w:val="1"/>
                <w:color w:val="auto"/>
              </w:rPr>
              <w:t>Table of Contents</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3"/>
        </w:trPr>
        <w:tc>
          <w:tcPr>
            <w:tcW w:w="11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PART I.</w:t>
            </w:r>
          </w:p>
        </w:tc>
        <w:tc>
          <w:tcPr>
            <w:tcW w:w="8380" w:type="dxa"/>
            <w:vAlign w:val="bottom"/>
            <w:gridSpan w:val="16"/>
          </w:tcPr>
          <w:p>
            <w:pPr>
              <w:spacing w:after="0" w:line="202" w:lineRule="exact"/>
              <w:rPr>
                <w:sz w:val="20"/>
                <w:szCs w:val="20"/>
                <w:color w:val="auto"/>
              </w:rPr>
            </w:pPr>
            <w:r>
              <w:rPr>
                <w:rFonts w:ascii="Arial" w:cs="Arial" w:eastAsia="Arial" w:hAnsi="Arial"/>
                <w:sz w:val="18"/>
                <w:szCs w:val="18"/>
                <w:color w:val="0000FF"/>
              </w:rPr>
              <w:t>FINANCIAL INFORMATION</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8380" w:type="dxa"/>
            <w:vAlign w:val="bottom"/>
            <w:gridSpan w:val="16"/>
          </w:tcPr>
          <w:p>
            <w:pPr>
              <w:spacing w:after="0"/>
              <w:rPr>
                <w:sz w:val="20"/>
                <w:szCs w:val="20"/>
                <w:color w:val="auto"/>
              </w:rPr>
            </w:pPr>
            <w:r>
              <w:rPr>
                <w:rFonts w:ascii="Arial" w:cs="Arial" w:eastAsia="Arial" w:hAnsi="Arial"/>
                <w:sz w:val="18"/>
                <w:szCs w:val="18"/>
                <w:color w:val="0000FF"/>
              </w:rPr>
              <w:t>Interim Condensed Consolidated Financial Statements (Unaudited)</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Operations</w:t>
            </w: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EE"/>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1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w:t>
            </w: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16"/>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38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7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38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7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38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17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1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vMerge w:val="continue"/>
          </w:tcPr>
          <w:p>
            <w:pPr>
              <w:spacing w:after="0"/>
              <w:rPr>
                <w:sz w:val="20"/>
                <w:szCs w:val="20"/>
                <w:color w:val="auto"/>
              </w:rPr>
            </w:pPr>
          </w:p>
        </w:tc>
        <w:tc>
          <w:tcPr>
            <w:tcW w:w="838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838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1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838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1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38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17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4820" w:type="dxa"/>
            <w:vAlign w:val="bottom"/>
            <w:gridSpan w:val="8"/>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380" w:type="dxa"/>
            <w:vAlign w:val="bottom"/>
            <w:gridSpan w:val="16"/>
          </w:tcPr>
          <w:p>
            <w:pPr>
              <w:spacing w:after="0"/>
              <w:rPr>
                <w:sz w:val="20"/>
                <w:szCs w:val="20"/>
                <w:color w:val="auto"/>
              </w:rPr>
            </w:pPr>
            <w:r>
              <w:rPr>
                <w:rFonts w:ascii="Arial" w:cs="Arial" w:eastAsia="Arial" w:hAnsi="Arial"/>
                <w:sz w:val="18"/>
                <w:szCs w:val="18"/>
                <w:color w:val="0000FF"/>
              </w:rPr>
              <w:t>Defaults Upon Senior Securities</w:t>
            </w:r>
          </w:p>
        </w:tc>
        <w:tc>
          <w:tcPr>
            <w:tcW w:w="17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040" w:type="dxa"/>
            <w:vAlign w:val="bottom"/>
            <w:gridSpan w:val="9"/>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380" w:type="dxa"/>
            <w:vAlign w:val="bottom"/>
            <w:gridSpan w:val="16"/>
          </w:tcPr>
          <w:p>
            <w:pPr>
              <w:spacing w:after="0"/>
              <w:rPr>
                <w:sz w:val="20"/>
                <w:szCs w:val="20"/>
                <w:color w:val="auto"/>
              </w:rPr>
            </w:pPr>
            <w:r>
              <w:rPr>
                <w:rFonts w:ascii="Arial" w:cs="Arial" w:eastAsia="Arial" w:hAnsi="Arial"/>
                <w:sz w:val="18"/>
                <w:szCs w:val="18"/>
                <w:color w:val="0000FF"/>
              </w:rPr>
              <w:t>Mine Safety Disclosures</w:t>
            </w:r>
          </w:p>
        </w:tc>
        <w:tc>
          <w:tcPr>
            <w:tcW w:w="17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600" w:type="dxa"/>
            <w:vAlign w:val="bottom"/>
            <w:gridSpan w:val="1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838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7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838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17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112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840" w:type="dxa"/>
            <w:vAlign w:val="bottom"/>
            <w:gridSpan w:val="13"/>
          </w:tcPr>
          <w:p>
            <w:pPr>
              <w:ind w:left="4460"/>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241,179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85,262</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164,359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257,007</w:t>
            </w:r>
          </w:p>
        </w:tc>
        <w:tc>
          <w:tcPr>
            <w:tcW w:w="100" w:type="dxa"/>
            <w:vAlign w:val="bottom"/>
          </w:tcPr>
          <w:p>
            <w:pPr>
              <w:spacing w:after="0"/>
              <w:rPr>
                <w:sz w:val="19"/>
                <w:szCs w:val="19"/>
                <w:color w:val="auto"/>
              </w:rPr>
            </w:pPr>
          </w:p>
        </w:tc>
      </w:tr>
      <w:tr>
        <w:trPr>
          <w:trHeight w:val="233"/>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7,753</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20" w:type="dxa"/>
            <w:vAlign w:val="bottom"/>
          </w:tcPr>
          <w:p>
            <w:pPr>
              <w:ind w:left="3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413,291</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347,874</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
              <w:spacing w:after="0"/>
              <w:rPr>
                <w:sz w:val="20"/>
                <w:szCs w:val="20"/>
                <w:color w:val="auto"/>
              </w:rPr>
            </w:pPr>
            <w:r>
              <w:rPr>
                <w:rFonts w:ascii="Arial" w:cs="Arial" w:eastAsia="Arial" w:hAnsi="Arial"/>
                <w:sz w:val="16"/>
                <w:szCs w:val="16"/>
                <w:color w:val="auto"/>
              </w:rPr>
              <w:t>Operating lease right-of-use asset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9"/>
                <w:szCs w:val="19"/>
                <w:color w:val="auto"/>
              </w:rPr>
            </w:pPr>
          </w:p>
        </w:tc>
      </w:tr>
      <w:tr>
        <w:trPr>
          <w:trHeight w:val="23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Deposits and other long-term assets</w:t>
            </w:r>
          </w:p>
        </w:tc>
        <w:tc>
          <w:tcPr>
            <w:tcW w:w="24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20" w:type="dxa"/>
            <w:vAlign w:val="bottom"/>
          </w:tcPr>
          <w:p>
            <w:pPr>
              <w:ind w:left="3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414,179</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349,062</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3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20,647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15,950</w:t>
            </w:r>
          </w:p>
        </w:tc>
        <w:tc>
          <w:tcPr>
            <w:tcW w:w="100" w:type="dxa"/>
            <w:vAlign w:val="bottom"/>
          </w:tcPr>
          <w:p>
            <w:pPr>
              <w:spacing w:after="0"/>
              <w:rPr>
                <w:sz w:val="19"/>
                <w:szCs w:val="19"/>
                <w:color w:val="auto"/>
              </w:rPr>
            </w:pPr>
          </w:p>
        </w:tc>
      </w:tr>
      <w:tr>
        <w:trPr>
          <w:trHeight w:val="233"/>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Current portion of operating lease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20" w:type="dxa"/>
            <w:vAlign w:val="bottom"/>
          </w:tcPr>
          <w:p>
            <w:pPr>
              <w:ind w:left="3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24,475</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16,615</w:t>
            </w:r>
          </w:p>
        </w:tc>
        <w:tc>
          <w:tcPr>
            <w:tcW w:w="100" w:type="dxa"/>
            <w:vAlign w:val="bottom"/>
          </w:tcPr>
          <w:p>
            <w:pPr>
              <w:spacing w:after="0"/>
              <w:rPr>
                <w:sz w:val="19"/>
                <w:szCs w:val="19"/>
                <w:color w:val="auto"/>
              </w:rPr>
            </w:pPr>
          </w:p>
        </w:tc>
      </w:tr>
      <w:tr>
        <w:trPr>
          <w:trHeight w:val="22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Long-term portion of lease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320" w:type="dxa"/>
            <w:vAlign w:val="bottom"/>
          </w:tcPr>
          <w:p>
            <w:pPr>
              <w:ind w:left="30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24,552</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17,023</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6)</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3"/>
              </w:rPr>
              <w:t>Common stock, $0.001 par value; 500,000,000 shares authorized as of September 30, 2023 and December</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31, 2022; 87,042,933 and 73,458,176 shares issued and outstanding as of September 30, 2023 and</w:t>
            </w:r>
          </w:p>
        </w:tc>
        <w:tc>
          <w:tcPr>
            <w:tcW w:w="2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December 31, 2022, respectively</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Additional paid-in-capital</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793,699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601,771</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(7 )</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(71 )</w:t>
            </w:r>
          </w:p>
        </w:tc>
      </w:tr>
      <w:tr>
        <w:trPr>
          <w:trHeight w:val="223"/>
        </w:trPr>
        <w:tc>
          <w:tcPr>
            <w:tcW w:w="732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6"/>
                <w:szCs w:val="16"/>
                <w:color w:val="auto"/>
              </w:rPr>
              <w:t>(404,074 )</w:t>
            </w:r>
          </w:p>
        </w:tc>
        <w:tc>
          <w:tcPr>
            <w:tcW w:w="24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(269,668 )</w:t>
            </w:r>
          </w:p>
        </w:tc>
      </w:tr>
      <w:tr>
        <w:trPr>
          <w:trHeight w:val="223"/>
        </w:trPr>
        <w:tc>
          <w:tcPr>
            <w:tcW w:w="73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389,627</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332,039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320" w:type="dxa"/>
            <w:vAlign w:val="bottom"/>
          </w:tcPr>
          <w:p>
            <w:pPr>
              <w:ind w:left="3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414,179</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349,062</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-3445510</wp:posOffset>
            </wp:positionV>
            <wp:extent cx="7683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-2845435</wp:posOffset>
            </wp:positionV>
            <wp:extent cx="7683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-1936750</wp:posOffset>
            </wp:positionV>
            <wp:extent cx="7683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-1628140</wp:posOffset>
            </wp:positionV>
            <wp:extent cx="7683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-179070</wp:posOffset>
            </wp:positionV>
            <wp:extent cx="7683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33,163</w:t>
            </w:r>
          </w:p>
        </w:tc>
        <w:tc>
          <w:tcPr>
            <w:tcW w:w="26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22,035</w:t>
            </w:r>
          </w:p>
        </w:tc>
        <w:tc>
          <w:tcPr>
            <w:tcW w:w="24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93,173</w:t>
            </w:r>
          </w:p>
        </w:tc>
        <w:tc>
          <w:tcPr>
            <w:tcW w:w="260" w:type="dxa"/>
            <w:vAlign w:val="bottom"/>
          </w:tcPr>
          <w:p>
            <w:pPr>
              <w:spacing w:after="0"/>
              <w:rPr>
                <w:sz w:val="19"/>
                <w:szCs w:val="19"/>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18,275</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17,664</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53,374</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44,568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51,438</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39,699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146,547</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(51,438 )</w:t>
            </w: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(39,699 )</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(146,547 )</w:t>
            </w: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(104,166 )</w:t>
            </w:r>
          </w:p>
        </w:tc>
        <w:tc>
          <w:tcPr>
            <w:tcW w:w="0" w:type="dxa"/>
            <w:vAlign w:val="bottom"/>
          </w:tcPr>
          <w:p>
            <w:pPr>
              <w:spacing w:after="0"/>
              <w:rPr>
                <w:sz w:val="1"/>
                <w:szCs w:val="1"/>
                <w:color w:val="auto"/>
              </w:rPr>
            </w:pPr>
          </w:p>
        </w:tc>
      </w:tr>
      <w:tr>
        <w:trPr>
          <w:trHeight w:val="220"/>
        </w:trPr>
        <w:tc>
          <w:tcPr>
            <w:tcW w:w="55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Investment income, net</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5,291</w:t>
            </w:r>
          </w:p>
        </w:tc>
        <w:tc>
          <w:tcPr>
            <w:tcW w:w="26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1,895</w:t>
            </w: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12,163</w:t>
            </w:r>
          </w:p>
        </w:tc>
        <w:tc>
          <w:tcPr>
            <w:tcW w:w="26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(3 )</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(22 )</w:t>
            </w: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52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52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(46,150 )</w:t>
            </w:r>
          </w:p>
        </w:tc>
        <w:tc>
          <w:tcPr>
            <w:tcW w:w="4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(37,795 )</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(134,406 )</w:t>
            </w:r>
          </w:p>
        </w:tc>
        <w:tc>
          <w:tcPr>
            <w:tcW w:w="4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(102,072 )</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share, basic and diluted</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(0.54 )</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(0.53 )</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(1.73 )</w:t>
            </w: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193"/>
        </w:trPr>
        <w:tc>
          <w:tcPr>
            <w:tcW w:w="55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Weighted-average number of common shares used in computing net loss per</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85,952,501</w:t>
            </w:r>
          </w:p>
        </w:tc>
        <w:tc>
          <w:tcPr>
            <w:tcW w:w="26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7"/>
              </w:rPr>
              <w:t>71,008,993</w:t>
            </w:r>
          </w:p>
        </w:tc>
        <w:tc>
          <w:tcPr>
            <w:tcW w:w="24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77,682,237</w:t>
            </w:r>
          </w:p>
        </w:tc>
        <w:tc>
          <w:tcPr>
            <w:tcW w:w="26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4"/>
              </w:rPr>
              <w:t>63,522,774</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520" w:type="dxa"/>
            <w:vAlign w:val="bottom"/>
          </w:tcPr>
          <w:p>
            <w:pPr>
              <w:ind w:left="20"/>
              <w:spacing w:after="0"/>
              <w:rPr>
                <w:sz w:val="20"/>
                <w:szCs w:val="20"/>
                <w:color w:val="auto"/>
              </w:rPr>
            </w:pPr>
            <w:r>
              <w:rPr>
                <w:rFonts w:ascii="Arial" w:cs="Arial" w:eastAsia="Arial" w:hAnsi="Arial"/>
                <w:sz w:val="16"/>
                <w:szCs w:val="16"/>
                <w:color w:val="auto"/>
              </w:rPr>
              <w:t>share, basic and diluted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-1216660</wp:posOffset>
            </wp:positionV>
            <wp:extent cx="7683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-1216660</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-1216660</wp:posOffset>
            </wp:positionV>
            <wp:extent cx="685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-908050</wp:posOffset>
            </wp:positionV>
            <wp:extent cx="7683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-908050</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-908050</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-607695</wp:posOffset>
            </wp:positionV>
            <wp:extent cx="7683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-607695</wp:posOffset>
            </wp:positionV>
            <wp:extent cx="685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-607695</wp:posOffset>
            </wp:positionV>
            <wp:extent cx="6858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-299720</wp:posOffset>
            </wp:positionV>
            <wp:extent cx="284607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46070" cy="3003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ind w:left="4300"/>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(46,150 )</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(37,795 )</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(134,406 )</w:t>
            </w: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(102,072 )</w:t>
            </w:r>
          </w:p>
        </w:tc>
      </w:tr>
      <w:tr>
        <w:trPr>
          <w:trHeight w:val="220"/>
        </w:trPr>
        <w:tc>
          <w:tcPr>
            <w:tcW w:w="55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Unrealized gain (loss) on available-for-sale securities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(389 )</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(392 )</w:t>
            </w:r>
          </w:p>
        </w:tc>
      </w:tr>
      <w:tr>
        <w:trPr>
          <w:trHeight w:val="23"/>
        </w:trPr>
        <w:tc>
          <w:tcPr>
            <w:tcW w:w="552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6"/>
                <w:szCs w:val="16"/>
                <w:color w:val="auto"/>
              </w:rPr>
              <w:t>Total comprehensive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(46,148 )</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(38,184 )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(134,342 )</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(102,464 )</w:t>
            </w: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-179070</wp:posOffset>
            </wp:positionV>
            <wp:extent cx="7683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-179070</wp:posOffset>
            </wp:positionV>
            <wp:extent cx="6858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-179070</wp:posOffset>
            </wp:positionV>
            <wp:extent cx="6858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2500" w:type="dxa"/>
            <w:vAlign w:val="bottom"/>
            <w:gridSpan w:val="3"/>
            <w:vMerge w:val="restart"/>
          </w:tcPr>
          <w:p>
            <w:pPr>
              <w:jc w:val="right"/>
              <w:ind w:right="482"/>
              <w:spacing w:after="0"/>
              <w:rPr>
                <w:sz w:val="20"/>
                <w:szCs w:val="20"/>
                <w:color w:val="auto"/>
              </w:rPr>
            </w:pPr>
            <w:r>
              <w:rPr>
                <w:rFonts w:ascii="Arial" w:cs="Arial" w:eastAsia="Arial" w:hAnsi="Arial"/>
                <w:sz w:val="16"/>
                <w:szCs w:val="16"/>
                <w:b w:val="1"/>
                <w:bCs w:val="1"/>
                <w:color w:val="auto"/>
              </w:rPr>
              <w:t>Common Shares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250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3"/>
              </w:rPr>
              <w:t>Accumulated</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2"/>
        </w:trPr>
        <w:tc>
          <w:tcPr>
            <w:tcW w:w="2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Paid-In 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73,458,176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2"/>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601,771</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(71 )</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(269,668 )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Issuance of common stock upon</w:t>
            </w: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260" w:type="dxa"/>
            <w:vAlign w:val="bottom"/>
          </w:tcPr>
          <w:p>
            <w:pPr>
              <w:jc w:val="right"/>
              <w:spacing w:after="0"/>
              <w:rPr>
                <w:sz w:val="20"/>
                <w:szCs w:val="20"/>
                <w:color w:val="auto"/>
              </w:rPr>
            </w:pPr>
            <w:r>
              <w:rPr>
                <w:rFonts w:ascii="Arial" w:cs="Arial" w:eastAsia="Arial" w:hAnsi="Arial"/>
                <w:sz w:val="16"/>
                <w:szCs w:val="16"/>
                <w:color w:val="auto"/>
              </w:rPr>
              <w:t>75,184</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release of restricted stock units</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60,673</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600" w:type="dxa"/>
            <w:vAlign w:val="bottom"/>
          </w:tcPr>
          <w:p>
            <w:pPr>
              <w:ind w:left="20"/>
              <w:spacing w:after="0"/>
              <w:rPr>
                <w:sz w:val="20"/>
                <w:szCs w:val="20"/>
                <w:color w:val="auto"/>
              </w:rPr>
            </w:pPr>
            <w:r>
              <w:rPr>
                <w:rFonts w:ascii="Arial" w:cs="Arial" w:eastAsia="Arial" w:hAnsi="Arial"/>
                <w:sz w:val="16"/>
                <w:szCs w:val="16"/>
                <w:color w:val="auto"/>
              </w:rPr>
              <w:t>Unvested common stock forfeiture</w:t>
            </w: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(21,400 )</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Share-based compensation expenses</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w w:val="98"/>
              </w:rPr>
              <w:t>Unrealized gain on available-for-sale</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attributable to common</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(42,393 )</w:t>
            </w:r>
          </w:p>
        </w:tc>
        <w:tc>
          <w:tcPr>
            <w:tcW w:w="12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(42,393 )</w:t>
            </w:r>
          </w:p>
        </w:tc>
        <w:tc>
          <w:tcPr>
            <w:tcW w:w="0" w:type="dxa"/>
            <w:vAlign w:val="bottom"/>
          </w:tcPr>
          <w:p>
            <w:pPr>
              <w:spacing w:after="0"/>
              <w:rPr>
                <w:sz w:val="1"/>
                <w:szCs w:val="1"/>
                <w:color w:val="auto"/>
              </w:rPr>
            </w:pPr>
          </w:p>
        </w:tc>
      </w:tr>
      <w:tr>
        <w:trPr>
          <w:trHeight w:val="209"/>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w:t>
            </w:r>
          </w:p>
        </w:tc>
        <w:tc>
          <w:tcPr>
            <w:tcW w:w="1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1260" w:type="dxa"/>
            <w:vAlign w:val="bottom"/>
          </w:tcPr>
          <w:p>
            <w:pPr>
              <w:jc w:val="right"/>
              <w:spacing w:after="0"/>
              <w:rPr>
                <w:sz w:val="20"/>
                <w:szCs w:val="20"/>
                <w:color w:val="auto"/>
              </w:rPr>
            </w:pPr>
            <w:r>
              <w:rPr>
                <w:rFonts w:ascii="Arial" w:cs="Arial" w:eastAsia="Arial" w:hAnsi="Arial"/>
                <w:sz w:val="16"/>
                <w:szCs w:val="16"/>
                <w:color w:val="auto"/>
              </w:rPr>
              <w:t>73,572,633</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612,402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(312,061 )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Issuance of common stock pursuant</w:t>
            </w: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to follow-on offering, net of issuance</w:t>
            </w: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costs of $10,827</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13,269,231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161,407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Issuance of common stock upon</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260" w:type="dxa"/>
            <w:vAlign w:val="bottom"/>
          </w:tcPr>
          <w:p>
            <w:pPr>
              <w:jc w:val="right"/>
              <w:spacing w:after="0"/>
              <w:rPr>
                <w:sz w:val="20"/>
                <w:szCs w:val="20"/>
                <w:color w:val="auto"/>
              </w:rPr>
            </w:pPr>
            <w:r>
              <w:rPr>
                <w:rFonts w:ascii="Arial" w:cs="Arial" w:eastAsia="Arial" w:hAnsi="Arial"/>
                <w:sz w:val="16"/>
                <w:szCs w:val="16"/>
                <w:color w:val="auto"/>
              </w:rPr>
              <w:t>2,704</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release of restricted stock units</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69,020</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w w:val="99"/>
              </w:rPr>
              <w:t>Issuance of common stock pursuant</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to Employee Stock Purchase Plan</w:t>
            </w:r>
          </w:p>
        </w:tc>
        <w:tc>
          <w:tcPr>
            <w:tcW w:w="1260" w:type="dxa"/>
            <w:vAlign w:val="bottom"/>
          </w:tcPr>
          <w:p>
            <w:pPr>
              <w:jc w:val="right"/>
              <w:spacing w:after="0"/>
              <w:rPr>
                <w:sz w:val="20"/>
                <w:szCs w:val="20"/>
                <w:color w:val="auto"/>
              </w:rPr>
            </w:pPr>
            <w:r>
              <w:rPr>
                <w:rFonts w:ascii="Arial" w:cs="Arial" w:eastAsia="Arial" w:hAnsi="Arial"/>
                <w:sz w:val="16"/>
                <w:szCs w:val="16"/>
                <w:color w:val="auto"/>
              </w:rPr>
              <w:t>57,740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Share-based compensation expenses</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9,477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w w:val="99"/>
              </w:rPr>
              <w:t>Unrealized loss on available-for-sale</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attributable to common</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(45,863 )</w:t>
            </w:r>
          </w:p>
        </w:tc>
        <w:tc>
          <w:tcPr>
            <w:tcW w:w="12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(45,863 )</w:t>
            </w:r>
          </w:p>
        </w:tc>
        <w:tc>
          <w:tcPr>
            <w:tcW w:w="0" w:type="dxa"/>
            <w:vAlign w:val="bottom"/>
          </w:tcPr>
          <w:p>
            <w:pPr>
              <w:spacing w:after="0"/>
              <w:rPr>
                <w:sz w:val="1"/>
                <w:szCs w:val="1"/>
                <w:color w:val="auto"/>
              </w:rPr>
            </w:pPr>
          </w:p>
        </w:tc>
      </w:tr>
      <w:tr>
        <w:trPr>
          <w:trHeight w:val="209"/>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w:t>
            </w:r>
          </w:p>
        </w:tc>
        <w:tc>
          <w:tcPr>
            <w:tcW w:w="1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260" w:type="dxa"/>
            <w:vAlign w:val="bottom"/>
          </w:tcPr>
          <w:p>
            <w:pPr>
              <w:jc w:val="right"/>
              <w:spacing w:after="0"/>
              <w:rPr>
                <w:sz w:val="20"/>
                <w:szCs w:val="20"/>
                <w:color w:val="auto"/>
              </w:rPr>
            </w:pPr>
            <w:r>
              <w:rPr>
                <w:rFonts w:ascii="Arial" w:cs="Arial" w:eastAsia="Arial" w:hAnsi="Arial"/>
                <w:sz w:val="16"/>
                <w:szCs w:val="16"/>
                <w:color w:val="auto"/>
              </w:rPr>
              <w:t>86,971,328</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783,978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(357,924 )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426,054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w:t>
            </w: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Issuance of common stock upon</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release of restricted stock units</w:t>
            </w:r>
          </w:p>
        </w:tc>
        <w:tc>
          <w:tcPr>
            <w:tcW w:w="1260" w:type="dxa"/>
            <w:vAlign w:val="bottom"/>
          </w:tcPr>
          <w:p>
            <w:pPr>
              <w:jc w:val="right"/>
              <w:spacing w:after="0"/>
              <w:rPr>
                <w:sz w:val="20"/>
                <w:szCs w:val="20"/>
                <w:color w:val="auto"/>
              </w:rPr>
            </w:pPr>
            <w:r>
              <w:rPr>
                <w:rFonts w:ascii="Arial" w:cs="Arial" w:eastAsia="Arial" w:hAnsi="Arial"/>
                <w:sz w:val="16"/>
                <w:szCs w:val="16"/>
                <w:color w:val="auto"/>
              </w:rPr>
              <w:t>61,034</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Share-based compensation expenses</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9,606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w w:val="98"/>
              </w:rPr>
              <w:t>Unrealized gain on available-for-sale</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attributable to common</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(46,150 )</w:t>
            </w:r>
          </w:p>
        </w:tc>
        <w:tc>
          <w:tcPr>
            <w:tcW w:w="12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(46,150 )</w:t>
            </w:r>
          </w:p>
        </w:tc>
        <w:tc>
          <w:tcPr>
            <w:tcW w:w="0" w:type="dxa"/>
            <w:vAlign w:val="bottom"/>
          </w:tcPr>
          <w:p>
            <w:pPr>
              <w:spacing w:after="0"/>
              <w:rPr>
                <w:sz w:val="1"/>
                <w:szCs w:val="1"/>
                <w:color w:val="auto"/>
              </w:rPr>
            </w:pPr>
          </w:p>
        </w:tc>
      </w:tr>
      <w:tr>
        <w:trPr>
          <w:trHeight w:val="209"/>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w:t>
            </w:r>
          </w:p>
        </w:tc>
        <w:tc>
          <w:tcPr>
            <w:tcW w:w="1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1260" w:type="dxa"/>
            <w:vAlign w:val="bottom"/>
          </w:tcPr>
          <w:p>
            <w:pPr>
              <w:jc w:val="right"/>
              <w:spacing w:after="0"/>
              <w:rPr>
                <w:sz w:val="20"/>
                <w:szCs w:val="20"/>
                <w:color w:val="auto"/>
              </w:rPr>
            </w:pPr>
            <w:r>
              <w:rPr>
                <w:rFonts w:ascii="Arial" w:cs="Arial" w:eastAsia="Arial" w:hAnsi="Arial"/>
                <w:sz w:val="16"/>
                <w:szCs w:val="16"/>
                <w:color w:val="auto"/>
              </w:rPr>
              <w:t>87,042,933</w:t>
            </w:r>
          </w:p>
        </w:tc>
        <w:tc>
          <w:tcPr>
            <w:tcW w:w="260" w:type="dxa"/>
            <w:vAlign w:val="bottom"/>
          </w:tcPr>
          <w:p>
            <w:pPr>
              <w:spacing w:after="0"/>
              <w:rPr>
                <w:sz w:val="19"/>
                <w:szCs w:val="19"/>
                <w:color w:val="auto"/>
              </w:rPr>
            </w:pPr>
          </w:p>
        </w:tc>
        <w:tc>
          <w:tcPr>
            <w:tcW w:w="980" w:type="dxa"/>
            <w:vAlign w:val="bottom"/>
          </w:tcPr>
          <w:p>
            <w:pPr>
              <w:jc w:val="right"/>
              <w:ind w:right="822"/>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793,699</w:t>
            </w:r>
          </w:p>
        </w:tc>
        <w:tc>
          <w:tcPr>
            <w:tcW w:w="2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(404,074 )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389,627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-5074285</wp:posOffset>
            </wp:positionV>
            <wp:extent cx="76835"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28321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-5074285</wp:posOffset>
            </wp:positionV>
            <wp:extent cx="76835" cy="28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28321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-5074285</wp:posOffset>
            </wp:positionV>
            <wp:extent cx="68580" cy="283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-5074285</wp:posOffset>
            </wp:positionV>
            <wp:extent cx="68580"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-5074285</wp:posOffset>
            </wp:positionV>
            <wp:extent cx="68580"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-5074285</wp:posOffset>
            </wp:positionV>
            <wp:extent cx="68580"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-3685540</wp:posOffset>
            </wp:positionV>
            <wp:extent cx="76835"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-3685540</wp:posOffset>
            </wp:positionV>
            <wp:extent cx="7683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-3685540</wp:posOffset>
            </wp:positionV>
            <wp:extent cx="6858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-3685540</wp:posOffset>
            </wp:positionV>
            <wp:extent cx="6858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-3685540</wp:posOffset>
            </wp:positionV>
            <wp:extent cx="6858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-1593850</wp:posOffset>
            </wp:positionV>
            <wp:extent cx="76835"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-1593850</wp:posOffset>
            </wp:positionV>
            <wp:extent cx="76835"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-1593850</wp:posOffset>
            </wp:positionV>
            <wp:extent cx="685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-1593850</wp:posOffset>
            </wp:positionV>
            <wp:extent cx="6858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-1593850</wp:posOffset>
            </wp:positionV>
            <wp:extent cx="6858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-179070</wp:posOffset>
            </wp:positionV>
            <wp:extent cx="76835"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-179070</wp:posOffset>
            </wp:positionV>
            <wp:extent cx="76835"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-179070</wp:posOffset>
            </wp:positionV>
            <wp:extent cx="6858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-179070</wp:posOffset>
            </wp:positionV>
            <wp:extent cx="6858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-179070</wp:posOffset>
            </wp:positionV>
            <wp:extent cx="6858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580" w:type="dxa"/>
            <w:vAlign w:val="bottom"/>
            <w:gridSpan w:val="3"/>
            <w:vMerge w:val="restart"/>
          </w:tcPr>
          <w:p>
            <w:pPr>
              <w:jc w:val="right"/>
              <w:ind w:right="499"/>
              <w:spacing w:after="0"/>
              <w:rPr>
                <w:sz w:val="20"/>
                <w:szCs w:val="20"/>
                <w:color w:val="auto"/>
              </w:rPr>
            </w:pPr>
            <w:r>
              <w:rPr>
                <w:rFonts w:ascii="Arial" w:cs="Arial" w:eastAsia="Arial" w:hAnsi="Arial"/>
                <w:sz w:val="16"/>
                <w:szCs w:val="16"/>
                <w:b w:val="1"/>
                <w:bCs w:val="1"/>
                <w:color w:val="auto"/>
              </w:rPr>
              <w:t>Common Shares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258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Additional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5"/>
              </w:rPr>
              <w:t>Paid-In Capital</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61,952,292</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408,629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(127,487 )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Share-based compensation</w:t>
            </w:r>
          </w:p>
        </w:tc>
        <w:tc>
          <w:tcPr>
            <w:tcW w:w="13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rPr>
                <w:sz w:val="20"/>
                <w:szCs w:val="20"/>
                <w:color w:val="auto"/>
              </w:rPr>
            </w:pPr>
            <w:r>
              <w:rPr>
                <w:rFonts w:ascii="Arial" w:cs="Arial" w:eastAsia="Arial" w:hAnsi="Arial"/>
                <w:sz w:val="16"/>
                <w:szCs w:val="16"/>
                <w:color w:val="auto"/>
              </w:rPr>
              <w:t>expenses</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Unvested common stock</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forfeiture</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(40,363 )</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340" w:type="dxa"/>
            <w:vAlign w:val="bottom"/>
          </w:tcPr>
          <w:p>
            <w:pPr>
              <w:ind w:left="20"/>
              <w:spacing w:after="0"/>
              <w:rPr>
                <w:sz w:val="20"/>
                <w:szCs w:val="20"/>
                <w:color w:val="auto"/>
              </w:rPr>
            </w:pPr>
            <w:r>
              <w:rPr>
                <w:rFonts w:ascii="Arial" w:cs="Arial" w:eastAsia="Arial" w:hAnsi="Arial"/>
                <w:sz w:val="16"/>
                <w:szCs w:val="16"/>
                <w:color w:val="auto"/>
              </w:rPr>
              <w:t>Net loss attributable to common</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(27,747 )</w:t>
            </w:r>
          </w:p>
        </w:tc>
        <w:tc>
          <w:tcPr>
            <w:tcW w:w="140" w:type="dxa"/>
            <w:vAlign w:val="bottom"/>
          </w:tcPr>
          <w:p>
            <w:pPr>
              <w:spacing w:after="0"/>
              <w:rPr>
                <w:sz w:val="17"/>
                <w:szCs w:val="17"/>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(27,747 )</w:t>
            </w:r>
          </w:p>
        </w:tc>
        <w:tc>
          <w:tcPr>
            <w:tcW w:w="0" w:type="dxa"/>
            <w:vAlign w:val="bottom"/>
          </w:tcPr>
          <w:p>
            <w:pPr>
              <w:spacing w:after="0"/>
              <w:rPr>
                <w:sz w:val="1"/>
                <w:szCs w:val="1"/>
                <w:color w:val="auto"/>
              </w:rPr>
            </w:pPr>
          </w:p>
        </w:tc>
      </w:tr>
      <w:tr>
        <w:trPr>
          <w:trHeight w:val="209"/>
        </w:trPr>
        <w:tc>
          <w:tcPr>
            <w:tcW w:w="2340" w:type="dxa"/>
            <w:vAlign w:val="bottom"/>
          </w:tcPr>
          <w:p>
            <w:pPr>
              <w:ind w:left="20"/>
              <w:spacing w:after="0"/>
              <w:rPr>
                <w:sz w:val="20"/>
                <w:szCs w:val="20"/>
                <w:color w:val="auto"/>
              </w:rPr>
            </w:pPr>
            <w:r>
              <w:rPr>
                <w:rFonts w:ascii="Arial" w:cs="Arial" w:eastAsia="Arial" w:hAnsi="Arial"/>
                <w:sz w:val="16"/>
                <w:szCs w:val="16"/>
                <w:color w:val="auto"/>
              </w:rPr>
              <w:t>stockholders</w:t>
            </w:r>
          </w:p>
        </w:tc>
        <w:tc>
          <w:tcPr>
            <w:tcW w:w="13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61,911,929</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414,831</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(155,234 )</w:t>
            </w:r>
          </w:p>
        </w:tc>
        <w:tc>
          <w:tcPr>
            <w:tcW w:w="1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259,603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3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Issuance of common stock</w:t>
            </w:r>
          </w:p>
        </w:tc>
        <w:tc>
          <w:tcPr>
            <w:tcW w:w="13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Arial" w:cs="Arial" w:eastAsia="Arial" w:hAnsi="Arial"/>
                <w:sz w:val="16"/>
                <w:szCs w:val="16"/>
                <w:color w:val="auto"/>
              </w:rPr>
              <w:t>pursuant to follow-on offering,</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rPr>
                <w:sz w:val="20"/>
                <w:szCs w:val="20"/>
                <w:color w:val="auto"/>
              </w:rPr>
            </w:pPr>
            <w:r>
              <w:rPr>
                <w:rFonts w:ascii="Arial" w:cs="Arial" w:eastAsia="Arial" w:hAnsi="Arial"/>
                <w:sz w:val="16"/>
                <w:szCs w:val="16"/>
                <w:color w:val="auto"/>
              </w:rPr>
              <w:t>net of issuance costs of $10,864</w:t>
            </w:r>
          </w:p>
        </w:tc>
        <w:tc>
          <w:tcPr>
            <w:tcW w:w="1320" w:type="dxa"/>
            <w:vAlign w:val="bottom"/>
          </w:tcPr>
          <w:p>
            <w:pPr>
              <w:jc w:val="right"/>
              <w:spacing w:after="0"/>
              <w:rPr>
                <w:sz w:val="20"/>
                <w:szCs w:val="20"/>
                <w:color w:val="auto"/>
              </w:rPr>
            </w:pPr>
            <w:r>
              <w:rPr>
                <w:rFonts w:ascii="Arial" w:cs="Arial" w:eastAsia="Arial" w:hAnsi="Arial"/>
                <w:sz w:val="16"/>
                <w:szCs w:val="16"/>
                <w:color w:val="auto"/>
              </w:rPr>
              <w:t>11,500,000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161,609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pursuant to Employee Stock</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Plan</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49,171</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rPr>
                <w:sz w:val="20"/>
                <w:szCs w:val="20"/>
                <w:color w:val="auto"/>
              </w:rPr>
            </w:pPr>
            <w:r>
              <w:rPr>
                <w:rFonts w:ascii="Arial" w:cs="Arial" w:eastAsia="Arial" w:hAnsi="Arial"/>
                <w:sz w:val="16"/>
                <w:szCs w:val="16"/>
                <w:color w:val="auto"/>
              </w:rPr>
              <w:t>expenses</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Unrealized loss on available-for-</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sale securities</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(3 )</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06"/>
        </w:trPr>
        <w:tc>
          <w:tcPr>
            <w:tcW w:w="2340" w:type="dxa"/>
            <w:vAlign w:val="bottom"/>
          </w:tcPr>
          <w:p>
            <w:pPr>
              <w:ind w:left="20"/>
              <w:spacing w:after="0"/>
              <w:rPr>
                <w:sz w:val="20"/>
                <w:szCs w:val="20"/>
                <w:color w:val="auto"/>
              </w:rPr>
            </w:pPr>
            <w:r>
              <w:rPr>
                <w:rFonts w:ascii="Arial" w:cs="Arial" w:eastAsia="Arial" w:hAnsi="Arial"/>
                <w:sz w:val="16"/>
                <w:szCs w:val="16"/>
                <w:color w:val="auto"/>
              </w:rPr>
              <w:t>Net loss attributable to common</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(36,530 )</w:t>
            </w:r>
          </w:p>
        </w:tc>
        <w:tc>
          <w:tcPr>
            <w:tcW w:w="140" w:type="dxa"/>
            <w:vAlign w:val="bottom"/>
          </w:tcPr>
          <w:p>
            <w:pPr>
              <w:spacing w:after="0"/>
              <w:rPr>
                <w:sz w:val="17"/>
                <w:szCs w:val="17"/>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(36,530 )</w:t>
            </w:r>
          </w:p>
        </w:tc>
        <w:tc>
          <w:tcPr>
            <w:tcW w:w="0" w:type="dxa"/>
            <w:vAlign w:val="bottom"/>
          </w:tcPr>
          <w:p>
            <w:pPr>
              <w:spacing w:after="0"/>
              <w:rPr>
                <w:sz w:val="1"/>
                <w:szCs w:val="1"/>
                <w:color w:val="auto"/>
              </w:rPr>
            </w:pPr>
          </w:p>
        </w:tc>
      </w:tr>
      <w:tr>
        <w:trPr>
          <w:trHeight w:val="209"/>
        </w:trPr>
        <w:tc>
          <w:tcPr>
            <w:tcW w:w="2340" w:type="dxa"/>
            <w:vAlign w:val="bottom"/>
          </w:tcPr>
          <w:p>
            <w:pPr>
              <w:ind w:left="20"/>
              <w:spacing w:after="0"/>
              <w:rPr>
                <w:sz w:val="20"/>
                <w:szCs w:val="20"/>
                <w:color w:val="auto"/>
              </w:rPr>
            </w:pPr>
            <w:r>
              <w:rPr>
                <w:rFonts w:ascii="Arial" w:cs="Arial" w:eastAsia="Arial" w:hAnsi="Arial"/>
                <w:sz w:val="16"/>
                <w:szCs w:val="16"/>
                <w:color w:val="auto"/>
              </w:rPr>
              <w:t>stockholders</w:t>
            </w:r>
          </w:p>
        </w:tc>
        <w:tc>
          <w:tcPr>
            <w:tcW w:w="13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73,461,100</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582,391</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(191,764 )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390,631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3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Issuance of common stock upon</w:t>
            </w:r>
          </w:p>
        </w:tc>
        <w:tc>
          <w:tcPr>
            <w:tcW w:w="13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320" w:type="dxa"/>
            <w:vAlign w:val="bottom"/>
          </w:tcPr>
          <w:p>
            <w:pPr>
              <w:jc w:val="right"/>
              <w:spacing w:after="0"/>
              <w:rPr>
                <w:sz w:val="20"/>
                <w:szCs w:val="20"/>
                <w:color w:val="auto"/>
              </w:rPr>
            </w:pPr>
            <w:r>
              <w:rPr>
                <w:rFonts w:ascii="Arial" w:cs="Arial" w:eastAsia="Arial" w:hAnsi="Arial"/>
                <w:sz w:val="16"/>
                <w:szCs w:val="16"/>
                <w:color w:val="auto"/>
              </w:rPr>
              <w:t>130,899</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upon</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release of restricted stock units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51,030</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340" w:type="dxa"/>
            <w:vAlign w:val="bottom"/>
          </w:tcPr>
          <w:p>
            <w:pPr>
              <w:ind w:left="20"/>
              <w:spacing w:after="0"/>
              <w:rPr>
                <w:sz w:val="20"/>
                <w:szCs w:val="20"/>
                <w:color w:val="auto"/>
              </w:rPr>
            </w:pPr>
            <w:r>
              <w:rPr>
                <w:rFonts w:ascii="Arial" w:cs="Arial" w:eastAsia="Arial" w:hAnsi="Arial"/>
                <w:sz w:val="16"/>
                <w:szCs w:val="16"/>
                <w:color w:val="auto"/>
              </w:rPr>
              <w:t>Unvested common stock</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rPr>
                <w:sz w:val="20"/>
                <w:szCs w:val="20"/>
                <w:color w:val="auto"/>
              </w:rPr>
            </w:pPr>
            <w:r>
              <w:rPr>
                <w:rFonts w:ascii="Arial" w:cs="Arial" w:eastAsia="Arial" w:hAnsi="Arial"/>
                <w:sz w:val="16"/>
                <w:szCs w:val="16"/>
                <w:color w:val="auto"/>
              </w:rPr>
              <w:t>forfeiture</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(131,106 )</w:t>
            </w: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Share-based compensation</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expenses</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40" w:type="dxa"/>
            <w:vAlign w:val="bottom"/>
          </w:tcPr>
          <w:p>
            <w:pPr>
              <w:ind w:left="20"/>
              <w:spacing w:after="0"/>
              <w:rPr>
                <w:sz w:val="20"/>
                <w:szCs w:val="20"/>
                <w:color w:val="auto"/>
              </w:rPr>
            </w:pPr>
            <w:r>
              <w:rPr>
                <w:rFonts w:ascii="Arial" w:cs="Arial" w:eastAsia="Arial" w:hAnsi="Arial"/>
                <w:sz w:val="16"/>
                <w:szCs w:val="16"/>
                <w:color w:val="auto"/>
              </w:rPr>
              <w:t>Unrealized loss on available-for-</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rPr>
                <w:sz w:val="20"/>
                <w:szCs w:val="20"/>
                <w:color w:val="auto"/>
              </w:rPr>
            </w:pPr>
            <w:r>
              <w:rPr>
                <w:rFonts w:ascii="Arial" w:cs="Arial" w:eastAsia="Arial" w:hAnsi="Arial"/>
                <w:sz w:val="16"/>
                <w:szCs w:val="16"/>
                <w:color w:val="auto"/>
              </w:rPr>
              <w:t>sale securities</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(389 )</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(389 )</w:t>
            </w:r>
          </w:p>
        </w:tc>
        <w:tc>
          <w:tcPr>
            <w:tcW w:w="0" w:type="dxa"/>
            <w:vAlign w:val="bottom"/>
          </w:tcPr>
          <w:p>
            <w:pPr>
              <w:spacing w:after="0"/>
              <w:rPr>
                <w:sz w:val="1"/>
                <w:szCs w:val="1"/>
                <w:color w:val="auto"/>
              </w:rPr>
            </w:pPr>
          </w:p>
        </w:tc>
      </w:tr>
      <w:tr>
        <w:trPr>
          <w:trHeight w:val="216"/>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attributable to common</w:t>
            </w: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(37,795 )</w:t>
            </w:r>
          </w:p>
        </w:tc>
        <w:tc>
          <w:tcPr>
            <w:tcW w:w="14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(37,795 )</w:t>
            </w: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w:t>
            </w:r>
          </w:p>
        </w:tc>
        <w:tc>
          <w:tcPr>
            <w:tcW w:w="132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340" w:type="dxa"/>
            <w:vAlign w:val="bottom"/>
          </w:tcPr>
          <w:p>
            <w:pPr>
              <w:ind w:left="20"/>
              <w:spacing w:after="0"/>
              <w:rPr>
                <w:sz w:val="20"/>
                <w:szCs w:val="20"/>
                <w:color w:val="auto"/>
              </w:rPr>
            </w:pPr>
            <w:r>
              <w:rPr>
                <w:rFonts w:ascii="Arial" w:cs="Arial" w:eastAsia="Arial" w:hAnsi="Arial"/>
                <w:sz w:val="16"/>
                <w:szCs w:val="16"/>
                <w:b w:val="1"/>
                <w:bCs w:val="1"/>
                <w:color w:val="auto"/>
                <w:w w:val="98"/>
              </w:rPr>
              <w:t>Balance at September 30, 2022</w:t>
            </w:r>
          </w:p>
        </w:tc>
        <w:tc>
          <w:tcPr>
            <w:tcW w:w="1320" w:type="dxa"/>
            <w:vAlign w:val="bottom"/>
          </w:tcPr>
          <w:p>
            <w:pPr>
              <w:jc w:val="right"/>
              <w:spacing w:after="0"/>
              <w:rPr>
                <w:sz w:val="20"/>
                <w:szCs w:val="20"/>
                <w:color w:val="auto"/>
              </w:rPr>
            </w:pPr>
            <w:r>
              <w:rPr>
                <w:rFonts w:ascii="Arial" w:cs="Arial" w:eastAsia="Arial" w:hAnsi="Arial"/>
                <w:sz w:val="16"/>
                <w:szCs w:val="16"/>
                <w:color w:val="auto"/>
              </w:rPr>
              <w:t>73,511,923</w:t>
            </w:r>
          </w:p>
        </w:tc>
        <w:tc>
          <w:tcPr>
            <w:tcW w:w="240" w:type="dxa"/>
            <w:vAlign w:val="bottom"/>
          </w:tcPr>
          <w:p>
            <w:pPr>
              <w:spacing w:after="0"/>
              <w:rPr>
                <w:sz w:val="19"/>
                <w:szCs w:val="19"/>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593,020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(392 )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(229,559 )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363,076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-4619625</wp:posOffset>
            </wp:positionV>
            <wp:extent cx="76835" cy="282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-4619625</wp:posOffset>
            </wp:positionV>
            <wp:extent cx="77470" cy="282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28257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-4619625</wp:posOffset>
            </wp:positionV>
            <wp:extent cx="68580" cy="28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-4619625</wp:posOffset>
            </wp:positionV>
            <wp:extent cx="68580" cy="282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-4619625</wp:posOffset>
            </wp:positionV>
            <wp:extent cx="68580" cy="282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-4619625</wp:posOffset>
            </wp:positionV>
            <wp:extent cx="68580" cy="282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-3642995</wp:posOffset>
            </wp:positionV>
            <wp:extent cx="4808855" cy="428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08855" cy="42862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-1842770</wp:posOffset>
            </wp:positionV>
            <wp:extent cx="4808855" cy="3003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08855" cy="3003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-179705</wp:posOffset>
            </wp:positionV>
            <wp:extent cx="76835"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-179705</wp:posOffset>
            </wp:positionV>
            <wp:extent cx="7747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-179705</wp:posOffset>
            </wp:positionV>
            <wp:extent cx="6858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-179705</wp:posOffset>
            </wp:positionV>
            <wp:extent cx="68580"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-179705</wp:posOffset>
            </wp:positionV>
            <wp:extent cx="6858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ind w:left="4300"/>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97"/>
              </w:rPr>
              <w:t>Nine Months Ended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September 30,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28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1"/>
                <w:szCs w:val="21"/>
                <w:color w:val="auto"/>
              </w:rPr>
            </w:pPr>
          </w:p>
        </w:tc>
      </w:tr>
      <w:tr>
        <w:trPr>
          <w:trHeight w:val="229"/>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2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(134,406 )</w:t>
            </w:r>
          </w:p>
        </w:tc>
        <w:tc>
          <w:tcPr>
            <w:tcW w:w="180" w:type="dxa"/>
            <w:vAlign w:val="bottom"/>
          </w:tcPr>
          <w:p>
            <w:pPr>
              <w:spacing w:after="0"/>
              <w:rPr>
                <w:sz w:val="19"/>
                <w:szCs w:val="19"/>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(102,072 )</w:t>
            </w:r>
          </w:p>
        </w:tc>
      </w:tr>
      <w:tr>
        <w:trPr>
          <w:trHeight w:val="239"/>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Acquired in-process research and development assets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Share-based compensation expense</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28,530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20,409</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Depreciation expense</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Accretion of discounts on short-term investments</w:t>
            </w:r>
          </w:p>
        </w:tc>
        <w:tc>
          <w:tcPr>
            <w:tcW w:w="1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(8,502 )</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(1,031 )</w:t>
            </w: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Amortization of operating right-of-use assets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(2,148 )</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(1,113 )</w:t>
            </w:r>
          </w:p>
        </w:tc>
      </w:tr>
      <w:tr>
        <w:trPr>
          <w:trHeight w:val="239"/>
        </w:trPr>
        <w:tc>
          <w:tcPr>
            <w:tcW w:w="72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Deposits and other long-term assets</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(280 )</w:t>
            </w:r>
          </w:p>
        </w:tc>
      </w:tr>
      <w:tr>
        <w:trPr>
          <w:trHeight w:val="220"/>
        </w:trPr>
        <w:tc>
          <w:tcPr>
            <w:tcW w:w="728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7,127</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1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(299 )</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(184 )</w:t>
            </w:r>
          </w:p>
        </w:tc>
      </w:tr>
      <w:tr>
        <w:trPr>
          <w:trHeight w:val="23"/>
        </w:trPr>
        <w:tc>
          <w:tcPr>
            <w:tcW w:w="7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2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Net cash used in operating activities</w:t>
            </w:r>
          </w:p>
        </w:tc>
        <w:tc>
          <w:tcPr>
            <w:tcW w:w="1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5"/>
              </w:rPr>
              <w:t>(105,481 )</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(74,564 )</w:t>
            </w:r>
          </w:p>
        </w:tc>
      </w:tr>
      <w:tr>
        <w:trPr>
          <w:trHeight w:val="220"/>
        </w:trPr>
        <w:tc>
          <w:tcPr>
            <w:tcW w:w="72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for purchase of short-term investments</w:t>
            </w:r>
          </w:p>
        </w:tc>
        <w:tc>
          <w:tcPr>
            <w:tcW w:w="1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5"/>
              </w:rPr>
              <w:t>(344,701 )</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(272,838 )</w:t>
            </w: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Proceeds from maturity of short-term investments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445,915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for purchase of property and equipment</w:t>
            </w:r>
          </w:p>
        </w:tc>
        <w:tc>
          <w:tcPr>
            <w:tcW w:w="1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(216 )</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(26 )</w:t>
            </w: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Cash paid for acquired in-process research and development assets</w:t>
            </w:r>
          </w:p>
        </w:tc>
        <w:tc>
          <w:tcPr>
            <w:tcW w:w="1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(3,000 )</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
        </w:trPr>
        <w:tc>
          <w:tcPr>
            <w:tcW w:w="7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2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Net cash provided by (used in) investing activities</w:t>
            </w:r>
          </w:p>
        </w:tc>
        <w:tc>
          <w:tcPr>
            <w:tcW w:w="1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97,998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(252,864 )</w:t>
            </w:r>
          </w:p>
        </w:tc>
      </w:tr>
      <w:tr>
        <w:trPr>
          <w:trHeight w:val="220"/>
        </w:trPr>
        <w:tc>
          <w:tcPr>
            <w:tcW w:w="72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issuance of common stock, net</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161,409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161,610</w:t>
            </w:r>
          </w:p>
        </w:tc>
        <w:tc>
          <w:tcPr>
            <w:tcW w:w="10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Arial" w:cs="Arial" w:eastAsia="Arial" w:hAnsi="Arial"/>
                <w:sz w:val="16"/>
                <w:szCs w:val="16"/>
                <w:color w:val="auto"/>
              </w:rPr>
              <w:t>Proceeds from issuance of common stock upon stock option exercises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Pr>
          <w:p>
            <w:pPr>
              <w:spacing w:after="0"/>
              <w:rPr>
                <w:sz w:val="19"/>
                <w:szCs w:val="19"/>
                <w:color w:val="auto"/>
              </w:rPr>
            </w:pPr>
          </w:p>
        </w:tc>
      </w:tr>
      <w:tr>
        <w:trPr>
          <w:trHeight w:val="233"/>
        </w:trPr>
        <w:tc>
          <w:tcPr>
            <w:tcW w:w="7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Proceeds from issuance of common stock upon Employee Stock Purchase Plan purchase</w:t>
            </w:r>
          </w:p>
        </w:tc>
        <w:tc>
          <w:tcPr>
            <w:tcW w:w="11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280" w:type="dxa"/>
            <w:vAlign w:val="bottom"/>
          </w:tcPr>
          <w:p>
            <w:pPr>
              <w:ind w:left="560"/>
              <w:spacing w:after="0"/>
              <w:rPr>
                <w:sz w:val="20"/>
                <w:szCs w:val="20"/>
                <w:color w:val="auto"/>
              </w:rPr>
            </w:pPr>
            <w:r>
              <w:rPr>
                <w:rFonts w:ascii="Arial" w:cs="Arial" w:eastAsia="Arial" w:hAnsi="Arial"/>
                <w:sz w:val="16"/>
                <w:szCs w:val="16"/>
                <w:color w:val="auto"/>
              </w:rPr>
              <w:t>Cash provided by financing activities</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163,983</w:t>
            </w:r>
          </w:p>
        </w:tc>
        <w:tc>
          <w:tcPr>
            <w:tcW w:w="100" w:type="dxa"/>
            <w:vAlign w:val="bottom"/>
          </w:tcPr>
          <w:p>
            <w:pPr>
              <w:spacing w:after="0"/>
              <w:rPr>
                <w:sz w:val="19"/>
                <w:szCs w:val="19"/>
                <w:color w:val="auto"/>
              </w:rPr>
            </w:pPr>
          </w:p>
        </w:tc>
      </w:tr>
      <w:tr>
        <w:trPr>
          <w:trHeight w:val="230"/>
        </w:trPr>
        <w:tc>
          <w:tcPr>
            <w:tcW w:w="7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(163,445 )</w:t>
            </w:r>
          </w:p>
        </w:tc>
      </w:tr>
      <w:tr>
        <w:trPr>
          <w:trHeight w:val="223"/>
        </w:trPr>
        <w:tc>
          <w:tcPr>
            <w:tcW w:w="728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284,309</w:t>
            </w:r>
          </w:p>
        </w:tc>
        <w:tc>
          <w:tcPr>
            <w:tcW w:w="100" w:type="dxa"/>
            <w:vAlign w:val="bottom"/>
          </w:tcPr>
          <w:p>
            <w:pPr>
              <w:spacing w:after="0"/>
              <w:rPr>
                <w:sz w:val="19"/>
                <w:szCs w:val="19"/>
                <w:color w:val="auto"/>
              </w:rPr>
            </w:pPr>
          </w:p>
        </w:tc>
      </w:tr>
      <w:tr>
        <w:trPr>
          <w:trHeight w:val="263"/>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241,179</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120,864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7"/>
        </w:trPr>
        <w:tc>
          <w:tcPr>
            <w:tcW w:w="72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 included in accrued expenses and other current liabilities</w:t>
            </w:r>
          </w:p>
        </w:tc>
        <w:tc>
          <w:tcPr>
            <w:tcW w:w="114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7280" w:type="dxa"/>
            <w:vAlign w:val="bottom"/>
          </w:tcPr>
          <w:p>
            <w:pPr>
              <w:ind w:left="200"/>
              <w:spacing w:after="0"/>
              <w:rPr>
                <w:sz w:val="20"/>
                <w:szCs w:val="20"/>
                <w:color w:val="auto"/>
              </w:rPr>
            </w:pPr>
            <w:r>
              <w:rPr>
                <w:rFonts w:ascii="Arial" w:cs="Arial" w:eastAsia="Arial" w:hAnsi="Arial"/>
                <w:sz w:val="16"/>
                <w:szCs w:val="16"/>
                <w:color w:val="auto"/>
              </w:rPr>
              <w:t>Lease liability obtained in exchange for right-of-use asset</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9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-1058545</wp:posOffset>
            </wp:positionV>
            <wp:extent cx="6858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-1058545</wp:posOffset>
            </wp:positionV>
            <wp:extent cx="6858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-449580</wp:posOffset>
            </wp:positionV>
            <wp:extent cx="137160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0" cy="171450"/>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ind w:left="520" w:right="7540" w:hanging="512"/>
        <w:spacing w:after="0" w:line="425" w:lineRule="auto"/>
        <w:tabs>
          <w:tab w:leader="none" w:pos="5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Description of Business and Organization </w:t>
      </w:r>
      <w:r>
        <w:rPr>
          <w:rFonts w:ascii="Arial" w:cs="Arial" w:eastAsia="Arial" w:hAnsi="Arial"/>
          <w:sz w:val="16"/>
          <w:szCs w:val="16"/>
          <w:b w:val="1"/>
          <w:bCs w:val="1"/>
          <w:i w:val="1"/>
          <w:iCs w:val="1"/>
          <w:color w:val="auto"/>
        </w:rPr>
        <w:t>Organization and Business</w:t>
      </w:r>
    </w:p>
    <w:p>
      <w:pPr>
        <w:ind w:left="520" w:firstLine="509"/>
        <w:spacing w:after="0" w:line="257" w:lineRule="auto"/>
        <w:rPr>
          <w:sz w:val="20"/>
          <w:szCs w:val="20"/>
          <w:color w:val="auto"/>
        </w:rPr>
      </w:pPr>
      <w:r>
        <w:rPr>
          <w:rFonts w:ascii="Arial" w:cs="Arial" w:eastAsia="Arial" w:hAnsi="Arial"/>
          <w:sz w:val="18"/>
          <w:szCs w:val="18"/>
          <w:color w:val="auto"/>
        </w:rPr>
        <w:t>Day One Biopharmaceuticals, Inc., or the Company, is a clinical-stage biopharmaceutical company dedicated to developing and commercializing targeted therapies for people of all ages with life-threatening diseases. The Company was formed as a limited liability company under the laws of the State of Delaware in November 2018, under the name Hero Therapeutics Holding Company, LLC. Subsequently, the Company changed its name to Day One Therapeutics Holding Company, LLC in December 2018 and to Day One Biopharmaceuticals Holding Company, LLC, or Day One Holding LLC, in March 2020.</w:t>
      </w:r>
    </w:p>
    <w:p>
      <w:pPr>
        <w:spacing w:after="0" w:line="80" w:lineRule="exact"/>
        <w:rPr>
          <w:sz w:val="20"/>
          <w:szCs w:val="20"/>
          <w:color w:val="auto"/>
        </w:rPr>
      </w:pPr>
    </w:p>
    <w:p>
      <w:pPr>
        <w:ind w:left="520" w:right="540" w:firstLine="509"/>
        <w:spacing w:after="0" w:line="277" w:lineRule="auto"/>
        <w:rPr>
          <w:sz w:val="20"/>
          <w:szCs w:val="20"/>
          <w:color w:val="auto"/>
        </w:rPr>
      </w:pPr>
      <w:r>
        <w:rPr>
          <w:rFonts w:ascii="Arial" w:cs="Arial" w:eastAsia="Arial" w:hAnsi="Arial"/>
          <w:sz w:val="18"/>
          <w:szCs w:val="18"/>
          <w:color w:val="auto"/>
        </w:rPr>
        <w:t>On May 26, 2021, the Company completed a conversion by filing a certificate of conversion with the Secretary of State of the State of Delaware and changed its name to Day One Biopharmaceuticals, Inc.</w:t>
      </w:r>
    </w:p>
    <w:p>
      <w:pPr>
        <w:spacing w:after="0" w:line="274"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520" w:right="40" w:firstLine="509"/>
        <w:spacing w:after="0" w:line="263" w:lineRule="auto"/>
        <w:rPr>
          <w:sz w:val="20"/>
          <w:szCs w:val="20"/>
          <w:color w:val="auto"/>
        </w:rPr>
      </w:pPr>
      <w:r>
        <w:rPr>
          <w:rFonts w:ascii="Arial" w:cs="Arial" w:eastAsia="Arial" w:hAnsi="Arial"/>
          <w:sz w:val="18"/>
          <w:szCs w:val="18"/>
          <w:color w:val="auto"/>
        </w:rPr>
        <w:t>There have been no changes to the significant accounting policies as disclosed in Note 2 to the Company’s annual consolidated financial statements for the years ended December 31, 2022 and 2021, included in the Company’s Annual Report on Form 10-K for the year ended December 31, 2022.</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520" w:right="40" w:firstLine="509"/>
        <w:spacing w:after="0" w:line="28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or GAAP, for interim financial information and with the instructions to Form 10-Q and Article 10 of Regulation S-X. Accordingly, they do not include all of the information and footnotes required by U.S. GAAP for complete financial statements. These accounting principles were applied on a basis consistent with those of the consolidated financial statements contained in the Company's Annual Report on Form 10-K for the year ended December 31, 2022. In the opinion of the Company, the accompanying unaudited condensed consolidated financial statements include all adjustments, consisting of only normal recurring adjustments, necessary for a fair statement of the Company's financial statements for interim periods presented in accordance with U.S. GAAP. The condensed consolidated balance sheet as of December 31, 2022 was derived from audited annual financial statements but does not include all disclosures required by U.S. GAAP. These interim financial statements should be read in conjunction with the audited financial statements for the year ended December 31, 2022 included in the Annual Report on Form</w:t>
      </w:r>
    </w:p>
    <w:p>
      <w:pPr>
        <w:spacing w:after="0" w:line="6" w:lineRule="exact"/>
        <w:rPr>
          <w:sz w:val="20"/>
          <w:szCs w:val="20"/>
          <w:color w:val="auto"/>
        </w:rPr>
      </w:pPr>
    </w:p>
    <w:p>
      <w:pPr>
        <w:ind w:left="520" w:right="120"/>
        <w:spacing w:after="0" w:line="260" w:lineRule="auto"/>
        <w:rPr>
          <w:sz w:val="20"/>
          <w:szCs w:val="20"/>
          <w:color w:val="auto"/>
        </w:rPr>
      </w:pPr>
      <w:r>
        <w:rPr>
          <w:rFonts w:ascii="Arial" w:cs="Arial" w:eastAsia="Arial" w:hAnsi="Arial"/>
          <w:sz w:val="18"/>
          <w:szCs w:val="18"/>
          <w:color w:val="auto"/>
        </w:rPr>
        <w:t>10-K for the year ended December 31, 2022. The results of operations for the three and nine months ended September 30, 2023 are not necessarily indicative of the results to be expected for the full year or any other future periods.</w:t>
      </w:r>
    </w:p>
    <w:p>
      <w:pPr>
        <w:spacing w:after="0" w:line="77" w:lineRule="exact"/>
        <w:rPr>
          <w:sz w:val="20"/>
          <w:szCs w:val="20"/>
          <w:color w:val="auto"/>
        </w:rPr>
      </w:pPr>
    </w:p>
    <w:p>
      <w:pPr>
        <w:ind w:left="520" w:right="240" w:firstLine="509"/>
        <w:spacing w:after="0" w:line="277" w:lineRule="auto"/>
        <w:rPr>
          <w:sz w:val="20"/>
          <w:szCs w:val="20"/>
          <w:color w:val="auto"/>
        </w:rPr>
      </w:pPr>
      <w:r>
        <w:rPr>
          <w:rFonts w:ascii="Arial" w:cs="Arial" w:eastAsia="Arial" w:hAnsi="Arial"/>
          <w:sz w:val="18"/>
          <w:szCs w:val="18"/>
          <w:color w:val="auto"/>
        </w:rPr>
        <w:t>The Company's significant accounting policies are described in Note 2 of the notes to the consolidated financial statements included in the Company's Annual Report on Form 10-K for the year ended December 31, 2022.</w:t>
      </w:r>
    </w:p>
    <w:p>
      <w:pPr>
        <w:spacing w:after="0" w:line="62" w:lineRule="exact"/>
        <w:rPr>
          <w:sz w:val="20"/>
          <w:szCs w:val="20"/>
          <w:color w:val="auto"/>
        </w:rPr>
      </w:pPr>
    </w:p>
    <w:p>
      <w:pPr>
        <w:ind w:left="520" w:right="600" w:firstLine="509"/>
        <w:spacing w:after="0" w:line="308" w:lineRule="auto"/>
        <w:rPr>
          <w:sz w:val="20"/>
          <w:szCs w:val="20"/>
          <w:color w:val="auto"/>
        </w:rPr>
      </w:pPr>
      <w:r>
        <w:rPr>
          <w:rFonts w:ascii="Arial" w:cs="Arial" w:eastAsia="Arial" w:hAnsi="Arial"/>
          <w:sz w:val="17"/>
          <w:szCs w:val="17"/>
          <w:color w:val="auto"/>
        </w:rPr>
        <w:t>Any reference in these notes to applicable guidance is meant to refer to the authoritative GAAP as found in the Accounting Standards Codification, or ASC, and Accounting Standards Updates, or ASU, of the Financial Accounting Standards Board, or FASB.</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520" w:right="20" w:firstLine="509"/>
        <w:spacing w:after="0" w:line="293"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liabilities and disclosure of contingent assets and liabilities at the date of the condensed consolidated financial statements, and the reported amounts of expenses during the reporting period. Significant estimates and assumptions made in the accompanying condensed consolidated financial statements include, but are not limited to, the valuation of share-based awards, the valuation of deferred tax assets and income tax uncertainties, and accruals for research and development activities. The Company bases its estimates on historical experience and on various other assumptions that are believed to be reasonable. Actual results may differ from those estimates or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28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333"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The Company has determined that its chief executive officer is the chief operating decision maker, or CODM. The Company operates and manages the business as one reporting and one operating segment, which is the business of identifying and advancing targeted therapies for people of all ages with genomically defined cancers. The Company’s CODM reviews financial information on an aggregate basis for purposes of allocating resources and evaluating financial performance. All of the Company’s assets are located in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Financial instruments that subject the Company to significant concentrations of credit risk consist primarily of cash, cash equivalents and short-term investments. Amounts on deposit may at times exceed federally insured limits. The Company is exposed to credit risk in the event of default by the financial institutions holding its cash, cash equivalents and short-term investments that are recorded on its balance sheet. Per policy, the Company mitigates its risk by investing in high-grade instruments and limiting the concentration in any one issuer, which limits its exposure. The Company has not experienced any losses on its cash, cash equivalents and short-term investments.</w:t>
      </w:r>
    </w:p>
    <w:p>
      <w:pPr>
        <w:spacing w:after="0" w:line="284"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color w:val="auto"/>
        </w:rPr>
        <w:t>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w:t>
      </w:r>
    </w:p>
    <w:p>
      <w:pPr>
        <w:spacing w:after="0" w:line="28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 xml:space="preserve">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 The JOBS Act also exempts </w:t>
      </w:r>
      <w:r>
        <w:rPr>
          <w:rFonts w:ascii="Arial" w:cs="Arial" w:eastAsia="Arial" w:hAnsi="Arial"/>
          <w:sz w:val="16"/>
          <w:szCs w:val="16"/>
          <w:b w:val="1"/>
          <w:bCs w:val="1"/>
          <w:color w:val="auto"/>
        </w:rPr>
        <w:t>emerging growth</w:t>
      </w:r>
      <w:r>
        <w:rPr>
          <w:rFonts w:ascii="Arial" w:cs="Arial" w:eastAsia="Arial" w:hAnsi="Arial"/>
          <w:sz w:val="16"/>
          <w:szCs w:val="16"/>
          <w:color w:val="auto"/>
        </w:rPr>
        <w:t xml:space="preserve"> companies from having to provide an auditor attestation of internal control over financial reporting under Sarbanes-Oxley Act Section 404(b).</w:t>
      </w:r>
    </w:p>
    <w:p>
      <w:pPr>
        <w:spacing w:after="0" w:line="5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JOBS Act does not preclude an emerging growth company from adopting a new or revised accounting standard earlier than the time that such standard applies to private companies. The Company expects to use the extended transition period for any other new or revised accounting standards during the period in which it remains an emerging growth company.</w:t>
      </w:r>
    </w:p>
    <w:p>
      <w:pPr>
        <w:spacing w:after="0" w:line="76" w:lineRule="exact"/>
        <w:rPr>
          <w:sz w:val="20"/>
          <w:szCs w:val="20"/>
          <w:color w:val="auto"/>
        </w:rPr>
      </w:pPr>
    </w:p>
    <w:p>
      <w:pPr>
        <w:ind w:right="120" w:firstLine="509"/>
        <w:spacing w:after="0" w:line="286" w:lineRule="auto"/>
        <w:rPr>
          <w:sz w:val="20"/>
          <w:szCs w:val="20"/>
          <w:color w:val="auto"/>
        </w:rPr>
      </w:pPr>
      <w:r>
        <w:rPr>
          <w:rFonts w:ascii="Arial" w:cs="Arial" w:eastAsia="Arial" w:hAnsi="Arial"/>
          <w:sz w:val="16"/>
          <w:szCs w:val="16"/>
          <w:color w:val="auto"/>
        </w:rPr>
        <w:t>On the last business day of the second quarter of 2023, the aggregate market value of the shares of the Company’s common stock held by non-affiliate stockholders exceeded $700 million. As a result, the Company will be considered a “large accelerated filer” as of December 31, 2023, and no longer qualify as an emerging growth company. Therefore, the Company will no longer be able to take advantage of the exemptions from various reporting requirements, beginning with its Annual Report on Form 10-K for the fiscal year ending December 31, 2023 to be filed in 2024.</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61595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2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333"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left="520" w:right="60" w:firstLine="509"/>
        <w:spacing w:after="0" w:line="258" w:lineRule="auto"/>
        <w:rPr>
          <w:sz w:val="20"/>
          <w:szCs w:val="20"/>
          <w:color w:val="auto"/>
        </w:rPr>
      </w:pPr>
      <w:r>
        <w:rPr>
          <w:rFonts w:ascii="Arial" w:cs="Arial" w:eastAsia="Arial" w:hAnsi="Arial"/>
          <w:sz w:val="18"/>
          <w:szCs w:val="18"/>
          <w:color w:val="auto"/>
        </w:rPr>
        <w:t>The following table sets forth the Company’s financial instruments as of September 30, 2023 and December 31, 2022, which are measured at fair value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September 30, 2023</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24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165,002</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8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165,002</w:t>
            </w:r>
          </w:p>
        </w:tc>
        <w:tc>
          <w:tcPr>
            <w:tcW w:w="100" w:type="dxa"/>
            <w:vAlign w:val="bottom"/>
          </w:tcPr>
          <w:p>
            <w:pPr>
              <w:spacing w:after="0"/>
              <w:rPr>
                <w:sz w:val="20"/>
                <w:szCs w:val="20"/>
                <w:color w:val="auto"/>
              </w:rPr>
            </w:pPr>
          </w:p>
        </w:tc>
      </w:tr>
      <w:tr>
        <w:trPr>
          <w:trHeight w:val="249"/>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150,963</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150,963</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82,164</w:t>
            </w: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82,164</w:t>
            </w:r>
          </w:p>
        </w:tc>
        <w:tc>
          <w:tcPr>
            <w:tcW w:w="100" w:type="dxa"/>
            <w:vAlign w:val="bottom"/>
          </w:tcPr>
          <w:p>
            <w:pPr>
              <w:spacing w:after="0"/>
              <w:rPr>
                <w:sz w:val="20"/>
                <w:szCs w:val="20"/>
                <w:color w:val="auto"/>
              </w:rPr>
            </w:pPr>
          </w:p>
        </w:tc>
      </w:tr>
      <w:tr>
        <w:trPr>
          <w:trHeight w:val="277"/>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measured at fair value</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165,002</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233,127</w:t>
            </w:r>
          </w:p>
        </w:tc>
        <w:tc>
          <w:tcPr>
            <w:tcW w:w="2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982"/>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5"/>
        </w:trPr>
        <w:tc>
          <w:tcPr>
            <w:tcW w:w="4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18,765</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982"/>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18,765</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145,785</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145,785</w:t>
            </w:r>
          </w:p>
        </w:tc>
        <w:tc>
          <w:tcPr>
            <w:tcW w:w="100" w:type="dxa"/>
            <w:vAlign w:val="bottom"/>
          </w:tcPr>
          <w:p>
            <w:pPr>
              <w:spacing w:after="0"/>
              <w:rPr>
                <w:sz w:val="20"/>
                <w:szCs w:val="20"/>
                <w:color w:val="auto"/>
              </w:rPr>
            </w:pPr>
          </w:p>
        </w:tc>
      </w:tr>
      <w:tr>
        <w:trPr>
          <w:trHeight w:val="243"/>
        </w:trPr>
        <w:tc>
          <w:tcPr>
            <w:tcW w:w="4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136,022</w:t>
            </w: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18,765</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281,807</w:t>
            </w:r>
          </w:p>
        </w:tc>
        <w:tc>
          <w:tcPr>
            <w:tcW w:w="1400" w:type="dxa"/>
            <w:vAlign w:val="bottom"/>
            <w:gridSpan w:val="2"/>
          </w:tcPr>
          <w:p>
            <w:pPr>
              <w:jc w:val="right"/>
              <w:ind w:right="98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300,572</w:t>
            </w:r>
          </w:p>
        </w:tc>
        <w:tc>
          <w:tcPr>
            <w:tcW w:w="10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-1225550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-1207770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-1225550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-1207770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-1225550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-1207770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-1225550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-187960</wp:posOffset>
            </wp:positionV>
            <wp:extent cx="7683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-187960</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20" w:right="340" w:firstLine="509"/>
        <w:spacing w:after="0" w:line="277" w:lineRule="auto"/>
        <w:rPr>
          <w:sz w:val="20"/>
          <w:szCs w:val="20"/>
          <w:color w:val="auto"/>
        </w:rPr>
      </w:pPr>
      <w:r>
        <w:rPr>
          <w:rFonts w:ascii="Arial" w:cs="Arial" w:eastAsia="Arial" w:hAnsi="Arial"/>
          <w:sz w:val="18"/>
          <w:szCs w:val="18"/>
          <w:color w:val="auto"/>
        </w:rPr>
        <w:t>The Company's money market funds are classified as Level 1 because they are measured using observable inputs from active markets for identical assets.</w:t>
      </w:r>
    </w:p>
    <w:p>
      <w:pPr>
        <w:spacing w:after="0" w:line="62" w:lineRule="exact"/>
        <w:rPr>
          <w:sz w:val="20"/>
          <w:szCs w:val="20"/>
          <w:color w:val="auto"/>
        </w:rPr>
      </w:pPr>
    </w:p>
    <w:p>
      <w:pPr>
        <w:ind w:left="520" w:right="60" w:firstLine="509"/>
        <w:spacing w:after="0" w:line="263" w:lineRule="auto"/>
        <w:rPr>
          <w:sz w:val="20"/>
          <w:szCs w:val="20"/>
          <w:color w:val="auto"/>
        </w:rPr>
      </w:pPr>
      <w:r>
        <w:rPr>
          <w:rFonts w:ascii="Arial" w:cs="Arial" w:eastAsia="Arial" w:hAnsi="Arial"/>
          <w:sz w:val="18"/>
          <w:szCs w:val="18"/>
          <w:color w:val="auto"/>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spacing w:after="0" w:line="7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assets or liabilities classified as Level 3 as of September 30, 2023 and December 31, 2022.</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transfers between Level 1, Level 2 or Level 3 categories during the periods presented.</w:t>
      </w:r>
    </w:p>
    <w:p>
      <w:pPr>
        <w:spacing w:after="0" w:line="117" w:lineRule="exact"/>
        <w:rPr>
          <w:sz w:val="20"/>
          <w:szCs w:val="20"/>
          <w:color w:val="auto"/>
        </w:rPr>
      </w:pPr>
    </w:p>
    <w:p>
      <w:pPr>
        <w:ind w:left="520" w:right="180" w:firstLine="509"/>
        <w:spacing w:after="0" w:line="258" w:lineRule="auto"/>
        <w:rPr>
          <w:sz w:val="20"/>
          <w:szCs w:val="20"/>
          <w:color w:val="auto"/>
        </w:rPr>
      </w:pPr>
      <w:r>
        <w:rPr>
          <w:rFonts w:ascii="Arial" w:cs="Arial" w:eastAsia="Arial" w:hAnsi="Arial"/>
          <w:sz w:val="18"/>
          <w:szCs w:val="18"/>
          <w:color w:val="auto"/>
        </w:rPr>
        <w:t>The following tables summarize the estimated fair value of the Company's cash equivalents, available-for-sale securities classified as short-term investments, and associated unrealized gains and losses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5"/>
          </w:tcPr>
          <w:p>
            <w:pPr>
              <w:jc w:val="right"/>
              <w:ind w:right="121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12"/>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Unrealized Gains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2"/>
              </w:rPr>
              <w:t>Unrealized Losses</w:t>
            </w:r>
          </w:p>
        </w:tc>
        <w:tc>
          <w:tcPr>
            <w:tcW w:w="120" w:type="dxa"/>
            <w:vAlign w:val="bottom"/>
          </w:tcPr>
          <w:p>
            <w:pPr>
              <w:spacing w:after="0"/>
              <w:rPr>
                <w:sz w:val="14"/>
                <w:szCs w:val="14"/>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Estimated Fair Value</w:t>
            </w:r>
          </w:p>
        </w:tc>
        <w:tc>
          <w:tcPr>
            <w:tcW w:w="100" w:type="dxa"/>
            <w:vAlign w:val="bottom"/>
          </w:tcPr>
          <w:p>
            <w:pPr>
              <w:spacing w:after="0"/>
              <w:rPr>
                <w:sz w:val="14"/>
                <w:szCs w:val="14"/>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24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165,002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165,002</w:t>
            </w:r>
          </w:p>
        </w:tc>
        <w:tc>
          <w:tcPr>
            <w:tcW w:w="100" w:type="dxa"/>
            <w:vAlign w:val="bottom"/>
          </w:tcPr>
          <w:p>
            <w:pPr>
              <w:spacing w:after="0"/>
              <w:rPr>
                <w:sz w:val="20"/>
                <w:szCs w:val="20"/>
                <w:color w:val="auto"/>
              </w:rPr>
            </w:pPr>
          </w:p>
        </w:tc>
      </w:tr>
      <w:tr>
        <w:trPr>
          <w:trHeight w:val="249"/>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government agency securities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36,341</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32,427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32,427</w:t>
            </w:r>
          </w:p>
        </w:tc>
        <w:tc>
          <w:tcPr>
            <w:tcW w:w="100" w:type="dxa"/>
            <w:vAlign w:val="bottom"/>
          </w:tcPr>
          <w:p>
            <w:pPr>
              <w:spacing w:after="0"/>
              <w:rPr>
                <w:sz w:val="20"/>
                <w:szCs w:val="20"/>
                <w:color w:val="auto"/>
              </w:rPr>
            </w:pPr>
          </w:p>
        </w:tc>
      </w:tr>
      <w:tr>
        <w:trPr>
          <w:trHeight w:val="236"/>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233,770</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9"/>
        </w:trPr>
        <w:tc>
          <w:tcPr>
            <w:tcW w:w="42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118,544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118,536</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45,821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45,823</w:t>
            </w:r>
          </w:p>
        </w:tc>
        <w:tc>
          <w:tcPr>
            <w:tcW w:w="100" w:type="dxa"/>
            <w:vAlign w:val="bottom"/>
          </w:tcPr>
          <w:p>
            <w:pPr>
              <w:spacing w:after="0"/>
              <w:rPr>
                <w:sz w:val="20"/>
                <w:szCs w:val="20"/>
                <w:color w:val="auto"/>
              </w:rPr>
            </w:pPr>
          </w:p>
        </w:tc>
      </w:tr>
      <w:tr>
        <w:trPr>
          <w:trHeight w:val="276"/>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164,365</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164,359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8"/>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right"/>
              <w:ind w:right="123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12"/>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Unrealized Gains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2"/>
              </w:rPr>
              <w:t>Unrealized Losses</w:t>
            </w:r>
          </w:p>
        </w:tc>
        <w:tc>
          <w:tcPr>
            <w:tcW w:w="120" w:type="dxa"/>
            <w:vAlign w:val="bottom"/>
          </w:tcPr>
          <w:p>
            <w:pPr>
              <w:spacing w:after="0"/>
              <w:rPr>
                <w:sz w:val="14"/>
                <w:szCs w:val="14"/>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Estimated Fair Value</w:t>
            </w:r>
          </w:p>
        </w:tc>
        <w:tc>
          <w:tcPr>
            <w:tcW w:w="100" w:type="dxa"/>
            <w:vAlign w:val="bottom"/>
          </w:tcPr>
          <w:p>
            <w:pPr>
              <w:spacing w:after="0"/>
              <w:rPr>
                <w:sz w:val="14"/>
                <w:szCs w:val="14"/>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18,765</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24,800</w:t>
            </w:r>
          </w:p>
        </w:tc>
        <w:tc>
          <w:tcPr>
            <w:tcW w:w="100" w:type="dxa"/>
            <w:vAlign w:val="bottom"/>
          </w:tcPr>
          <w:p>
            <w:pPr>
              <w:spacing w:after="0"/>
              <w:rPr>
                <w:sz w:val="20"/>
                <w:szCs w:val="20"/>
                <w:color w:val="auto"/>
              </w:rPr>
            </w:pPr>
          </w:p>
        </w:tc>
      </w:tr>
      <w:tr>
        <w:trPr>
          <w:trHeight w:val="237"/>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43,565</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9"/>
        </w:trPr>
        <w:tc>
          <w:tcPr>
            <w:tcW w:w="42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145,880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145,785</w:t>
            </w: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111,197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111,222</w:t>
            </w:r>
          </w:p>
        </w:tc>
        <w:tc>
          <w:tcPr>
            <w:tcW w:w="100" w:type="dxa"/>
            <w:vAlign w:val="bottom"/>
          </w:tcPr>
          <w:p>
            <w:pPr>
              <w:spacing w:after="0"/>
              <w:rPr>
                <w:sz w:val="20"/>
                <w:szCs w:val="20"/>
                <w:color w:val="auto"/>
              </w:rPr>
            </w:pPr>
          </w:p>
        </w:tc>
      </w:tr>
      <w:tr>
        <w:trPr>
          <w:trHeight w:val="276"/>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257,077</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-2630805</wp:posOffset>
            </wp:positionV>
            <wp:extent cx="76835" cy="316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31686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-2630805</wp:posOffset>
            </wp:positionV>
            <wp:extent cx="68580" cy="316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-2630805</wp:posOffset>
            </wp:positionV>
            <wp:extent cx="68580" cy="316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316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-1842135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-1824990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-1842135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-1824990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-1842135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-1824990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-813435</wp:posOffset>
            </wp:positionV>
            <wp:extent cx="76835" cy="316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31686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-813435</wp:posOffset>
            </wp:positionV>
            <wp:extent cx="68580" cy="316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-813435</wp:posOffset>
            </wp:positionV>
            <wp:extent cx="68580" cy="316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316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768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the maturities of our cash equivalents and available-for-sale securities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 2023</w:t>
            </w: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Mature in one year or less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398,135</w:t>
            </w:r>
          </w:p>
        </w:tc>
        <w:tc>
          <w:tcPr>
            <w:tcW w:w="320" w:type="dxa"/>
            <w:vAlign w:val="bottom"/>
          </w:tcPr>
          <w:p>
            <w:pPr>
              <w:spacing w:after="0"/>
              <w:rPr>
                <w:sz w:val="20"/>
                <w:szCs w:val="20"/>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398,129</w:t>
            </w:r>
          </w:p>
        </w:tc>
        <w:tc>
          <w:tcPr>
            <w:tcW w:w="100" w:type="dxa"/>
            <w:vAlign w:val="bottom"/>
          </w:tcPr>
          <w:p>
            <w:pPr>
              <w:spacing w:after="0"/>
              <w:rPr>
                <w:sz w:val="20"/>
                <w:szCs w:val="20"/>
                <w:color w:val="auto"/>
              </w:rPr>
            </w:pPr>
          </w:p>
        </w:tc>
      </w:tr>
      <w:tr>
        <w:trPr>
          <w:trHeight w:val="276"/>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398,135</w:t>
            </w:r>
          </w:p>
        </w:tc>
        <w:tc>
          <w:tcPr>
            <w:tcW w:w="3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398,129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-25400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 2022</w:t>
            </w: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Mature in one year or less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300,642</w:t>
            </w:r>
          </w:p>
        </w:tc>
        <w:tc>
          <w:tcPr>
            <w:tcW w:w="320" w:type="dxa"/>
            <w:vAlign w:val="bottom"/>
          </w:tcPr>
          <w:p>
            <w:pPr>
              <w:spacing w:after="0"/>
              <w:rPr>
                <w:sz w:val="20"/>
                <w:szCs w:val="20"/>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300,572</w:t>
            </w:r>
          </w:p>
        </w:tc>
        <w:tc>
          <w:tcPr>
            <w:tcW w:w="100" w:type="dxa"/>
            <w:vAlign w:val="bottom"/>
          </w:tcPr>
          <w:p>
            <w:pPr>
              <w:spacing w:after="0"/>
              <w:rPr>
                <w:sz w:val="20"/>
                <w:szCs w:val="20"/>
                <w:color w:val="auto"/>
              </w:rPr>
            </w:pPr>
          </w:p>
        </w:tc>
      </w:tr>
      <w:tr>
        <w:trPr>
          <w:trHeight w:val="276"/>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300,642</w:t>
            </w:r>
          </w:p>
        </w:tc>
        <w:tc>
          <w:tcPr>
            <w:tcW w:w="3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-25400</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right="140" w:firstLine="509"/>
        <w:spacing w:after="0" w:line="258" w:lineRule="auto"/>
        <w:rPr>
          <w:sz w:val="20"/>
          <w:szCs w:val="20"/>
          <w:color w:val="auto"/>
        </w:rPr>
      </w:pPr>
      <w:r>
        <w:rPr>
          <w:rFonts w:ascii="Arial" w:cs="Arial" w:eastAsia="Arial" w:hAnsi="Arial"/>
          <w:sz w:val="18"/>
          <w:szCs w:val="18"/>
          <w:color w:val="auto"/>
        </w:rPr>
        <w:t>The following table presents the breakdown of the Company's available-for-sale securities with gross unrealized losses and the duration that those losses had been unrealized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2740" w:type="dxa"/>
            <w:vAlign w:val="bottom"/>
            <w:gridSpan w:val="6"/>
            <w:vMerge w:val="restart"/>
          </w:tcPr>
          <w:p>
            <w:pPr>
              <w:jc w:val="right"/>
              <w:ind w:right="161"/>
              <w:spacing w:after="0"/>
              <w:rPr>
                <w:sz w:val="20"/>
                <w:szCs w:val="20"/>
                <w:color w:val="auto"/>
              </w:rPr>
            </w:pPr>
            <w:r>
              <w:rPr>
                <w:rFonts w:ascii="Arial" w:cs="Arial" w:eastAsia="Arial" w:hAnsi="Arial"/>
                <w:sz w:val="14"/>
                <w:szCs w:val="14"/>
                <w:b w:val="1"/>
                <w:bCs w:val="1"/>
                <w:color w:val="auto"/>
                <w:w w:val="92"/>
              </w:rPr>
              <w:t>Unrealized Losses Less Than 12 Months</w:t>
            </w:r>
          </w:p>
        </w:tc>
        <w:tc>
          <w:tcPr>
            <w:tcW w:w="180" w:type="dxa"/>
            <w:vAlign w:val="bottom"/>
          </w:tcPr>
          <w:p>
            <w:pPr>
              <w:spacing w:after="0"/>
              <w:rPr>
                <w:sz w:val="11"/>
                <w:szCs w:val="11"/>
                <w:color w:val="auto"/>
              </w:rPr>
            </w:pPr>
          </w:p>
        </w:tc>
        <w:tc>
          <w:tcPr>
            <w:tcW w:w="206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1"/>
              </w:rPr>
              <w:t>Unrealized Losses 12 Months or</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274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Greater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Unrealized Losses</w:t>
            </w:r>
          </w:p>
        </w:tc>
        <w:tc>
          <w:tcPr>
            <w:tcW w:w="18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90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Unrealized Losses</w:t>
            </w: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left="142"/>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57,367</w:t>
            </w:r>
          </w:p>
        </w:tc>
        <w:tc>
          <w:tcPr>
            <w:tcW w:w="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FF0FC"/>
          </w:tcPr>
          <w:p>
            <w:pPr>
              <w:jc w:val="right"/>
              <w:ind w:right="72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57,367</w:t>
            </w:r>
          </w:p>
        </w:tc>
        <w:tc>
          <w:tcPr>
            <w:tcW w:w="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7"/>
        </w:trPr>
        <w:tc>
          <w:tcPr>
            <w:tcW w:w="324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17,945</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0"/>
                <w:szCs w:val="20"/>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17,945</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6"/>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75,312</w:t>
            </w: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75,312</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86"/>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2740" w:type="dxa"/>
            <w:vAlign w:val="bottom"/>
            <w:gridSpan w:val="6"/>
            <w:vMerge w:val="restart"/>
          </w:tcPr>
          <w:p>
            <w:pPr>
              <w:jc w:val="right"/>
              <w:ind w:right="161"/>
              <w:spacing w:after="0"/>
              <w:rPr>
                <w:sz w:val="20"/>
                <w:szCs w:val="20"/>
                <w:color w:val="auto"/>
              </w:rPr>
            </w:pPr>
            <w:r>
              <w:rPr>
                <w:rFonts w:ascii="Arial" w:cs="Arial" w:eastAsia="Arial" w:hAnsi="Arial"/>
                <w:sz w:val="14"/>
                <w:szCs w:val="14"/>
                <w:b w:val="1"/>
                <w:bCs w:val="1"/>
                <w:color w:val="auto"/>
                <w:w w:val="92"/>
              </w:rPr>
              <w:t>Unrealized Losses Less Than 12 Months</w:t>
            </w:r>
          </w:p>
        </w:tc>
        <w:tc>
          <w:tcPr>
            <w:tcW w:w="180" w:type="dxa"/>
            <w:vAlign w:val="bottom"/>
          </w:tcPr>
          <w:p>
            <w:pPr>
              <w:spacing w:after="0"/>
              <w:rPr>
                <w:sz w:val="11"/>
                <w:szCs w:val="11"/>
                <w:color w:val="auto"/>
              </w:rPr>
            </w:pPr>
          </w:p>
        </w:tc>
        <w:tc>
          <w:tcPr>
            <w:tcW w:w="206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1"/>
              </w:rPr>
              <w:t>Unrealized Losses 12 Months or</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274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Greater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Unrealized Losses</w:t>
            </w:r>
          </w:p>
        </w:tc>
        <w:tc>
          <w:tcPr>
            <w:tcW w:w="18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90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Unrealized Losses</w:t>
            </w: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left="142"/>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140,822</w:t>
            </w:r>
          </w:p>
        </w:tc>
        <w:tc>
          <w:tcPr>
            <w:tcW w:w="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(96 )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FF0FC"/>
          </w:tcPr>
          <w:p>
            <w:pPr>
              <w:jc w:val="right"/>
              <w:ind w:right="72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140,822</w:t>
            </w:r>
          </w:p>
        </w:tc>
        <w:tc>
          <w:tcPr>
            <w:tcW w:w="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37"/>
        </w:trPr>
        <w:tc>
          <w:tcPr>
            <w:tcW w:w="324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26,811</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(12 )</w:t>
            </w:r>
          </w:p>
        </w:tc>
        <w:tc>
          <w:tcPr>
            <w:tcW w:w="180" w:type="dxa"/>
            <w:vAlign w:val="bottom"/>
          </w:tcPr>
          <w:p>
            <w:pPr>
              <w:spacing w:after="0"/>
              <w:rPr>
                <w:sz w:val="20"/>
                <w:szCs w:val="20"/>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26,811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6"/>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167,633</w:t>
            </w: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167,633</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-1422400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-1405255</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-1422400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-1405255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-1422400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-1405255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-1422400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-1405255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-1422400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-1405255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-25400</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firstLine="509"/>
        <w:spacing w:after="0" w:line="254" w:lineRule="auto"/>
        <w:rPr>
          <w:sz w:val="20"/>
          <w:szCs w:val="20"/>
          <w:color w:val="auto"/>
        </w:rPr>
      </w:pPr>
      <w:r>
        <w:rPr>
          <w:rFonts w:ascii="Arial" w:cs="Arial" w:eastAsia="Arial" w:hAnsi="Arial"/>
          <w:sz w:val="18"/>
          <w:szCs w:val="18"/>
          <w:color w:val="auto"/>
        </w:rPr>
        <w:t>The Company regularly reviews the changes to the rating of its securities and monitors the surrounding economic conditions to assess the risk of expected credit losses. As of September 30, 2023 and December 31, 2022, there were no securities that were in an unrealized loss position for more than 12 months. As of September 30, 2023, the unrealized losses on the Company’s investments in U.S. treasury securities and U.S. government agency securities were primarily caused by interest rate increases. The Company does not expect the issuers to settle any security at a price less than the amortized cost basis of the investment with the contractual cash flows of these investments guaranteed by the issuer. No allowance for credit losses has been recorded since it is not more-likely-than-not that the Company will be required to sell the investments before recovery of their amortized cost basis.</w:t>
      </w:r>
    </w:p>
    <w:p>
      <w:pPr>
        <w:spacing w:after="0" w:line="299"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Items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Prepaid Expenses and Other Current Assets</w:t>
      </w:r>
    </w:p>
    <w:p>
      <w:pPr>
        <w:spacing w:after="0" w:line="144"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Prepaid and other current assets consisted of the following (in thousands):</w:t>
      </w:r>
    </w:p>
    <w:p>
      <w:pPr>
        <w:spacing w:after="0" w:line="2"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r>
      <w:tr>
        <w:trPr>
          <w:trHeight w:val="185"/>
        </w:trPr>
        <w:tc>
          <w:tcPr>
            <w:tcW w:w="5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w:t>
            </w:r>
          </w:p>
        </w:tc>
        <w:tc>
          <w:tcPr>
            <w:tcW w:w="80" w:type="dxa"/>
            <w:vAlign w:val="bottom"/>
            <w:shd w:val="clear" w:color="auto" w:fill="CFF0FC"/>
          </w:tcPr>
          <w:p>
            <w:pPr>
              <w:spacing w:after="0"/>
              <w:rPr>
                <w:sz w:val="20"/>
                <w:szCs w:val="20"/>
                <w:color w:val="auto"/>
              </w:rPr>
            </w:pP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20"/>
                <w:szCs w:val="20"/>
                <w:color w:val="auto"/>
              </w:rPr>
            </w:pPr>
          </w:p>
        </w:tc>
      </w:tr>
      <w:tr>
        <w:trPr>
          <w:trHeight w:val="243"/>
        </w:trPr>
        <w:tc>
          <w:tcPr>
            <w:tcW w:w="5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prepaid expenses and other assets</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5,605</w:t>
            </w:r>
          </w:p>
        </w:tc>
        <w:tc>
          <w:tcPr>
            <w:tcW w:w="8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-187960</wp:posOffset>
            </wp:positionV>
            <wp:extent cx="51435"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51435"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20"/>
                <w:szCs w:val="20"/>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12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-24765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Depreciation expense for each of the three and nine months ended September 30, 2023 and 2022 was immaterial.</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3352"/>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1"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 w:lineRule="exact"/>
        <w:rPr>
          <w:sz w:val="20"/>
          <w:szCs w:val="20"/>
          <w:color w:val="auto"/>
        </w:rPr>
      </w:pPr>
    </w:p>
    <w:tbl>
      <w:tblPr>
        <w:tblLayout w:type="fixed"/>
        <w:tblInd w:w="1352"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r>
      <w:tr>
        <w:trPr>
          <w:trHeight w:val="185"/>
        </w:trPr>
        <w:tc>
          <w:tcPr>
            <w:tcW w:w="5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7,554</w:t>
            </w:r>
          </w:p>
        </w:tc>
        <w:tc>
          <w:tcPr>
            <w:tcW w:w="80" w:type="dxa"/>
            <w:vAlign w:val="bottom"/>
            <w:shd w:val="clear" w:color="auto" w:fill="CFF0FC"/>
          </w:tcPr>
          <w:p>
            <w:pPr>
              <w:spacing w:after="0"/>
              <w:rPr>
                <w:sz w:val="20"/>
                <w:szCs w:val="20"/>
                <w:color w:val="auto"/>
              </w:rPr>
            </w:pP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Accrued payroll related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7,001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6,129</w:t>
            </w:r>
          </w:p>
        </w:tc>
        <w:tc>
          <w:tcPr>
            <w:tcW w:w="80" w:type="dxa"/>
            <w:vAlign w:val="bottom"/>
          </w:tcPr>
          <w:p>
            <w:pPr>
              <w:spacing w:after="0"/>
              <w:rPr>
                <w:sz w:val="20"/>
                <w:szCs w:val="20"/>
                <w:color w:val="auto"/>
              </w:rPr>
            </w:pPr>
          </w:p>
        </w:tc>
      </w:tr>
      <w:tr>
        <w:trPr>
          <w:trHeight w:val="249"/>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service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w:t>
            </w:r>
          </w:p>
        </w:tc>
        <w:tc>
          <w:tcPr>
            <w:tcW w:w="80" w:type="dxa"/>
            <w:vAlign w:val="bottom"/>
            <w:shd w:val="clear" w:color="auto" w:fill="CFF0FC"/>
          </w:tcPr>
          <w:p>
            <w:pPr>
              <w:spacing w:after="0"/>
              <w:rPr>
                <w:sz w:val="21"/>
                <w:szCs w:val="21"/>
                <w:color w:val="auto"/>
              </w:rPr>
            </w:pP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0"/>
                <w:szCs w:val="20"/>
                <w:color w:val="auto"/>
              </w:rPr>
            </w:pPr>
          </w:p>
        </w:tc>
      </w:tr>
      <w:tr>
        <w:trPr>
          <w:trHeight w:val="277"/>
        </w:trPr>
        <w:tc>
          <w:tcPr>
            <w:tcW w:w="5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20,647</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-25400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5357495</wp:posOffset>
            </wp:positionH>
            <wp:positionV relativeFrom="paragraph">
              <wp:posOffset>-7620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-25400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-7620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12" w:hanging="512"/>
        <w:spacing w:after="0"/>
        <w:tabs>
          <w:tab w:leader="none" w:pos="51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21"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Research Collaboration and License Agreement with Sprint Bioscience AB</w:t>
      </w:r>
    </w:p>
    <w:p>
      <w:pPr>
        <w:spacing w:after="0" w:line="117" w:lineRule="exact"/>
        <w:rPr>
          <w:sz w:val="20"/>
          <w:szCs w:val="20"/>
          <w:color w:val="auto"/>
        </w:rPr>
      </w:pPr>
    </w:p>
    <w:p>
      <w:pPr>
        <w:ind w:left="512" w:firstLine="509"/>
        <w:spacing w:after="0" w:line="301" w:lineRule="auto"/>
        <w:rPr>
          <w:sz w:val="20"/>
          <w:szCs w:val="20"/>
          <w:color w:val="auto"/>
        </w:rPr>
      </w:pPr>
      <w:r>
        <w:rPr>
          <w:rFonts w:ascii="Arial" w:cs="Arial" w:eastAsia="Arial" w:hAnsi="Arial"/>
          <w:sz w:val="16"/>
          <w:szCs w:val="16"/>
          <w:color w:val="auto"/>
        </w:rPr>
        <w:t>On August 15, 2023, the Company entered into a research collaboration and license agreement, or the Sprint License Agreement, with Sprint Bioscience AB, or Sprint, a Swedish corporation located in Huddinge, Sweden. Under the Sprint License Agreement, Sprint granted to the Company an exclusive, worldwide license, with the right to grant sublicenses through multiple tiers, to research, develop, and commercialize pharmaceutical products and to engage in research aimed at discovery, optimization and development of Vaccinia Related Kinase 1, or VRK1.</w:t>
      </w:r>
    </w:p>
    <w:p>
      <w:pPr>
        <w:spacing w:after="0" w:line="49" w:lineRule="exact"/>
        <w:rPr>
          <w:sz w:val="20"/>
          <w:szCs w:val="20"/>
          <w:color w:val="auto"/>
        </w:rPr>
      </w:pPr>
    </w:p>
    <w:p>
      <w:pPr>
        <w:ind w:left="512" w:right="20" w:firstLine="509"/>
        <w:spacing w:after="0" w:line="288" w:lineRule="auto"/>
        <w:rPr>
          <w:sz w:val="20"/>
          <w:szCs w:val="20"/>
          <w:color w:val="auto"/>
        </w:rPr>
      </w:pPr>
      <w:r>
        <w:rPr>
          <w:rFonts w:ascii="Arial" w:cs="Arial" w:eastAsia="Arial" w:hAnsi="Arial"/>
          <w:sz w:val="16"/>
          <w:szCs w:val="16"/>
          <w:color w:val="auto"/>
        </w:rPr>
        <w:t>The Company paid $3.0 million upfront in cash to Sprint, which was recorded as research and development expenses as the technology does not have an alternative future use, in the three and nine months ended September 30, 2023. The Company is required to make milestone payments of up to $74.0 million upon achievement of specified research, development, and regulatory milestones for each licensed product and sales milestone payments of up to $235.0 million upon achievement of specified sales milestones for each licensed product. Commencing on the first commercial sale of a licensed product in a country, the Company is obligated to pay tiered royalties ranging in the single-digit percentages on net sales of licensed products, if any. The obligation to pay royalties on a country-by-country and licensed product-by-licensed product basis commences on the first commercial sale in a country and continuing until the later of: (i) the expiration of the last valid claim of the Sprint or the Company's patents that claims the composition of matter of the licensed compound of such licensed product in such country, (ii) the 10th anniversary of the date of the first commercial sale of such licensed product in such country, and (iii) termination or expiration of regulatory exclusivity for such licensed product in such country. No milestones were achieved and due as of September 30, 2023.</w:t>
      </w:r>
    </w:p>
    <w:p>
      <w:pPr>
        <w:spacing w:after="0" w:line="60" w:lineRule="exact"/>
        <w:rPr>
          <w:sz w:val="20"/>
          <w:szCs w:val="20"/>
          <w:color w:val="auto"/>
        </w:rPr>
      </w:pPr>
    </w:p>
    <w:p>
      <w:pPr>
        <w:ind w:left="512" w:right="160" w:firstLine="509"/>
        <w:spacing w:after="0" w:line="286" w:lineRule="auto"/>
        <w:rPr>
          <w:sz w:val="20"/>
          <w:szCs w:val="20"/>
          <w:color w:val="auto"/>
        </w:rPr>
      </w:pPr>
      <w:r>
        <w:rPr>
          <w:rFonts w:ascii="Arial" w:cs="Arial" w:eastAsia="Arial" w:hAnsi="Arial"/>
          <w:sz w:val="17"/>
          <w:szCs w:val="17"/>
          <w:color w:val="auto"/>
        </w:rPr>
        <w:t>The term of the Sprint License Agreement will expire on a licensed product and country basis upon the expiration of the royalty term with respect to such licensed product and such country, unless terminated earlier. The Company has the right to terminate the Sprint License Agreement in its entirety, or on a licensed product-by-licensed product basis, at will upon a specified notice period.</w:t>
      </w:r>
    </w:p>
    <w:p>
      <w:pPr>
        <w:spacing w:after="0" w:line="57"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17" w:lineRule="exact"/>
        <w:rPr>
          <w:sz w:val="20"/>
          <w:szCs w:val="20"/>
          <w:color w:val="auto"/>
        </w:rPr>
      </w:pPr>
    </w:p>
    <w:p>
      <w:pPr>
        <w:ind w:left="512" w:right="40" w:firstLine="509"/>
        <w:spacing w:after="0" w:line="271" w:lineRule="auto"/>
        <w:rPr>
          <w:sz w:val="20"/>
          <w:szCs w:val="20"/>
          <w:color w:val="auto"/>
        </w:rPr>
      </w:pPr>
      <w:r>
        <w:rPr>
          <w:rFonts w:ascii="Arial" w:cs="Arial" w:eastAsia="Arial" w:hAnsi="Arial"/>
          <w:sz w:val="17"/>
          <w:szCs w:val="17"/>
          <w:color w:val="auto"/>
        </w:rPr>
        <w:t>On February 10, 2021, DOT Therapeutics-2, Inc., or DOT-2, the Company’s subsidiary, entered into a license agreement, or the MRKDG License Agreement, with Merck KGaA, Darmstadt, Germany, a pharmaceutical corporation located in Darmstadt, Germany. 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inventory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70" w:lineRule="exact"/>
        <w:rPr>
          <w:sz w:val="20"/>
          <w:szCs w:val="20"/>
          <w:color w:val="auto"/>
        </w:rPr>
      </w:pPr>
    </w:p>
    <w:p>
      <w:pPr>
        <w:ind w:left="512" w:right="120" w:firstLine="509"/>
        <w:spacing w:after="0" w:line="258" w:lineRule="auto"/>
        <w:rPr>
          <w:sz w:val="20"/>
          <w:szCs w:val="20"/>
          <w:color w:val="auto"/>
        </w:rPr>
      </w:pPr>
      <w:r>
        <w:rPr>
          <w:rFonts w:ascii="Arial" w:cs="Arial" w:eastAsia="Arial" w:hAnsi="Arial"/>
          <w:sz w:val="18"/>
          <w:szCs w:val="18"/>
          <w:color w:val="auto"/>
        </w:rPr>
        <w:t>Under the MRKDG License Agreement, the Company has obligations to use commercially reasonable efforts to develop and commercialize at least two licensed products in at least two specified major market countries by the year 2029.</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4" w:name="page15"/>
    <w:bookmarkEnd w:id="14"/>
    <w:p>
      <w:pPr>
        <w:ind w:left="28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1"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Additionally, the Company made a milestone payment of $2.5 million, which was recorded as research and development expenses due to the nature of the license agreement and the milestone event relating to the first dosing of a patient in a first clinical trial of a product containing pimasertib, in the year ended December 31, 2022. The Company may also be required to make additional payments of up to $364.5 million based upon the achievement of specified development, regulatory, and commercial milestones, as well as a high, single-digit royalty percentage on future net sales of licensed products, if any. Milestones and royalties are contingent upon future events and will be recorded when the milestones are achieved and when payments are due. No milestones were achieved and due as of September 30, 2023.</w:t>
      </w:r>
    </w:p>
    <w:p>
      <w:pPr>
        <w:spacing w:after="0" w:line="5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spacing w:after="0" w:line="79"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Effective December 31, 2021, DOT-2 was merged with and into the Company, with the Company being the surviving corporation and assuming DOT-2’s obligations under the MRKDG License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Asset Purchase Agreement</w:t>
      </w:r>
    </w:p>
    <w:p>
      <w:pPr>
        <w:spacing w:after="0" w:line="11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On December 16, 2019, DOT Therapeutics-1, Inc., or DOT-1, the Company’s subsidiary,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know-how related to TAK-580 (which is now tovorafenib (DAY101)) that provides a new approach for treating patients with primary brain tumors or brain metastases of solid tumors. DOT-1 also received clinical inventory supplies to use in the Company’s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7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Based on the terms of the Millennium Stock Exchange Agreement, Takeda exchanged the 9,857,143 shares of Series A redeemable convertible preferred stock of DOT-1 for 6,470,382 shares of the Company’s common stock upon the effectiveness of the Conversion, on May 26, 2021.</w:t>
      </w:r>
    </w:p>
    <w:p>
      <w:pPr>
        <w:spacing w:after="0" w:line="71"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term of the Takeda Asset Agreement will expire on a country-by-country basis upon expiration of all assigned patent rights and all licensed patent rights in such country. Takeda may terminate the Takeda Asset Agreement prior to the Company's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the Company's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58"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Effective December 31, 2021, DOT-1 was merged with and into the Company, with the Company being the surviving corporation and assuming DOT-1’s obligations under the Takeda Assets Purchase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17" w:lineRule="exact"/>
        <w:rPr>
          <w:sz w:val="20"/>
          <w:szCs w:val="20"/>
          <w:color w:val="auto"/>
        </w:rPr>
      </w:pPr>
    </w:p>
    <w:p>
      <w:pPr>
        <w:ind w:right="240" w:firstLine="509"/>
        <w:spacing w:after="0" w:line="271" w:lineRule="auto"/>
        <w:rPr>
          <w:sz w:val="20"/>
          <w:szCs w:val="20"/>
          <w:color w:val="auto"/>
        </w:rPr>
      </w:pPr>
      <w:r>
        <w:rPr>
          <w:rFonts w:ascii="Arial" w:cs="Arial" w:eastAsia="Arial" w:hAnsi="Arial"/>
          <w:sz w:val="17"/>
          <w:szCs w:val="17"/>
          <w:color w:val="auto"/>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jc w:val="center"/>
        <w:ind w:right="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53340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21" w:right="359" w:bottom="1440" w:gutter="0" w:footer="0" w:header="0"/>
        </w:sectPr>
      </w:pPr>
    </w:p>
    <w:bookmarkStart w:id="15" w:name="page16"/>
    <w:bookmarkEnd w:id="15"/>
    <w:p>
      <w:pPr>
        <w:jc w:val="center"/>
        <w:ind w:right="-11"/>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1" w:lineRule="exact"/>
        <w:rPr>
          <w:sz w:val="20"/>
          <w:szCs w:val="20"/>
          <w:color w:val="auto"/>
        </w:rPr>
      </w:pPr>
    </w:p>
    <w:p>
      <w:pPr>
        <w:ind w:left="512" w:right="20" w:firstLine="509"/>
        <w:spacing w:after="0" w:line="268" w:lineRule="auto"/>
        <w:rPr>
          <w:sz w:val="20"/>
          <w:szCs w:val="20"/>
          <w:color w:val="auto"/>
        </w:rPr>
      </w:pPr>
      <w:r>
        <w:rPr>
          <w:rFonts w:ascii="Arial" w:cs="Arial" w:eastAsia="Arial" w:hAnsi="Arial"/>
          <w:sz w:val="17"/>
          <w:szCs w:val="17"/>
          <w:color w:val="auto"/>
        </w:rPr>
        <w:t>DOT-1 paid $2.0 million upfront in cash to Viracta, which was recorded as research and development expenses in 2019. DOT-1 made a milestone payment of $3.0 million to Viracta in February 2021, which was recorded as research and development expense when the milestone was achieved in April 2021. DOT-1 is also required to make additional milestone payments of up to $54.0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milestones were achieved and due as of September 30, 2023. Subsequent to September 30, 2023, a milestone related to the Viracta License Agreement was achieved and recorded to research and development expense as disclosed in Note 11.</w:t>
      </w:r>
    </w:p>
    <w:p>
      <w:pPr>
        <w:spacing w:after="0" w:line="74" w:lineRule="exact"/>
        <w:rPr>
          <w:sz w:val="20"/>
          <w:szCs w:val="20"/>
          <w:color w:val="auto"/>
        </w:rPr>
      </w:pPr>
    </w:p>
    <w:p>
      <w:pPr>
        <w:ind w:left="512" w:right="80" w:firstLine="509"/>
        <w:spacing w:after="0" w:line="286" w:lineRule="auto"/>
        <w:rPr>
          <w:sz w:val="20"/>
          <w:szCs w:val="20"/>
          <w:color w:val="auto"/>
        </w:rPr>
      </w:pPr>
      <w:r>
        <w:rPr>
          <w:rFonts w:ascii="Arial" w:cs="Arial" w:eastAsia="Arial" w:hAnsi="Arial"/>
          <w:sz w:val="17"/>
          <w:szCs w:val="17"/>
          <w:color w:val="auto"/>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r>
    </w:p>
    <w:p>
      <w:pPr>
        <w:spacing w:after="0" w:line="57" w:lineRule="exact"/>
        <w:rPr>
          <w:sz w:val="20"/>
          <w:szCs w:val="20"/>
          <w:color w:val="auto"/>
        </w:rPr>
      </w:pPr>
    </w:p>
    <w:p>
      <w:pPr>
        <w:ind w:left="512" w:right="580" w:firstLine="509"/>
        <w:spacing w:after="0" w:line="277" w:lineRule="auto"/>
        <w:rPr>
          <w:sz w:val="20"/>
          <w:szCs w:val="20"/>
          <w:color w:val="auto"/>
        </w:rPr>
      </w:pPr>
      <w:r>
        <w:rPr>
          <w:rFonts w:ascii="Arial" w:cs="Arial" w:eastAsia="Arial" w:hAnsi="Arial"/>
          <w:sz w:val="18"/>
          <w:szCs w:val="18"/>
          <w:color w:val="auto"/>
        </w:rPr>
        <w:t>Effective December 31, 2021, DOT-1 was merged with and into the Company, with the Company being the surviving corporation and assuming DOT-1’s obligations under Viracta License Agreement.</w:t>
      </w:r>
    </w:p>
    <w:p>
      <w:pPr>
        <w:spacing w:after="0" w:line="274" w:lineRule="exact"/>
        <w:rPr>
          <w:sz w:val="20"/>
          <w:szCs w:val="20"/>
          <w:color w:val="auto"/>
        </w:rPr>
      </w:pPr>
    </w:p>
    <w:p>
      <w:pPr>
        <w:ind w:left="512" w:right="8180" w:hanging="512"/>
        <w:spacing w:after="0" w:line="377" w:lineRule="auto"/>
        <w:tabs>
          <w:tab w:leader="none" w:pos="5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2" w:lineRule="exact"/>
        <w:rPr>
          <w:sz w:val="20"/>
          <w:szCs w:val="20"/>
          <w:color w:val="auto"/>
        </w:rPr>
      </w:pPr>
    </w:p>
    <w:p>
      <w:pPr>
        <w:ind w:left="512" w:firstLine="509"/>
        <w:spacing w:after="0" w:line="270" w:lineRule="auto"/>
        <w:rPr>
          <w:sz w:val="20"/>
          <w:szCs w:val="20"/>
          <w:color w:val="auto"/>
        </w:rPr>
      </w:pPr>
      <w:r>
        <w:rPr>
          <w:rFonts w:ascii="Arial" w:cs="Arial" w:eastAsia="Arial" w:hAnsi="Arial"/>
          <w:sz w:val="17"/>
          <w:szCs w:val="17"/>
          <w:color w:val="auto"/>
        </w:rPr>
        <w:t>In April 2022, the Company entered into a lease agreement for approximately 12,000 square feet of general use office space in Brisbane, California. Such agreement was determined to be a lease since the right to control the use of the identified asset was conveyed to the Company for a period of time in exchange for consideration. The term of the lease is 31 months and commenced in May 2022.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also an operating lease. The total payments for base rent over the term of the lease is approximately $1.1 million. Upon execution of the agreement, the Company paid a security deposit of approximately $40,000 classified as deposits and other long-term assets on the condensed consolidated balance sheets.</w:t>
      </w:r>
    </w:p>
    <w:p>
      <w:pPr>
        <w:spacing w:after="0" w:line="73" w:lineRule="exact"/>
        <w:rPr>
          <w:sz w:val="20"/>
          <w:szCs w:val="20"/>
          <w:color w:val="auto"/>
        </w:rPr>
      </w:pPr>
    </w:p>
    <w:p>
      <w:pPr>
        <w:ind w:left="512" w:right="40" w:firstLine="509"/>
        <w:spacing w:after="0" w:line="257" w:lineRule="auto"/>
        <w:rPr>
          <w:sz w:val="20"/>
          <w:szCs w:val="20"/>
          <w:color w:val="auto"/>
        </w:rPr>
      </w:pPr>
      <w:r>
        <w:rPr>
          <w:rFonts w:ascii="Arial" w:cs="Arial" w:eastAsia="Arial" w:hAnsi="Arial"/>
          <w:sz w:val="18"/>
          <w:szCs w:val="18"/>
          <w:color w:val="auto"/>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September 30, 2023, the weighted-average remaining lease term and weighted-average discount rate were 1.2 years and 9.0%, respectively.</w:t>
      </w:r>
    </w:p>
    <w:p>
      <w:pPr>
        <w:spacing w:after="0" w:line="80" w:lineRule="exact"/>
        <w:rPr>
          <w:sz w:val="20"/>
          <w:szCs w:val="20"/>
          <w:color w:val="auto"/>
        </w:rPr>
      </w:pPr>
    </w:p>
    <w:p>
      <w:pPr>
        <w:ind w:left="1012"/>
        <w:spacing w:after="0"/>
        <w:rPr>
          <w:sz w:val="20"/>
          <w:szCs w:val="20"/>
          <w:color w:val="auto"/>
        </w:rPr>
      </w:pPr>
      <w:r>
        <w:rPr>
          <w:rFonts w:ascii="Arial" w:cs="Arial" w:eastAsia="Arial" w:hAnsi="Arial"/>
          <w:sz w:val="16"/>
          <w:szCs w:val="16"/>
          <w:color w:val="auto"/>
        </w:rPr>
        <w:t>The Company’s lease does not require any contingent rental payments, impose financial restrictions, or contain any residual value guarantees.</w:t>
      </w:r>
    </w:p>
    <w:p>
      <w:pPr>
        <w:spacing w:after="0" w:line="140" w:lineRule="exact"/>
        <w:rPr>
          <w:sz w:val="20"/>
          <w:szCs w:val="20"/>
          <w:color w:val="auto"/>
        </w:rPr>
      </w:pPr>
    </w:p>
    <w:p>
      <w:pPr>
        <w:ind w:left="512" w:right="80" w:firstLine="509"/>
        <w:spacing w:after="0" w:line="253" w:lineRule="auto"/>
        <w:rPr>
          <w:sz w:val="20"/>
          <w:szCs w:val="20"/>
          <w:color w:val="auto"/>
        </w:rPr>
      </w:pPr>
      <w:r>
        <w:rPr>
          <w:rFonts w:ascii="Arial" w:cs="Arial" w:eastAsia="Arial" w:hAnsi="Arial"/>
          <w:sz w:val="18"/>
          <w:szCs w:val="18"/>
          <w:color w:val="auto"/>
        </w:rPr>
        <w:t>Lease expense of right-of-use assets is recognized on a straight-line basis over the applicable lease term. Lease expense was $0.1 million for each of the three months ended September 30, 2023 and 2022 and was $0.3 million for each of the nine months ended September 30, 2023 and 2022. Cash paid for amounts included in the measurement of operating lease liabilities was $0.3 million and $0.2 million for the nine months ended September 30, 2023 and 2022, respectively. Variable payments expensed during the three and nine months ended September 30, 2023 and 2022 were immaterial.</w:t>
      </w:r>
    </w:p>
    <w:p>
      <w:pPr>
        <w:spacing w:after="0" w:line="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9220" w:type="dxa"/>
            <w:vAlign w:val="bottom"/>
          </w:tcPr>
          <w:p>
            <w:pPr>
              <w:ind w:left="3360"/>
              <w:spacing w:after="0"/>
              <w:rPr>
                <w:sz w:val="20"/>
                <w:szCs w:val="20"/>
                <w:color w:val="auto"/>
              </w:rPr>
            </w:pPr>
            <w:r>
              <w:rPr>
                <w:rFonts w:ascii="Arial" w:cs="Arial" w:eastAsia="Arial" w:hAnsi="Arial"/>
                <w:sz w:val="18"/>
                <w:szCs w:val="18"/>
                <w:b w:val="1"/>
                <w:bCs w:val="1"/>
                <w:color w:val="auto"/>
              </w:rPr>
              <w:t>Notes to the Condensed Consolidated Financial Statements</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220" w:type="dxa"/>
            <w:vAlign w:val="bottom"/>
          </w:tcPr>
          <w:p>
            <w:pPr>
              <w:ind w:left="1020"/>
              <w:spacing w:after="0"/>
              <w:rPr>
                <w:sz w:val="20"/>
                <w:szCs w:val="20"/>
                <w:color w:val="auto"/>
              </w:rPr>
            </w:pPr>
            <w:r>
              <w:rPr>
                <w:rFonts w:ascii="Arial" w:cs="Arial" w:eastAsia="Arial" w:hAnsi="Arial"/>
                <w:sz w:val="18"/>
                <w:szCs w:val="18"/>
                <w:color w:val="auto"/>
              </w:rPr>
              <w:t>As of September 30, 2023, the future lease obligations were as follows (in thousands):</w:t>
            </w:r>
          </w:p>
        </w:tc>
        <w:tc>
          <w:tcPr>
            <w:tcW w:w="260" w:type="dxa"/>
            <w:vAlign w:val="bottom"/>
          </w:tcPr>
          <w:p>
            <w:pPr>
              <w:spacing w:after="0"/>
              <w:rPr>
                <w:sz w:val="24"/>
                <w:szCs w:val="24"/>
                <w:color w:val="auto"/>
              </w:rPr>
            </w:pPr>
          </w:p>
        </w:tc>
        <w:tc>
          <w:tcPr>
            <w:tcW w:w="176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11"/>
        </w:trPr>
        <w:tc>
          <w:tcPr>
            <w:tcW w:w="9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Remaining in 2023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future minimum lease payments</w:t>
            </w: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26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26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(437 )</w:t>
            </w:r>
          </w:p>
        </w:tc>
        <w:tc>
          <w:tcPr>
            <w:tcW w:w="0" w:type="dxa"/>
            <w:vAlign w:val="bottom"/>
          </w:tcPr>
          <w:p>
            <w:pPr>
              <w:spacing w:after="0"/>
              <w:rPr>
                <w:sz w:val="1"/>
                <w:szCs w:val="1"/>
                <w:color w:val="auto"/>
              </w:rPr>
            </w:pPr>
          </w:p>
        </w:tc>
      </w:tr>
      <w:tr>
        <w:trPr>
          <w:trHeight w:val="276"/>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Agreements</w:t>
      </w:r>
    </w:p>
    <w:p>
      <w:pPr>
        <w:spacing w:after="0" w:line="117" w:lineRule="exact"/>
        <w:rPr>
          <w:sz w:val="20"/>
          <w:szCs w:val="20"/>
          <w:color w:val="auto"/>
        </w:rPr>
      </w:pPr>
    </w:p>
    <w:p>
      <w:pPr>
        <w:ind w:left="520" w:right="100" w:firstLine="509"/>
        <w:spacing w:after="0" w:line="257" w:lineRule="auto"/>
        <w:rPr>
          <w:sz w:val="20"/>
          <w:szCs w:val="20"/>
          <w:color w:val="auto"/>
        </w:rPr>
      </w:pPr>
      <w:r>
        <w:rPr>
          <w:rFonts w:ascii="Arial" w:cs="Arial" w:eastAsia="Arial" w:hAnsi="Arial"/>
          <w:sz w:val="18"/>
          <w:szCs w:val="18"/>
          <w:color w:val="auto"/>
        </w:rPr>
        <w:t>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September 30, 2023 and December 31, 2022, there were no amounts accrued related to termination and cancellation charges as these are not probable.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left="520" w:right="80" w:firstLine="509"/>
        <w:spacing w:after="0" w:line="255" w:lineRule="auto"/>
        <w:rPr>
          <w:sz w:val="20"/>
          <w:szCs w:val="20"/>
          <w:color w:val="auto"/>
        </w:rPr>
      </w:pPr>
      <w:r>
        <w:rPr>
          <w:rFonts w:ascii="Arial" w:cs="Arial" w:eastAsia="Arial" w:hAnsi="Arial"/>
          <w:sz w:val="18"/>
          <w:szCs w:val="18"/>
          <w:color w:val="auto"/>
        </w:rPr>
        <w:t>The Company entered into the license agreements, as disclosed in Note 5, or the license agreements, pursuant to which the Company is required to pay milestones contingent upon meeting specific events. A milestone related to the MRKDG License Agreement was achieved and recorded to research and development during the nine months ended September 30, 2022. Subsequent to September 30, 2023, a milestone related to the Viracta License Agreement was achieved and recorded to research and development expense as disclosed in Note 11. The Company may be required to pay royalties on sales of products developed under these license agreements. All products are in development as of September 30, 2023, and no such royalties were due.</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left="520" w:right="180" w:firstLine="509"/>
        <w:spacing w:after="0" w:line="257" w:lineRule="auto"/>
        <w:rPr>
          <w:sz w:val="20"/>
          <w:szCs w:val="20"/>
          <w:color w:val="auto"/>
        </w:rPr>
      </w:pPr>
      <w:r>
        <w:rPr>
          <w:rFonts w:ascii="Arial" w:cs="Arial" w:eastAsia="Arial" w:hAnsi="Arial"/>
          <w:sz w:val="18"/>
          <w:szCs w:val="18"/>
          <w:color w:val="auto"/>
        </w:rPr>
        <w:t>To support product needs for tovorafenib (DAY101), the Company has entered into a manufacturing and supply agreement with Quotient Sciences - Philadelphia, LLC, or Quotient, in July 2023 that requires the Company to meet minimum purchase obligations on an annual basis. The amount of future minimum purchase obligations under the manufacturing and supply agreement over the next five years is approximately $17.2 million, in aggregate, as of September 30, 2023. For the three and nine months ended September 30, 2023, the Company has not yet made any purchases under the purchase obligation.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20" w:right="40" w:firstLine="509"/>
        <w:spacing w:after="0" w:line="259" w:lineRule="auto"/>
        <w:rPr>
          <w:sz w:val="20"/>
          <w:szCs w:val="20"/>
          <w:color w:val="auto"/>
        </w:rPr>
      </w:pPr>
      <w:r>
        <w:rPr>
          <w:rFonts w:ascii="Arial" w:cs="Arial" w:eastAsia="Arial" w:hAnsi="Arial"/>
          <w:sz w:val="18"/>
          <w:szCs w:val="18"/>
          <w:color w:val="auto"/>
        </w:rPr>
        <w:t>The Company, from time to time, may be party to litigation, claims and assessments arising in the ordinary course of business. The Company accrues liabilities for such matters when it is probable that future expenditures will be made and such expenditures can be reasonably estimated. The Company is not subject to any material legal proceedings, and to the best of its knowledge, no material legal proceedings are currently pending or threatened.</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520" w:firstLine="509"/>
        <w:spacing w:after="0" w:line="254"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September 30, 2023 and December 31, 2022.</w:t>
      </w:r>
    </w:p>
    <w:p>
      <w:pPr>
        <w:spacing w:after="0" w:line="296"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20" w:right="580" w:firstLine="509"/>
        <w:spacing w:after="0" w:line="258" w:lineRule="auto"/>
        <w:rPr>
          <w:sz w:val="20"/>
          <w:szCs w:val="20"/>
          <w:color w:val="auto"/>
        </w:rPr>
      </w:pPr>
      <w:r>
        <w:rPr>
          <w:rFonts w:ascii="Arial" w:cs="Arial" w:eastAsia="Arial" w:hAnsi="Arial"/>
          <w:sz w:val="18"/>
          <w:szCs w:val="18"/>
          <w:color w:val="auto"/>
        </w:rPr>
        <w:t>Pursuant to its certificate of incorporation, the Company is authorized to issue 500.0 million shares of common stock at a par value of $0.0001 per share. As of September 30, 2023, 87,042,933 shares of common stock were issued and outstanding.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1020" w:right="3360" w:firstLine="2339"/>
        <w:spacing w:after="0" w:line="388" w:lineRule="auto"/>
        <w:rPr>
          <w:sz w:val="20"/>
          <w:szCs w:val="20"/>
          <w:color w:val="auto"/>
        </w:rPr>
      </w:pPr>
      <w:r>
        <w:rPr>
          <w:rFonts w:ascii="Arial" w:cs="Arial" w:eastAsia="Arial" w:hAnsi="Arial"/>
          <w:sz w:val="15"/>
          <w:szCs w:val="15"/>
          <w:b w:val="1"/>
          <w:bCs w:val="1"/>
          <w:color w:val="auto"/>
        </w:rPr>
        <w:t xml:space="preserve">Notes to the Condensed Consolidated Financial Statements </w:t>
      </w:r>
      <w:r>
        <w:rPr>
          <w:rFonts w:ascii="Arial" w:cs="Arial" w:eastAsia="Arial" w:hAnsi="Arial"/>
          <w:sz w:val="15"/>
          <w:szCs w:val="15"/>
          <w:color w:val="auto"/>
        </w:rPr>
        <w:t>The Company has reserved shares of common stock for future issuances as follows:</w:t>
      </w:r>
    </w:p>
    <w:tbl>
      <w:tblPr>
        <w:tblLayout w:type="fixed"/>
        <w:tblInd w:w="0" w:type="dxa"/>
        <w:tblCellMar>
          <w:top w:w="0" w:type="dxa"/>
          <w:left w:w="0" w:type="dxa"/>
          <w:bottom w:w="0" w:type="dxa"/>
          <w:right w:w="0" w:type="dxa"/>
        </w:tblCellMar>
      </w:tblPr>
      <w:tr>
        <w:trPr>
          <w:trHeight w:val="140"/>
        </w:trPr>
        <w:tc>
          <w:tcPr>
            <w:tcW w:w="8580" w:type="dxa"/>
            <w:vAlign w:val="bottom"/>
          </w:tcPr>
          <w:p>
            <w:pPr>
              <w:spacing w:after="0"/>
              <w:rPr>
                <w:sz w:val="12"/>
                <w:szCs w:val="12"/>
                <w:color w:val="auto"/>
              </w:rPr>
            </w:pPr>
          </w:p>
        </w:tc>
        <w:tc>
          <w:tcPr>
            <w:tcW w:w="2560" w:type="dxa"/>
            <w:vAlign w:val="bottom"/>
          </w:tcPr>
          <w:p>
            <w:pPr>
              <w:jc w:val="right"/>
              <w:ind w:right="755"/>
              <w:spacing w:after="0" w:line="140"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85"/>
        </w:trPr>
        <w:tc>
          <w:tcPr>
            <w:tcW w:w="8580" w:type="dxa"/>
            <w:vAlign w:val="bottom"/>
          </w:tcPr>
          <w:p>
            <w:pPr>
              <w:spacing w:after="0"/>
              <w:rPr>
                <w:sz w:val="16"/>
                <w:szCs w:val="16"/>
                <w:color w:val="auto"/>
              </w:rPr>
            </w:pPr>
          </w:p>
        </w:tc>
        <w:tc>
          <w:tcPr>
            <w:tcW w:w="2560" w:type="dxa"/>
            <w:vAlign w:val="bottom"/>
            <w:tcBorders>
              <w:bottom w:val="single" w:sz="8" w:color="auto"/>
            </w:tcBorders>
          </w:tcPr>
          <w:p>
            <w:pPr>
              <w:jc w:val="right"/>
              <w:ind w:right="10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Common stock options issued and outstanding</w:t>
            </w:r>
          </w:p>
        </w:tc>
        <w:tc>
          <w:tcPr>
            <w:tcW w:w="2560" w:type="dxa"/>
            <w:vAlign w:val="bottom"/>
          </w:tcPr>
          <w:p>
            <w:pPr>
              <w:jc w:val="right"/>
              <w:spacing w:after="0"/>
              <w:rPr>
                <w:sz w:val="20"/>
                <w:szCs w:val="20"/>
                <w:color w:val="auto"/>
              </w:rPr>
            </w:pPr>
            <w:r>
              <w:rPr>
                <w:rFonts w:ascii="Arial" w:cs="Arial" w:eastAsia="Arial" w:hAnsi="Arial"/>
                <w:sz w:val="18"/>
                <w:szCs w:val="18"/>
                <w:color w:val="auto"/>
              </w:rPr>
              <w:t>10,183,440</w:t>
            </w:r>
          </w:p>
        </w:tc>
        <w:tc>
          <w:tcPr>
            <w:tcW w:w="100" w:type="dxa"/>
            <w:vAlign w:val="bottom"/>
          </w:tcPr>
          <w:p>
            <w:pPr>
              <w:spacing w:after="0"/>
              <w:rPr>
                <w:sz w:val="20"/>
                <w:szCs w:val="20"/>
                <w:color w:val="auto"/>
              </w:rPr>
            </w:pPr>
          </w:p>
        </w:tc>
      </w:tr>
      <w:tr>
        <w:trPr>
          <w:trHeight w:val="249"/>
        </w:trPr>
        <w:tc>
          <w:tcPr>
            <w:tcW w:w="8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available for future grants</w:t>
            </w:r>
          </w:p>
        </w:tc>
        <w:tc>
          <w:tcPr>
            <w:tcW w:w="2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2,689,562</w:t>
            </w:r>
          </w:p>
        </w:tc>
        <w:tc>
          <w:tcPr>
            <w:tcW w:w="100" w:type="dxa"/>
            <w:vAlign w:val="bottom"/>
            <w:shd w:val="clear" w:color="auto" w:fill="CFF0FC"/>
          </w:tcPr>
          <w:p>
            <w:pPr>
              <w:spacing w:after="0"/>
              <w:rPr>
                <w:sz w:val="21"/>
                <w:szCs w:val="21"/>
                <w:color w:val="auto"/>
              </w:rPr>
            </w:pPr>
          </w:p>
        </w:tc>
      </w:tr>
      <w:tr>
        <w:trPr>
          <w:trHeight w:val="237"/>
        </w:trPr>
        <w:tc>
          <w:tcPr>
            <w:tcW w:w="8580" w:type="dxa"/>
            <w:vAlign w:val="bottom"/>
          </w:tcPr>
          <w:p>
            <w:pPr>
              <w:ind w:left="20"/>
              <w:spacing w:after="0"/>
              <w:rPr>
                <w:sz w:val="20"/>
                <w:szCs w:val="20"/>
                <w:color w:val="auto"/>
              </w:rPr>
            </w:pPr>
            <w:r>
              <w:rPr>
                <w:rFonts w:ascii="Arial" w:cs="Arial" w:eastAsia="Arial" w:hAnsi="Arial"/>
                <w:sz w:val="18"/>
                <w:szCs w:val="18"/>
                <w:color w:val="auto"/>
              </w:rPr>
              <w:t>Common stock available for ESPP</w:t>
            </w:r>
          </w:p>
        </w:tc>
        <w:tc>
          <w:tcPr>
            <w:tcW w:w="2560" w:type="dxa"/>
            <w:vAlign w:val="bottom"/>
          </w:tcPr>
          <w:p>
            <w:pPr>
              <w:jc w:val="right"/>
              <w:spacing w:after="0"/>
              <w:rPr>
                <w:sz w:val="20"/>
                <w:szCs w:val="20"/>
                <w:color w:val="auto"/>
              </w:rPr>
            </w:pPr>
            <w:r>
              <w:rPr>
                <w:rFonts w:ascii="Arial" w:cs="Arial" w:eastAsia="Arial" w:hAnsi="Arial"/>
                <w:sz w:val="18"/>
                <w:szCs w:val="18"/>
                <w:color w:val="auto"/>
              </w:rPr>
              <w:t>1,778,597</w:t>
            </w:r>
          </w:p>
        </w:tc>
        <w:tc>
          <w:tcPr>
            <w:tcW w:w="100" w:type="dxa"/>
            <w:vAlign w:val="bottom"/>
          </w:tcPr>
          <w:p>
            <w:pPr>
              <w:spacing w:after="0"/>
              <w:rPr>
                <w:sz w:val="20"/>
                <w:szCs w:val="20"/>
                <w:color w:val="auto"/>
              </w:rPr>
            </w:pPr>
          </w:p>
        </w:tc>
      </w:tr>
      <w:tr>
        <w:trPr>
          <w:trHeight w:val="243"/>
        </w:trPr>
        <w:tc>
          <w:tcPr>
            <w:tcW w:w="8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stock units issued and outstanding</w:t>
            </w:r>
          </w:p>
        </w:tc>
        <w:tc>
          <w:tcPr>
            <w:tcW w:w="2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1,094,563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580" w:type="dxa"/>
            <w:vAlign w:val="bottom"/>
          </w:tcPr>
          <w:p>
            <w:pPr>
              <w:ind w:left="2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15,746,162</w:t>
            </w:r>
          </w:p>
        </w:tc>
        <w:tc>
          <w:tcPr>
            <w:tcW w:w="100" w:type="dxa"/>
            <w:vAlign w:val="bottom"/>
          </w:tcPr>
          <w:p>
            <w:pPr>
              <w:spacing w:after="0"/>
              <w:rPr>
                <w:sz w:val="20"/>
                <w:szCs w:val="20"/>
                <w:color w:val="auto"/>
              </w:rPr>
            </w:pPr>
          </w:p>
        </w:tc>
      </w:tr>
      <w:tr>
        <w:trPr>
          <w:trHeight w:val="20"/>
        </w:trPr>
        <w:tc>
          <w:tcPr>
            <w:tcW w:w="858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June 2023 Follow-On Offering</w:t>
      </w:r>
    </w:p>
    <w:p>
      <w:pPr>
        <w:spacing w:after="0" w:line="117" w:lineRule="exact"/>
        <w:rPr>
          <w:sz w:val="20"/>
          <w:szCs w:val="20"/>
          <w:color w:val="auto"/>
        </w:rPr>
      </w:pPr>
    </w:p>
    <w:p>
      <w:pPr>
        <w:jc w:val="both"/>
        <w:ind w:left="520" w:right="160" w:firstLine="509"/>
        <w:spacing w:after="0" w:line="286" w:lineRule="auto"/>
        <w:rPr>
          <w:sz w:val="20"/>
          <w:szCs w:val="20"/>
          <w:color w:val="auto"/>
        </w:rPr>
      </w:pPr>
      <w:r>
        <w:rPr>
          <w:rFonts w:ascii="Arial" w:cs="Arial" w:eastAsia="Arial" w:hAnsi="Arial"/>
          <w:sz w:val="17"/>
          <w:szCs w:val="17"/>
          <w:color w:val="auto"/>
        </w:rPr>
        <w:t>In June 2023, the Company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17" w:lineRule="exact"/>
        <w:rPr>
          <w:sz w:val="20"/>
          <w:szCs w:val="20"/>
          <w:color w:val="auto"/>
        </w:rPr>
      </w:pPr>
    </w:p>
    <w:p>
      <w:pPr>
        <w:ind w:left="520" w:right="240" w:firstLine="509"/>
        <w:spacing w:after="0" w:line="286" w:lineRule="auto"/>
        <w:rPr>
          <w:sz w:val="20"/>
          <w:szCs w:val="20"/>
          <w:color w:val="auto"/>
        </w:rPr>
      </w:pPr>
      <w:r>
        <w:rPr>
          <w:rFonts w:ascii="Arial" w:cs="Arial" w:eastAsia="Arial" w:hAnsi="Arial"/>
          <w:sz w:val="17"/>
          <w:szCs w:val="17"/>
          <w:color w:val="auto"/>
        </w:rPr>
        <w:t>In June 2022, the Company entered into an equity distribution agreement, or the Equity Distribution Agreement, with Piper Sandler &amp; Co. and JonesTrading Institutional Services LLC, as sales agents, relating to the issuance and sale of shares of the Company’s common stock for an aggregate offering price of up to $150.0 million under an at-the-market offering program, or the 2022 ATM.</w:t>
      </w:r>
    </w:p>
    <w:p>
      <w:pPr>
        <w:spacing w:after="0" w:line="57" w:lineRule="exact"/>
        <w:rPr>
          <w:sz w:val="20"/>
          <w:szCs w:val="20"/>
          <w:color w:val="auto"/>
        </w:rPr>
      </w:pPr>
    </w:p>
    <w:p>
      <w:pPr>
        <w:ind w:left="520" w:right="40" w:firstLine="509"/>
        <w:spacing w:after="0" w:line="271" w:lineRule="auto"/>
        <w:rPr>
          <w:sz w:val="20"/>
          <w:szCs w:val="20"/>
          <w:color w:val="auto"/>
        </w:rPr>
      </w:pPr>
      <w:r>
        <w:rPr>
          <w:rFonts w:ascii="Arial" w:cs="Arial" w:eastAsia="Arial" w:hAnsi="Arial"/>
          <w:sz w:val="17"/>
          <w:szCs w:val="17"/>
          <w:color w:val="auto"/>
        </w:rPr>
        <w:t>In June 2023, the Company suspended and terminated the prospectus related to its common stock issuable pursuant to the terms of the Equity Distribution Agreement. In September 2023, in connection with the Company’s filing of an automatic shelf registration statement on Form S-3, the Company filed a new prospectus relating to the Equity Distribution Agreement and the issuance and sale of shares of the Company’s common stock having an aggregate offering price of up to $250.0 million under the 2022 ATM. The Company has no obligation to sell any shares and could at any time suspend solicitations and offers under the 2022 ATM. The Company has deferred offering costs consisting of accounting and legal fees directly attributable to the automatic shelf registration statement. Costs are deferred until shares are sold under the automatic shelf registration statement, at which time they will be reclassified to additional paid-in capital as a reduction against the proceeds received. No shares of the Company’s common stock have been sold under the 2022 ATM as of September 30, 2023.</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June 2022 Follow-On Offering</w:t>
      </w:r>
    </w:p>
    <w:p>
      <w:pPr>
        <w:spacing w:after="0" w:line="117" w:lineRule="exact"/>
        <w:rPr>
          <w:sz w:val="20"/>
          <w:szCs w:val="20"/>
          <w:color w:val="auto"/>
        </w:rPr>
      </w:pPr>
    </w:p>
    <w:p>
      <w:pPr>
        <w:jc w:val="both"/>
        <w:ind w:left="520" w:right="160" w:firstLine="509"/>
        <w:spacing w:after="0" w:line="286" w:lineRule="auto"/>
        <w:rPr>
          <w:sz w:val="20"/>
          <w:szCs w:val="20"/>
          <w:color w:val="auto"/>
        </w:rPr>
      </w:pPr>
      <w:r>
        <w:rPr>
          <w:rFonts w:ascii="Arial" w:cs="Arial" w:eastAsia="Arial" w:hAnsi="Arial"/>
          <w:sz w:val="17"/>
          <w:szCs w:val="17"/>
          <w:color w:val="auto"/>
        </w:rPr>
        <w:t>In June 2022, the Company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269"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520" w:right="700" w:firstLine="509"/>
        <w:spacing w:after="0" w:line="258" w:lineRule="auto"/>
        <w:rPr>
          <w:sz w:val="20"/>
          <w:szCs w:val="20"/>
          <w:color w:val="auto"/>
        </w:rPr>
      </w:pPr>
      <w:r>
        <w:rPr>
          <w:rFonts w:ascii="Arial" w:cs="Arial" w:eastAsia="Arial" w:hAnsi="Arial"/>
          <w:sz w:val="18"/>
          <w:szCs w:val="18"/>
          <w:color w:val="auto"/>
        </w:rPr>
        <w:t>Share-based compensation expense recorded in the accompanying condensed consolidated statements of operations is as follows (in thousands):</w:t>
      </w:r>
    </w:p>
    <w:tbl>
      <w:tblPr>
        <w:tblLayout w:type="fixed"/>
        <w:tblInd w:w="0" w:type="dxa"/>
        <w:tblCellMar>
          <w:top w:w="0" w:type="dxa"/>
          <w:left w:w="0" w:type="dxa"/>
          <w:bottom w:w="0" w:type="dxa"/>
          <w:right w:w="0" w:type="dxa"/>
        </w:tblCellMar>
      </w:tblPr>
      <w:tr>
        <w:trPr>
          <w:trHeight w:val="141"/>
        </w:trPr>
        <w:tc>
          <w:tcPr>
            <w:tcW w:w="5840" w:type="dxa"/>
            <w:vAlign w:val="bottom"/>
          </w:tcPr>
          <w:p>
            <w:pPr>
              <w:spacing w:after="0"/>
              <w:rPr>
                <w:sz w:val="12"/>
                <w:szCs w:val="12"/>
                <w:color w:val="auto"/>
              </w:rPr>
            </w:pPr>
          </w:p>
        </w:tc>
        <w:tc>
          <w:tcPr>
            <w:tcW w:w="2120" w:type="dxa"/>
            <w:vAlign w:val="bottom"/>
            <w:gridSpan w:val="4"/>
          </w:tcPr>
          <w:p>
            <w:pPr>
              <w:jc w:val="right"/>
              <w:ind w:right="110"/>
              <w:spacing w:after="0" w:line="141"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4"/>
          </w:tcPr>
          <w:p>
            <w:pPr>
              <w:ind w:left="380"/>
              <w:spacing w:after="0" w:line="141"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2"/>
                <w:szCs w:val="12"/>
                <w:color w:val="auto"/>
              </w:rPr>
            </w:pPr>
          </w:p>
        </w:tc>
      </w:tr>
      <w:tr>
        <w:trPr>
          <w:trHeight w:val="185"/>
        </w:trPr>
        <w:tc>
          <w:tcPr>
            <w:tcW w:w="5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w w:val="98"/>
              </w:rPr>
              <w:t>September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3"/>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w:t>
            </w:r>
          </w:p>
        </w:tc>
        <w:tc>
          <w:tcPr>
            <w:tcW w:w="740" w:type="dxa"/>
            <w:vAlign w:val="bottom"/>
            <w:tcBorders>
              <w:top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3,312</w:t>
            </w:r>
          </w:p>
        </w:tc>
        <w:tc>
          <w:tcPr>
            <w:tcW w:w="24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2,020</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90"/>
              </w:rPr>
              <w:t>10,102</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6,242</w:t>
            </w: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6,294</w:t>
            </w:r>
          </w:p>
        </w:tc>
        <w:tc>
          <w:tcPr>
            <w:tcW w:w="2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6,556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0"/>
              </w:rPr>
              <w:t>18,428</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14,167</w:t>
            </w:r>
          </w:p>
        </w:tc>
        <w:tc>
          <w:tcPr>
            <w:tcW w:w="100" w:type="dxa"/>
            <w:vAlign w:val="bottom"/>
          </w:tcPr>
          <w:p>
            <w:pPr>
              <w:spacing w:after="0"/>
              <w:rPr>
                <w:sz w:val="20"/>
                <w:szCs w:val="20"/>
                <w:color w:val="auto"/>
              </w:rPr>
            </w:pPr>
          </w:p>
        </w:tc>
      </w:tr>
      <w:tr>
        <w:trPr>
          <w:trHeight w:val="277"/>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share-based compensation expense</w:t>
            </w: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9,606</w:t>
            </w:r>
          </w:p>
        </w:tc>
        <w:tc>
          <w:tcPr>
            <w:tcW w:w="2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8,576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90"/>
              </w:rPr>
              <w:t>28,530</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right="400" w:firstLine="509"/>
        <w:spacing w:after="0" w:line="255" w:lineRule="auto"/>
        <w:rPr>
          <w:sz w:val="20"/>
          <w:szCs w:val="20"/>
          <w:color w:val="auto"/>
        </w:rPr>
      </w:pPr>
      <w:r>
        <w:rPr>
          <w:rFonts w:ascii="Arial" w:cs="Arial" w:eastAsia="Arial" w:hAnsi="Arial"/>
          <w:sz w:val="18"/>
          <w:szCs w:val="18"/>
          <w:color w:val="auto"/>
        </w:rPr>
        <w:t>As of September 30, 2023, there was $86.6 million of unrecognized compensation cost related to unvested restricted stock, unvested restricted stock units, unvested stock options, and shares subject to purchase under the ESPP that is expected to be recognized over a weighted-average period of approximately 2.6 years.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1" w:lineRule="exact"/>
        <w:rPr>
          <w:sz w:val="20"/>
          <w:szCs w:val="20"/>
          <w:color w:val="auto"/>
        </w:rPr>
      </w:pPr>
    </w:p>
    <w:p>
      <w:pPr>
        <w:ind w:left="520" w:firstLine="509"/>
        <w:spacing w:after="0" w:line="342" w:lineRule="auto"/>
        <w:rPr>
          <w:sz w:val="20"/>
          <w:szCs w:val="20"/>
          <w:color w:val="auto"/>
        </w:rPr>
      </w:pPr>
      <w:r>
        <w:rPr>
          <w:rFonts w:ascii="Arial" w:cs="Arial" w:eastAsia="Arial" w:hAnsi="Arial"/>
          <w:sz w:val="16"/>
          <w:szCs w:val="16"/>
          <w:color w:val="auto"/>
        </w:rPr>
        <w:t>As of September 30, 2023, there was $2.5 million of unrecognized compensation cost related to unvested PSOs and PSUs. The Company will recognize the PSO and PSU expense through the expected vesting dates when the achievement of the performance-based metrics is probable.</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2022 Equity Inducement Plan</w:t>
      </w:r>
    </w:p>
    <w:p>
      <w:pPr>
        <w:spacing w:after="0" w:line="117" w:lineRule="exact"/>
        <w:rPr>
          <w:sz w:val="20"/>
          <w:szCs w:val="20"/>
          <w:color w:val="auto"/>
        </w:rPr>
      </w:pPr>
    </w:p>
    <w:p>
      <w:pPr>
        <w:ind w:left="520" w:right="160" w:firstLine="509"/>
        <w:spacing w:after="0" w:line="263" w:lineRule="auto"/>
        <w:rPr>
          <w:sz w:val="20"/>
          <w:szCs w:val="20"/>
          <w:color w:val="auto"/>
        </w:rPr>
      </w:pPr>
      <w:r>
        <w:rPr>
          <w:rFonts w:ascii="Arial" w:cs="Arial" w:eastAsia="Arial" w:hAnsi="Arial"/>
          <w:sz w:val="18"/>
          <w:szCs w:val="18"/>
          <w:color w:val="auto"/>
        </w:rPr>
        <w:t>In October 2022, the board of directors and stockholders approved the 2022 Equity Inducement Plan, or the 2022 Plan. The 2022 Plan provides for the grant of non-statutory stock options and restricted stock units. The number of shares of common stock reserved for issuance under the 2022 Plan is 1,000,000 shares.</w:t>
      </w:r>
    </w:p>
    <w:p>
      <w:pPr>
        <w:spacing w:after="0" w:line="7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 provides a summary of stock option activity under the 2022 Plan during the nine months ended September 30, 2023.</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5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309,000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Forfeiture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2023</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309,000</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8"/>
                <w:szCs w:val="18"/>
                <w:color w:val="auto"/>
              </w:rPr>
              <w:t>Vested and expected to vest at September 30,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21.14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Exercisable at September 30, 2023</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-325120</wp:posOffset>
            </wp:positionV>
            <wp:extent cx="7683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74" w:lineRule="exact"/>
        <w:rPr>
          <w:sz w:val="20"/>
          <w:szCs w:val="20"/>
          <w:color w:val="auto"/>
        </w:rPr>
      </w:pPr>
    </w:p>
    <w:p>
      <w:pPr>
        <w:ind w:left="520" w:right="20" w:firstLine="509"/>
        <w:spacing w:after="0" w:line="277" w:lineRule="auto"/>
        <w:rPr>
          <w:sz w:val="20"/>
          <w:szCs w:val="20"/>
          <w:color w:val="auto"/>
        </w:rPr>
      </w:pPr>
      <w:r>
        <w:rPr>
          <w:rFonts w:ascii="Arial" w:cs="Arial" w:eastAsia="Arial" w:hAnsi="Arial"/>
          <w:sz w:val="18"/>
          <w:szCs w:val="18"/>
          <w:color w:val="auto"/>
        </w:rPr>
        <w:t>Aggregate intrinsic value represents the difference between the estimated fair value of the underlying common stock and the exercise price of outstanding, in-the-money options.</w:t>
      </w:r>
    </w:p>
    <w:p>
      <w:pPr>
        <w:spacing w:after="0" w:line="62" w:lineRule="exact"/>
        <w:rPr>
          <w:sz w:val="20"/>
          <w:szCs w:val="20"/>
          <w:color w:val="auto"/>
        </w:rPr>
      </w:pPr>
    </w:p>
    <w:p>
      <w:pPr>
        <w:ind w:left="520" w:right="160" w:firstLine="509"/>
        <w:spacing w:after="0" w:line="263" w:lineRule="auto"/>
        <w:rPr>
          <w:sz w:val="20"/>
          <w:szCs w:val="20"/>
          <w:color w:val="auto"/>
        </w:rPr>
      </w:pPr>
      <w:r>
        <w:rPr>
          <w:rFonts w:ascii="Arial" w:cs="Arial" w:eastAsia="Arial" w:hAnsi="Arial"/>
          <w:sz w:val="18"/>
          <w:szCs w:val="18"/>
          <w:color w:val="auto"/>
        </w:rPr>
        <w:t>There was no fair value of options that vested during each of the nine months ended September 30, 2023 and 2022. There was no weighted-average grant date fair value of options granted since there were no options granted from the 2022 Plan during each of the nine months ended September 30, 2023 and 2022.</w:t>
      </w:r>
    </w:p>
    <w:p>
      <w:pPr>
        <w:spacing w:after="0" w:line="76" w:lineRule="exact"/>
        <w:rPr>
          <w:sz w:val="20"/>
          <w:szCs w:val="20"/>
          <w:color w:val="auto"/>
        </w:rPr>
      </w:pPr>
    </w:p>
    <w:p>
      <w:pPr>
        <w:ind w:left="520" w:right="340" w:firstLine="509"/>
        <w:spacing w:after="0" w:line="277" w:lineRule="auto"/>
        <w:rPr>
          <w:sz w:val="20"/>
          <w:szCs w:val="20"/>
          <w:color w:val="auto"/>
        </w:rPr>
      </w:pPr>
      <w:r>
        <w:rPr>
          <w:rFonts w:ascii="Arial" w:cs="Arial" w:eastAsia="Arial" w:hAnsi="Arial"/>
          <w:sz w:val="18"/>
          <w:szCs w:val="18"/>
          <w:color w:val="auto"/>
        </w:rPr>
        <w:t>Unamortized share-based compensation for stock options as of September 30, 2023 was $3.6 million, which is expected to be recognized over a weighted-average period of 3.1 years.</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following table provides a summary of restricted stock units activity under the 2022 Plan during the nine months ended September 30,</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2023:</w:t>
      </w:r>
    </w:p>
    <w:tbl>
      <w:tblPr>
        <w:tblLayout w:type="fixed"/>
        <w:tblInd w:w="0" w:type="dxa"/>
        <w:tblCellMar>
          <w:top w:w="0" w:type="dxa"/>
          <w:left w:w="0" w:type="dxa"/>
          <w:bottom w:w="0" w:type="dxa"/>
          <w:right w:w="0" w:type="dxa"/>
        </w:tblCellMar>
      </w:tblPr>
      <w:tr>
        <w:trPr>
          <w:trHeight w:val="148"/>
        </w:trPr>
        <w:tc>
          <w:tcPr>
            <w:tcW w:w="7680" w:type="dxa"/>
            <w:vAlign w:val="bottom"/>
          </w:tcPr>
          <w:p>
            <w:pPr>
              <w:spacing w:after="0"/>
              <w:rPr>
                <w:sz w:val="12"/>
                <w:szCs w:val="12"/>
                <w:color w:val="auto"/>
              </w:rPr>
            </w:pPr>
          </w:p>
        </w:tc>
        <w:tc>
          <w:tcPr>
            <w:tcW w:w="16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16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units at December 31, 2022</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47,400</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Forfeiture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stock units at September 30, 2023</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47,400</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right="640" w:firstLine="509"/>
        <w:spacing w:after="0" w:line="277" w:lineRule="auto"/>
        <w:rPr>
          <w:sz w:val="20"/>
          <w:szCs w:val="20"/>
          <w:color w:val="auto"/>
        </w:rPr>
      </w:pPr>
      <w:r>
        <w:rPr>
          <w:rFonts w:ascii="Arial" w:cs="Arial" w:eastAsia="Arial" w:hAnsi="Arial"/>
          <w:sz w:val="18"/>
          <w:szCs w:val="18"/>
          <w:color w:val="auto"/>
        </w:rPr>
        <w:t>Unamortized share-based compensation for restricted stock units as of September 30, 2023 was $0.8 million, which is expected to be recognized over a weighted-average period of 3.1 years.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ind w:left="520" w:right="100" w:firstLine="509"/>
        <w:spacing w:after="0" w:line="255" w:lineRule="auto"/>
        <w:rPr>
          <w:sz w:val="20"/>
          <w:szCs w:val="20"/>
          <w:color w:val="auto"/>
        </w:rPr>
      </w:pPr>
      <w:r>
        <w:rPr>
          <w:rFonts w:ascii="Arial" w:cs="Arial" w:eastAsia="Arial" w:hAnsi="Arial"/>
          <w:sz w:val="18"/>
          <w:szCs w:val="18"/>
          <w:color w:val="auto"/>
        </w:rPr>
        <w:t>Immediately prior to consummation of the Company’s initial public offering, or the IPO, all the outstanding incentive shares were converted into common stock. The following table provides a summary of the unvested common stock awards activity during the nine months ended September 30, 2023.</w:t>
      </w: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9"/>
              <w:spacing w:after="0" w:line="142"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w w:val="92"/>
              </w:rPr>
              <w:t>Unvested common stock as of December 31, 2022</w:t>
            </w:r>
          </w:p>
        </w:tc>
        <w:tc>
          <w:tcPr>
            <w:tcW w:w="164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1,722,744</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Vested</w:t>
            </w:r>
          </w:p>
        </w:tc>
        <w:tc>
          <w:tcPr>
            <w:tcW w:w="2980" w:type="dxa"/>
            <w:vAlign w:val="bottom"/>
            <w:gridSpan w:val="3"/>
          </w:tcPr>
          <w:p>
            <w:pPr>
              <w:jc w:val="right"/>
              <w:ind w:right="120"/>
              <w:spacing w:after="0"/>
              <w:rPr>
                <w:sz w:val="20"/>
                <w:szCs w:val="20"/>
                <w:color w:val="auto"/>
              </w:rPr>
            </w:pPr>
            <w:r>
              <w:rPr>
                <w:rFonts w:ascii="Arial" w:cs="Arial" w:eastAsia="Arial" w:hAnsi="Arial"/>
                <w:sz w:val="18"/>
                <w:szCs w:val="18"/>
                <w:color w:val="auto"/>
              </w:rPr>
              <w:t>(744,625 )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Forfeiture</w:t>
            </w:r>
          </w:p>
        </w:tc>
        <w:tc>
          <w:tcPr>
            <w:tcW w:w="16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(21,400 )</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760" w:type="dxa"/>
            <w:vAlign w:val="bottom"/>
            <w:tcBorders>
              <w:top w:val="single" w:sz="8" w:color="CFF0FC"/>
            </w:tcBorders>
          </w:tcPr>
          <w:p>
            <w:pPr>
              <w:spacing w:after="0"/>
              <w:rPr>
                <w:sz w:val="20"/>
                <w:szCs w:val="20"/>
                <w:color w:val="auto"/>
              </w:rPr>
            </w:pPr>
            <w:r>
              <w:rPr>
                <w:rFonts w:ascii="Arial" w:cs="Arial" w:eastAsia="Arial" w:hAnsi="Arial"/>
                <w:sz w:val="18"/>
                <w:szCs w:val="18"/>
                <w:color w:val="auto"/>
                <w:w w:val="91"/>
              </w:rPr>
              <w:t>Unvested common stock as of September 30, 2023</w:t>
            </w:r>
          </w:p>
        </w:tc>
        <w:tc>
          <w:tcPr>
            <w:tcW w:w="1640" w:type="dxa"/>
            <w:vAlign w:val="bottom"/>
            <w:tcBorders>
              <w:top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956,719</w:t>
            </w:r>
          </w:p>
        </w:tc>
        <w:tc>
          <w:tcPr>
            <w:tcW w:w="2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40" w:type="dxa"/>
            <w:vAlign w:val="bottom"/>
            <w:vMerge w:val="restart"/>
          </w:tcPr>
          <w:p>
            <w:pPr>
              <w:jc w:val="right"/>
              <w:ind w:right="1290"/>
              <w:spacing w:after="0"/>
              <w:rPr>
                <w:sz w:val="20"/>
                <w:szCs w:val="20"/>
                <w:color w:val="auto"/>
              </w:rPr>
            </w:pPr>
            <w:r>
              <w:rPr>
                <w:rFonts w:ascii="Arial" w:cs="Arial" w:eastAsia="Arial" w:hAnsi="Arial"/>
                <w:sz w:val="18"/>
                <w:szCs w:val="18"/>
                <w:color w:val="auto"/>
              </w:rPr>
              <w:t>19</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-539115</wp:posOffset>
            </wp:positionV>
            <wp:extent cx="51435"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1" w:lineRule="exact"/>
        <w:rPr>
          <w:sz w:val="20"/>
          <w:szCs w:val="20"/>
          <w:color w:val="auto"/>
        </w:rPr>
      </w:pPr>
    </w:p>
    <w:p>
      <w:pPr>
        <w:ind w:left="520" w:firstLine="509"/>
        <w:spacing w:after="0" w:line="287" w:lineRule="auto"/>
        <w:rPr>
          <w:sz w:val="20"/>
          <w:szCs w:val="20"/>
          <w:color w:val="auto"/>
        </w:rPr>
      </w:pPr>
      <w:r>
        <w:rPr>
          <w:rFonts w:ascii="Arial" w:cs="Arial" w:eastAsia="Arial" w:hAnsi="Arial"/>
          <w:sz w:val="16"/>
          <w:szCs w:val="16"/>
          <w:color w:val="auto"/>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share-based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spacing w:after="0" w:line="6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 provides a summary of stock option activity under the 2021 Plan during the nine months ended September 30, 2023.</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7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3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7,634,167</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220" w:type="dxa"/>
            <w:vAlign w:val="bottom"/>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2,542,700</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19.14</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(88,459 )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Forfeiture</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(357,468 )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18.84</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2023</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9,730,940</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8"/>
                <w:szCs w:val="18"/>
                <w:color w:val="auto"/>
              </w:rPr>
              <w:t>Vested and expected to vest at September 30, 2023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9,730,940</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Exercisable at September 30, 2023</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3,995,722</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-325120</wp:posOffset>
            </wp:positionV>
            <wp:extent cx="7683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74" w:lineRule="exact"/>
        <w:rPr>
          <w:sz w:val="20"/>
          <w:szCs w:val="20"/>
          <w:color w:val="auto"/>
        </w:rPr>
      </w:pPr>
    </w:p>
    <w:p>
      <w:pPr>
        <w:ind w:left="520" w:right="20" w:firstLine="509"/>
        <w:spacing w:after="0" w:line="277" w:lineRule="auto"/>
        <w:rPr>
          <w:sz w:val="20"/>
          <w:szCs w:val="20"/>
          <w:color w:val="auto"/>
        </w:rPr>
      </w:pPr>
      <w:r>
        <w:rPr>
          <w:rFonts w:ascii="Arial" w:cs="Arial" w:eastAsia="Arial" w:hAnsi="Arial"/>
          <w:sz w:val="18"/>
          <w:szCs w:val="18"/>
          <w:color w:val="auto"/>
        </w:rPr>
        <w:t>Aggregate intrinsic value represents the difference between the estimated fair value of the underlying common stock and the exercise price of outstanding, in-the-money options.</w:t>
      </w:r>
    </w:p>
    <w:p>
      <w:pPr>
        <w:spacing w:after="0" w:line="62" w:lineRule="exact"/>
        <w:rPr>
          <w:sz w:val="20"/>
          <w:szCs w:val="20"/>
          <w:color w:val="auto"/>
        </w:rPr>
      </w:pPr>
    </w:p>
    <w:p>
      <w:pPr>
        <w:jc w:val="both"/>
        <w:ind w:left="520" w:right="80" w:firstLine="509"/>
        <w:spacing w:after="0" w:line="263" w:lineRule="auto"/>
        <w:rPr>
          <w:sz w:val="20"/>
          <w:szCs w:val="20"/>
          <w:color w:val="auto"/>
        </w:rPr>
      </w:pPr>
      <w:r>
        <w:rPr>
          <w:rFonts w:ascii="Arial" w:cs="Arial" w:eastAsia="Arial" w:hAnsi="Arial"/>
          <w:sz w:val="18"/>
          <w:szCs w:val="18"/>
          <w:color w:val="auto"/>
        </w:rPr>
        <w:t>The total fair value of options that vested during the nine months ended September 30, 2023 and 2022 was $19.8 million and $15.6 million, respectively. The weighted-average grant date fair value of options granted during the nine months ended September 30, 2023 and 2022 was $13.37 per share and $9.02 per share, respectively.</w:t>
      </w:r>
    </w:p>
    <w:p>
      <w:pPr>
        <w:spacing w:after="0" w:line="76" w:lineRule="exact"/>
        <w:rPr>
          <w:sz w:val="20"/>
          <w:szCs w:val="20"/>
          <w:color w:val="auto"/>
        </w:rPr>
      </w:pPr>
    </w:p>
    <w:p>
      <w:pPr>
        <w:ind w:left="520" w:right="260" w:firstLine="509"/>
        <w:spacing w:after="0" w:line="277" w:lineRule="auto"/>
        <w:rPr>
          <w:sz w:val="20"/>
          <w:szCs w:val="20"/>
          <w:color w:val="auto"/>
        </w:rPr>
      </w:pPr>
      <w:r>
        <w:rPr>
          <w:rFonts w:ascii="Arial" w:cs="Arial" w:eastAsia="Arial" w:hAnsi="Arial"/>
          <w:sz w:val="18"/>
          <w:szCs w:val="18"/>
          <w:color w:val="auto"/>
        </w:rPr>
        <w:t>Unamortized share-based compensation for stock options as of September 30, 2023 was $60.7 million, which is expected to be recognized over a weighted-average period of 2.6 years.</w:t>
      </w:r>
    </w:p>
    <w:p>
      <w:pPr>
        <w:spacing w:after="0" w:line="62" w:lineRule="exact"/>
        <w:rPr>
          <w:sz w:val="20"/>
          <w:szCs w:val="20"/>
          <w:color w:val="auto"/>
        </w:rPr>
      </w:pPr>
    </w:p>
    <w:p>
      <w:pPr>
        <w:ind w:left="520" w:right="440" w:firstLine="509"/>
        <w:spacing w:after="0" w:line="258" w:lineRule="auto"/>
        <w:rPr>
          <w:sz w:val="20"/>
          <w:szCs w:val="20"/>
          <w:color w:val="auto"/>
        </w:rPr>
      </w:pPr>
      <w:r>
        <w:rPr>
          <w:rFonts w:ascii="Arial" w:cs="Arial" w:eastAsia="Arial" w:hAnsi="Arial"/>
          <w:sz w:val="18"/>
          <w:szCs w:val="18"/>
          <w:color w:val="auto"/>
        </w:rPr>
        <w:t>The Company used the Black-Scholes option pricing model to estimate the fair value of stock option awards granted with the following assumptions:</w:t>
      </w:r>
    </w:p>
    <w:tbl>
      <w:tblPr>
        <w:tblLayout w:type="fixed"/>
        <w:tblInd w:w="0" w:type="dxa"/>
        <w:tblCellMar>
          <w:top w:w="0" w:type="dxa"/>
          <w:left w:w="0" w:type="dxa"/>
          <w:bottom w:w="0" w:type="dxa"/>
          <w:right w:w="0" w:type="dxa"/>
        </w:tblCellMar>
      </w:tblPr>
      <w:tr>
        <w:trPr>
          <w:trHeight w:val="141"/>
        </w:trPr>
        <w:tc>
          <w:tcPr>
            <w:tcW w:w="2460" w:type="dxa"/>
            <w:vAlign w:val="bottom"/>
          </w:tcPr>
          <w:p>
            <w:pPr>
              <w:spacing w:after="0"/>
              <w:rPr>
                <w:sz w:val="12"/>
                <w:szCs w:val="12"/>
                <w:color w:val="auto"/>
              </w:rPr>
            </w:pPr>
          </w:p>
        </w:tc>
        <w:tc>
          <w:tcPr>
            <w:tcW w:w="4320" w:type="dxa"/>
            <w:vAlign w:val="bottom"/>
            <w:gridSpan w:val="4"/>
          </w:tcPr>
          <w:p>
            <w:pPr>
              <w:jc w:val="center"/>
              <w:spacing w:after="0" w:line="141" w:lineRule="exact"/>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80" w:type="dxa"/>
            <w:vAlign w:val="bottom"/>
            <w:gridSpan w:val="6"/>
          </w:tcPr>
          <w:p>
            <w:pPr>
              <w:jc w:val="right"/>
              <w:spacing w:after="0" w:line="141" w:lineRule="exact"/>
              <w:rPr>
                <w:sz w:val="20"/>
                <w:szCs w:val="20"/>
                <w:color w:val="auto"/>
              </w:rPr>
            </w:pPr>
            <w:r>
              <w:rPr>
                <w:rFonts w:ascii="Arial" w:cs="Arial" w:eastAsia="Arial" w:hAnsi="Arial"/>
                <w:sz w:val="14"/>
                <w:szCs w:val="14"/>
                <w:b w:val="1"/>
                <w:bCs w:val="1"/>
                <w:color w:val="auto"/>
              </w:rPr>
              <w:t>Nine Months Ended</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20" w:type="dxa"/>
            <w:vAlign w:val="bottom"/>
            <w:gridSpan w:val="3"/>
          </w:tcPr>
          <w:p>
            <w:pPr>
              <w:jc w:val="center"/>
              <w:ind w:right="161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460" w:type="dxa"/>
            <w:vAlign w:val="bottom"/>
          </w:tcPr>
          <w:p>
            <w:pPr>
              <w:spacing w:after="0"/>
              <w:rPr>
                <w:sz w:val="23"/>
                <w:szCs w:val="23"/>
                <w:color w:val="auto"/>
              </w:rPr>
            </w:pPr>
          </w:p>
        </w:tc>
        <w:tc>
          <w:tcPr>
            <w:tcW w:w="1700" w:type="dxa"/>
            <w:vAlign w:val="bottom"/>
          </w:tcPr>
          <w:p>
            <w:pPr>
              <w:jc w:val="center"/>
              <w:ind w:left="296"/>
              <w:spacing w:after="0"/>
              <w:rPr>
                <w:sz w:val="20"/>
                <w:szCs w:val="20"/>
                <w:color w:val="auto"/>
              </w:rPr>
            </w:pPr>
            <w:r>
              <w:rPr>
                <w:rFonts w:ascii="Arial" w:cs="Arial" w:eastAsia="Arial" w:hAnsi="Arial"/>
                <w:sz w:val="14"/>
                <w:szCs w:val="14"/>
                <w:b w:val="1"/>
                <w:bCs w:val="1"/>
                <w:color w:val="auto"/>
                <w:w w:val="89"/>
              </w:rPr>
              <w:t>2023</w:t>
            </w:r>
          </w:p>
        </w:tc>
        <w:tc>
          <w:tcPr>
            <w:tcW w:w="262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6"/>
              </w:rPr>
              <w:t>2022</w:t>
            </w:r>
          </w:p>
        </w:tc>
        <w:tc>
          <w:tcPr>
            <w:tcW w:w="224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6"/>
              </w:rPr>
              <w:t>2023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center"/>
              <w:ind w:right="37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700" w:type="dxa"/>
            <w:vAlign w:val="bottom"/>
            <w:tcBorders>
              <w:top w:val="single" w:sz="8" w:color="auto"/>
            </w:tcBorders>
            <w:shd w:val="clear" w:color="auto" w:fill="CFF0FC"/>
          </w:tcPr>
          <w:p>
            <w:pPr>
              <w:jc w:val="center"/>
              <w:ind w:left="276"/>
              <w:spacing w:after="0"/>
              <w:rPr>
                <w:sz w:val="20"/>
                <w:szCs w:val="20"/>
                <w:color w:val="auto"/>
              </w:rPr>
            </w:pPr>
            <w:r>
              <w:rPr>
                <w:rFonts w:ascii="Arial" w:cs="Arial" w:eastAsia="Arial" w:hAnsi="Arial"/>
                <w:sz w:val="18"/>
                <w:szCs w:val="18"/>
                <w:color w:val="auto"/>
                <w:w w:val="90"/>
              </w:rPr>
              <w:t>5.65 - 6.14</w:t>
            </w:r>
          </w:p>
        </w:tc>
        <w:tc>
          <w:tcPr>
            <w:tcW w:w="3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5.27 - 6.33</w:t>
            </w:r>
          </w:p>
        </w:tc>
        <w:tc>
          <w:tcPr>
            <w:tcW w:w="180" w:type="dxa"/>
            <w:vAlign w:val="bottom"/>
            <w:shd w:val="clear" w:color="auto" w:fill="CFF0FC"/>
          </w:tcPr>
          <w:p>
            <w:pPr>
              <w:spacing w:after="0"/>
              <w:rPr>
                <w:sz w:val="20"/>
                <w:szCs w:val="20"/>
                <w:color w:val="auto"/>
              </w:rPr>
            </w:pPr>
          </w:p>
        </w:tc>
        <w:tc>
          <w:tcPr>
            <w:tcW w:w="206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0"/>
              </w:rPr>
              <w:t>5.27 - 6.25</w:t>
            </w: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center"/>
              <w:ind w:right="395"/>
              <w:spacing w:after="0"/>
              <w:rPr>
                <w:sz w:val="20"/>
                <w:szCs w:val="20"/>
                <w:color w:val="auto"/>
              </w:rPr>
            </w:pPr>
            <w:r>
              <w:rPr>
                <w:rFonts w:ascii="Arial" w:cs="Arial" w:eastAsia="Arial" w:hAnsi="Arial"/>
                <w:sz w:val="18"/>
                <w:szCs w:val="18"/>
                <w:color w:val="auto"/>
                <w:w w:val="90"/>
              </w:rPr>
              <w:t>5.27 - 6.33</w:t>
            </w:r>
          </w:p>
        </w:tc>
        <w:tc>
          <w:tcPr>
            <w:tcW w:w="1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700" w:type="dxa"/>
            <w:vAlign w:val="bottom"/>
          </w:tcPr>
          <w:p>
            <w:pPr>
              <w:jc w:val="center"/>
              <w:ind w:left="276"/>
              <w:spacing w:after="0"/>
              <w:rPr>
                <w:sz w:val="20"/>
                <w:szCs w:val="20"/>
                <w:color w:val="auto"/>
              </w:rPr>
            </w:pPr>
            <w:r>
              <w:rPr>
                <w:rFonts w:ascii="Arial" w:cs="Arial" w:eastAsia="Arial" w:hAnsi="Arial"/>
                <w:sz w:val="18"/>
                <w:szCs w:val="18"/>
                <w:color w:val="auto"/>
                <w:w w:val="91"/>
              </w:rPr>
              <w:t>68.82% - 71.43%</w:t>
            </w:r>
          </w:p>
        </w:tc>
        <w:tc>
          <w:tcPr>
            <w:tcW w:w="2620" w:type="dxa"/>
            <w:vAlign w:val="bottom"/>
            <w:gridSpan w:val="3"/>
          </w:tcPr>
          <w:p>
            <w:pPr>
              <w:jc w:val="center"/>
              <w:ind w:left="477"/>
              <w:spacing w:after="0"/>
              <w:rPr>
                <w:sz w:val="20"/>
                <w:szCs w:val="20"/>
                <w:color w:val="auto"/>
              </w:rPr>
            </w:pPr>
            <w:r>
              <w:rPr>
                <w:rFonts w:ascii="Arial" w:cs="Arial" w:eastAsia="Arial" w:hAnsi="Arial"/>
                <w:sz w:val="18"/>
                <w:szCs w:val="18"/>
                <w:color w:val="auto"/>
                <w:w w:val="91"/>
              </w:rPr>
              <w:t>68.96% - 70.71%</w:t>
            </w:r>
          </w:p>
        </w:tc>
        <w:tc>
          <w:tcPr>
            <w:tcW w:w="2240" w:type="dxa"/>
            <w:vAlign w:val="bottom"/>
            <w:gridSpan w:val="3"/>
          </w:tcPr>
          <w:p>
            <w:pPr>
              <w:jc w:val="center"/>
              <w:ind w:left="93"/>
              <w:spacing w:after="0"/>
              <w:rPr>
                <w:sz w:val="20"/>
                <w:szCs w:val="20"/>
                <w:color w:val="auto"/>
              </w:rPr>
            </w:pPr>
            <w:r>
              <w:rPr>
                <w:rFonts w:ascii="Arial" w:cs="Arial" w:eastAsia="Arial" w:hAnsi="Arial"/>
                <w:sz w:val="18"/>
                <w:szCs w:val="18"/>
                <w:color w:val="auto"/>
                <w:w w:val="91"/>
              </w:rPr>
              <w:t>68.82% - 81.98%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3"/>
          </w:tcPr>
          <w:p>
            <w:pPr>
              <w:jc w:val="center"/>
              <w:ind w:right="195"/>
              <w:spacing w:after="0"/>
              <w:rPr>
                <w:sz w:val="20"/>
                <w:szCs w:val="20"/>
                <w:color w:val="auto"/>
              </w:rPr>
            </w:pPr>
            <w:r>
              <w:rPr>
                <w:rFonts w:ascii="Arial" w:cs="Arial" w:eastAsia="Arial" w:hAnsi="Arial"/>
                <w:sz w:val="18"/>
                <w:szCs w:val="18"/>
                <w:color w:val="auto"/>
                <w:w w:val="91"/>
              </w:rPr>
              <w:t>65.20% - 70.71%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700" w:type="dxa"/>
            <w:vAlign w:val="bottom"/>
            <w:shd w:val="clear" w:color="auto" w:fill="CFF0FC"/>
          </w:tcPr>
          <w:p>
            <w:pPr>
              <w:jc w:val="center"/>
              <w:ind w:left="296"/>
              <w:spacing w:after="0"/>
              <w:rPr>
                <w:sz w:val="20"/>
                <w:szCs w:val="20"/>
                <w:color w:val="auto"/>
              </w:rPr>
            </w:pPr>
            <w:r>
              <w:rPr>
                <w:rFonts w:ascii="Arial" w:cs="Arial" w:eastAsia="Arial" w:hAnsi="Arial"/>
                <w:sz w:val="18"/>
                <w:szCs w:val="18"/>
                <w:color w:val="auto"/>
                <w:w w:val="91"/>
              </w:rPr>
              <w:t>4.02% - 4.56%</w:t>
            </w:r>
          </w:p>
        </w:tc>
        <w:tc>
          <w:tcPr>
            <w:tcW w:w="2620" w:type="dxa"/>
            <w:vAlign w:val="bottom"/>
            <w:gridSpan w:val="3"/>
            <w:shd w:val="clear" w:color="auto" w:fill="CFF0FC"/>
          </w:tcPr>
          <w:p>
            <w:pPr>
              <w:jc w:val="center"/>
              <w:ind w:left="497"/>
              <w:spacing w:after="0"/>
              <w:rPr>
                <w:sz w:val="20"/>
                <w:szCs w:val="20"/>
                <w:color w:val="auto"/>
              </w:rPr>
            </w:pPr>
            <w:r>
              <w:rPr>
                <w:rFonts w:ascii="Arial" w:cs="Arial" w:eastAsia="Arial" w:hAnsi="Arial"/>
                <w:sz w:val="18"/>
                <w:szCs w:val="18"/>
                <w:color w:val="auto"/>
                <w:w w:val="91"/>
              </w:rPr>
              <w:t>2.65% - 4.09%</w:t>
            </w:r>
          </w:p>
        </w:tc>
        <w:tc>
          <w:tcPr>
            <w:tcW w:w="2240" w:type="dxa"/>
            <w:vAlign w:val="bottom"/>
            <w:gridSpan w:val="3"/>
            <w:shd w:val="clear" w:color="auto" w:fill="CFF0FC"/>
          </w:tcPr>
          <w:p>
            <w:pPr>
              <w:jc w:val="center"/>
              <w:ind w:left="73"/>
              <w:spacing w:after="0"/>
              <w:rPr>
                <w:sz w:val="20"/>
                <w:szCs w:val="20"/>
                <w:color w:val="auto"/>
              </w:rPr>
            </w:pPr>
            <w:r>
              <w:rPr>
                <w:rFonts w:ascii="Arial" w:cs="Arial" w:eastAsia="Arial" w:hAnsi="Arial"/>
                <w:sz w:val="18"/>
                <w:szCs w:val="18"/>
                <w:color w:val="auto"/>
                <w:w w:val="91"/>
              </w:rPr>
              <w:t>3.47% - 4.56%</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80" w:type="dxa"/>
            <w:vAlign w:val="bottom"/>
            <w:gridSpan w:val="3"/>
            <w:shd w:val="clear" w:color="auto" w:fill="CFF0FC"/>
          </w:tcPr>
          <w:p>
            <w:pPr>
              <w:jc w:val="center"/>
              <w:ind w:right="175"/>
              <w:spacing w:after="0"/>
              <w:rPr>
                <w:sz w:val="20"/>
                <w:szCs w:val="20"/>
                <w:color w:val="auto"/>
              </w:rPr>
            </w:pPr>
            <w:r>
              <w:rPr>
                <w:rFonts w:ascii="Arial" w:cs="Arial" w:eastAsia="Arial" w:hAnsi="Arial"/>
                <w:sz w:val="18"/>
                <w:szCs w:val="18"/>
                <w:color w:val="auto"/>
                <w:w w:val="91"/>
              </w:rPr>
              <w:t>1.47% - 4.09%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00" w:type="dxa"/>
            <w:vAlign w:val="bottom"/>
          </w:tcPr>
          <w:p>
            <w:pPr>
              <w:jc w:val="center"/>
              <w:ind w:left="276"/>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80" w:type="dxa"/>
            <w:vAlign w:val="bottom"/>
            <w:gridSpan w:val="4"/>
          </w:tcPr>
          <w:p>
            <w:pPr>
              <w:jc w:val="center"/>
              <w:ind w:right="12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2"/>
        </w:trPr>
        <w:tc>
          <w:tcPr>
            <w:tcW w:w="11240" w:type="dxa"/>
            <w:vAlign w:val="bottom"/>
            <w:gridSpan w:val="15"/>
          </w:tcPr>
          <w:p>
            <w:pPr>
              <w:ind w:left="1020"/>
              <w:spacing w:after="0"/>
              <w:rPr>
                <w:sz w:val="20"/>
                <w:szCs w:val="20"/>
                <w:color w:val="auto"/>
              </w:rPr>
            </w:pPr>
            <w:r>
              <w:rPr>
                <w:rFonts w:ascii="Arial" w:cs="Arial" w:eastAsia="Arial" w:hAnsi="Arial"/>
                <w:sz w:val="18"/>
                <w:szCs w:val="18"/>
                <w:color w:val="auto"/>
                <w:w w:val="92"/>
              </w:rPr>
              <w:t>The following table provides a summary of restricted stock units activity under the 2021 Plan during the nine months ended September 30,</w:t>
            </w:r>
          </w:p>
        </w:tc>
        <w:tc>
          <w:tcPr>
            <w:tcW w:w="0" w:type="dxa"/>
            <w:vAlign w:val="bottom"/>
          </w:tcPr>
          <w:p>
            <w:pPr>
              <w:spacing w:after="0"/>
              <w:rPr>
                <w:sz w:val="1"/>
                <w:szCs w:val="1"/>
                <w:color w:val="auto"/>
              </w:rPr>
            </w:pPr>
          </w:p>
        </w:tc>
      </w:tr>
      <w:tr>
        <w:trPr>
          <w:trHeight w:val="230"/>
        </w:trPr>
        <w:tc>
          <w:tcPr>
            <w:tcW w:w="2460" w:type="dxa"/>
            <w:vAlign w:val="bottom"/>
          </w:tcPr>
          <w:p>
            <w:pPr>
              <w:ind w:left="520"/>
              <w:spacing w:after="0"/>
              <w:rPr>
                <w:sz w:val="20"/>
                <w:szCs w:val="20"/>
                <w:color w:val="auto"/>
              </w:rPr>
            </w:pPr>
            <w:r>
              <w:rPr>
                <w:rFonts w:ascii="Arial" w:cs="Arial" w:eastAsia="Arial" w:hAnsi="Arial"/>
                <w:sz w:val="18"/>
                <w:szCs w:val="18"/>
                <w:color w:val="auto"/>
              </w:rPr>
              <w:t>2023:</w:t>
            </w:r>
          </w:p>
        </w:tc>
        <w:tc>
          <w:tcPr>
            <w:tcW w:w="1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8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36"/>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6"/>
              </w:rPr>
              <w:t>Unvested restricted stock units at December 31, 2022</w:t>
            </w: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spacing w:after="0"/>
              <w:rPr>
                <w:sz w:val="20"/>
                <w:szCs w:val="20"/>
                <w:color w:val="auto"/>
              </w:rPr>
            </w:pPr>
          </w:p>
        </w:tc>
        <w:tc>
          <w:tcPr>
            <w:tcW w:w="16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485,351</w:t>
            </w: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520" w:type="dxa"/>
            <w:vAlign w:val="bottom"/>
            <w:gridSpan w:val="5"/>
          </w:tcPr>
          <w:p>
            <w:pPr>
              <w:jc w:val="right"/>
              <w:spacing w:after="0"/>
              <w:rPr>
                <w:sz w:val="20"/>
                <w:szCs w:val="20"/>
                <w:color w:val="auto"/>
              </w:rPr>
            </w:pPr>
            <w:r>
              <w:rPr>
                <w:rFonts w:ascii="Arial" w:cs="Arial" w:eastAsia="Arial" w:hAnsi="Arial"/>
                <w:sz w:val="18"/>
                <w:szCs w:val="18"/>
                <w:color w:val="auto"/>
              </w:rPr>
              <w:t>711,810</w:t>
            </w: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7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60" w:type="dxa"/>
            <w:vAlign w:val="bottom"/>
            <w:shd w:val="clear" w:color="auto" w:fill="CFF0FC"/>
          </w:tcPr>
          <w:p>
            <w:pPr>
              <w:spacing w:after="0"/>
              <w:rPr>
                <w:sz w:val="21"/>
                <w:szCs w:val="21"/>
                <w:color w:val="auto"/>
              </w:rPr>
            </w:pPr>
          </w:p>
        </w:tc>
        <w:tc>
          <w:tcPr>
            <w:tcW w:w="2780" w:type="dxa"/>
            <w:vAlign w:val="bottom"/>
            <w:gridSpan w:val="6"/>
            <w:shd w:val="clear" w:color="auto" w:fill="CFF0FC"/>
          </w:tcPr>
          <w:p>
            <w:pPr>
              <w:jc w:val="right"/>
              <w:ind w:right="180"/>
              <w:spacing w:after="0"/>
              <w:rPr>
                <w:sz w:val="20"/>
                <w:szCs w:val="20"/>
                <w:color w:val="auto"/>
              </w:rPr>
            </w:pPr>
            <w:r>
              <w:rPr>
                <w:rFonts w:ascii="Arial" w:cs="Arial" w:eastAsia="Arial" w:hAnsi="Arial"/>
                <w:sz w:val="18"/>
                <w:szCs w:val="18"/>
                <w:color w:val="auto"/>
              </w:rPr>
              <w:t>(190,727 )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Forfeiture</w:t>
            </w: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780" w:type="dxa"/>
            <w:vAlign w:val="bottom"/>
            <w:gridSpan w:val="6"/>
          </w:tcPr>
          <w:p>
            <w:pPr>
              <w:jc w:val="right"/>
              <w:ind w:right="180"/>
              <w:spacing w:after="0"/>
              <w:rPr>
                <w:sz w:val="20"/>
                <w:szCs w:val="20"/>
                <w:color w:val="auto"/>
              </w:rPr>
            </w:pPr>
            <w:r>
              <w:rPr>
                <w:rFonts w:ascii="Arial" w:cs="Arial" w:eastAsia="Arial" w:hAnsi="Arial"/>
                <w:sz w:val="18"/>
                <w:szCs w:val="18"/>
                <w:color w:val="auto"/>
              </w:rPr>
              <w:t>(52,521 )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w w:val="95"/>
              </w:rPr>
              <w:t>Unvested restricted stock units at September 30, 2023</w:t>
            </w:r>
          </w:p>
        </w:tc>
        <w:tc>
          <w:tcPr>
            <w:tcW w:w="3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0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gridSpan w:val="2"/>
            <w:shd w:val="clear" w:color="auto" w:fill="CFF0FC"/>
          </w:tcPr>
          <w:p>
            <w:pPr>
              <w:spacing w:after="0"/>
              <w:rPr>
                <w:sz w:val="24"/>
                <w:szCs w:val="24"/>
                <w:color w:val="auto"/>
              </w:rPr>
            </w:pPr>
          </w:p>
        </w:tc>
        <w:tc>
          <w:tcPr>
            <w:tcW w:w="16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953,913</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20" w:type="dxa"/>
            <w:vAlign w:val="bottom"/>
            <w:gridSpan w:val="3"/>
          </w:tcPr>
          <w:p>
            <w:pPr>
              <w:jc w:val="right"/>
              <w:ind w:right="97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46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-376555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-359410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1" w:lineRule="exact"/>
        <w:rPr>
          <w:sz w:val="20"/>
          <w:szCs w:val="20"/>
          <w:color w:val="auto"/>
        </w:rPr>
      </w:pPr>
    </w:p>
    <w:p>
      <w:pPr>
        <w:ind w:left="520" w:right="560" w:firstLine="509"/>
        <w:spacing w:after="0" w:line="277" w:lineRule="auto"/>
        <w:rPr>
          <w:sz w:val="20"/>
          <w:szCs w:val="20"/>
          <w:color w:val="auto"/>
        </w:rPr>
      </w:pPr>
      <w:r>
        <w:rPr>
          <w:rFonts w:ascii="Arial" w:cs="Arial" w:eastAsia="Arial" w:hAnsi="Arial"/>
          <w:sz w:val="18"/>
          <w:szCs w:val="18"/>
          <w:color w:val="auto"/>
        </w:rPr>
        <w:t>Unamortized share-based compensation for restricted stock units as of September 30, 2023 was $16.8 million, which is expected to be recognized over a weighted-average period of 3.1 years.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17" w:lineRule="exact"/>
        <w:rPr>
          <w:sz w:val="20"/>
          <w:szCs w:val="20"/>
          <w:color w:val="auto"/>
        </w:rPr>
      </w:pPr>
    </w:p>
    <w:p>
      <w:pPr>
        <w:ind w:left="520" w:right="80" w:firstLine="509"/>
        <w:spacing w:after="0" w:line="257" w:lineRule="auto"/>
        <w:rPr>
          <w:sz w:val="20"/>
          <w:szCs w:val="20"/>
          <w:color w:val="auto"/>
        </w:rPr>
      </w:pPr>
      <w:r>
        <w:rPr>
          <w:rFonts w:ascii="Arial" w:cs="Arial" w:eastAsia="Arial" w:hAnsi="Arial"/>
          <w:sz w:val="18"/>
          <w:szCs w:val="18"/>
          <w:color w:val="auto"/>
        </w:rPr>
        <w:t>In June 2022, the Company granted performance awards, consisting of performance stock options, or PSOs, and performance stock units, or PSUs, to non-executive employees pursuant to the 2021 Plan. Each performance award is earned through the achievement of a performance-based metric over a defined performance period determined by the compensation committee of the Company's board of directors. The estimated fair value of the equity awards that contain performance conditions is expensed over the term of the award once the Company has determined that it is probable that the performance conditions will be satisfied.</w:t>
      </w:r>
    </w:p>
    <w:p>
      <w:pPr>
        <w:spacing w:after="0" w:line="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following table provides a summary of PSO activity under the 2021 Plan during the nine months ended September 30,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7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3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146,950</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220" w:type="dxa"/>
            <w:vAlign w:val="bottom"/>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Forfeiture</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(3,450 )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15.25</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2023</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143,500</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Vested and expected to vest at September 30, 2023</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Exercisable at September 30, 2023</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-325120</wp:posOffset>
            </wp:positionV>
            <wp:extent cx="7683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74" w:lineRule="exact"/>
        <w:rPr>
          <w:sz w:val="20"/>
          <w:szCs w:val="20"/>
          <w:color w:val="auto"/>
        </w:rPr>
      </w:pPr>
    </w:p>
    <w:p>
      <w:pPr>
        <w:ind w:left="520" w:right="20" w:firstLine="509"/>
        <w:spacing w:after="0" w:line="277" w:lineRule="auto"/>
        <w:rPr>
          <w:sz w:val="20"/>
          <w:szCs w:val="20"/>
          <w:color w:val="auto"/>
        </w:rPr>
      </w:pPr>
      <w:r>
        <w:rPr>
          <w:rFonts w:ascii="Arial" w:cs="Arial" w:eastAsia="Arial" w:hAnsi="Arial"/>
          <w:sz w:val="18"/>
          <w:szCs w:val="18"/>
          <w:color w:val="auto"/>
        </w:rPr>
        <w:t>Aggregate intrinsic value represents the difference between the estimated fair value of the underlying common stock and the exercise price of outstanding, in-the-money PSOs.</w:t>
      </w:r>
    </w:p>
    <w:p>
      <w:pPr>
        <w:spacing w:after="0" w:line="62" w:lineRule="exact"/>
        <w:rPr>
          <w:sz w:val="20"/>
          <w:szCs w:val="20"/>
          <w:color w:val="auto"/>
        </w:rPr>
      </w:pPr>
    </w:p>
    <w:p>
      <w:pPr>
        <w:ind w:left="520" w:right="120" w:firstLine="509"/>
        <w:spacing w:after="0" w:line="259" w:lineRule="auto"/>
        <w:rPr>
          <w:sz w:val="20"/>
          <w:szCs w:val="20"/>
          <w:color w:val="auto"/>
        </w:rPr>
      </w:pPr>
      <w:r>
        <w:rPr>
          <w:rFonts w:ascii="Arial" w:cs="Arial" w:eastAsia="Arial" w:hAnsi="Arial"/>
          <w:sz w:val="18"/>
          <w:szCs w:val="18"/>
          <w:color w:val="auto"/>
        </w:rPr>
        <w:t>There was no fair value of PSOs that vested since there were no PSOs that vested during each of the nine months ended September 30, 2023 and 2022. There was no weighted-average grant date fair value of PSOs granted since there were no PSOs granted during the nine months ended September 30, 2023. The weighted-average grant date fair value of PSOs granted during the nine months ended September 30, 2022 was $7.78 per share.</w:t>
      </w:r>
    </w:p>
    <w:p>
      <w:pPr>
        <w:spacing w:after="0" w:line="79" w:lineRule="exact"/>
        <w:rPr>
          <w:sz w:val="20"/>
          <w:szCs w:val="20"/>
          <w:color w:val="auto"/>
        </w:rPr>
      </w:pPr>
    </w:p>
    <w:p>
      <w:pPr>
        <w:ind w:left="520" w:right="20" w:firstLine="509"/>
        <w:spacing w:after="0" w:line="308" w:lineRule="auto"/>
        <w:rPr>
          <w:sz w:val="20"/>
          <w:szCs w:val="20"/>
          <w:color w:val="auto"/>
        </w:rPr>
      </w:pPr>
      <w:r>
        <w:rPr>
          <w:rFonts w:ascii="Arial" w:cs="Arial" w:eastAsia="Arial" w:hAnsi="Arial"/>
          <w:sz w:val="17"/>
          <w:szCs w:val="17"/>
          <w:color w:val="auto"/>
        </w:rPr>
        <w:t>As of September 30, 2023, there was $1.1 million of unrecognized compensation cost related to unvested PSOs. The Company will recognize the PSO expense through the expected vesting dates when the achievement of the performance-based metrics is probable.</w:t>
      </w:r>
    </w:p>
    <w:p>
      <w:pPr>
        <w:spacing w:after="0" w:line="38" w:lineRule="exact"/>
        <w:rPr>
          <w:sz w:val="20"/>
          <w:szCs w:val="20"/>
          <w:color w:val="auto"/>
        </w:rPr>
      </w:pPr>
    </w:p>
    <w:p>
      <w:pPr>
        <w:ind w:left="520" w:right="740" w:firstLine="509"/>
        <w:spacing w:after="0" w:line="258" w:lineRule="auto"/>
        <w:rPr>
          <w:sz w:val="20"/>
          <w:szCs w:val="20"/>
          <w:color w:val="auto"/>
        </w:rPr>
      </w:pPr>
      <w:r>
        <w:rPr>
          <w:rFonts w:ascii="Arial" w:cs="Arial" w:eastAsia="Arial" w:hAnsi="Arial"/>
          <w:sz w:val="18"/>
          <w:szCs w:val="18"/>
          <w:color w:val="auto"/>
        </w:rPr>
        <w:t>The Company used the Black-Scholes option pricing model to estimate the fair value of the PSO awards granted with the following assumptions:</w:t>
      </w:r>
    </w:p>
    <w:tbl>
      <w:tblPr>
        <w:tblLayout w:type="fixed"/>
        <w:tblInd w:w="0" w:type="dxa"/>
        <w:tblCellMar>
          <w:top w:w="0" w:type="dxa"/>
          <w:left w:w="0" w:type="dxa"/>
          <w:bottom w:w="0" w:type="dxa"/>
          <w:right w:w="0" w:type="dxa"/>
        </w:tblCellMar>
      </w:tblPr>
      <w:tr>
        <w:trPr>
          <w:trHeight w:val="141"/>
        </w:trPr>
        <w:tc>
          <w:tcPr>
            <w:tcW w:w="3040" w:type="dxa"/>
            <w:vAlign w:val="bottom"/>
          </w:tcPr>
          <w:p>
            <w:pPr>
              <w:spacing w:after="0"/>
              <w:rPr>
                <w:sz w:val="12"/>
                <w:szCs w:val="12"/>
                <w:color w:val="auto"/>
              </w:rPr>
            </w:pPr>
          </w:p>
        </w:tc>
        <w:tc>
          <w:tcPr>
            <w:tcW w:w="2780" w:type="dxa"/>
            <w:vAlign w:val="bottom"/>
            <w:gridSpan w:val="3"/>
          </w:tcPr>
          <w:p>
            <w:pPr>
              <w:jc w:val="center"/>
              <w:ind w:left="1138"/>
              <w:spacing w:after="0" w:line="141" w:lineRule="exact"/>
              <w:rPr>
                <w:sz w:val="20"/>
                <w:szCs w:val="20"/>
                <w:color w:val="auto"/>
              </w:rPr>
            </w:pPr>
            <w:r>
              <w:rPr>
                <w:rFonts w:ascii="Arial" w:cs="Arial" w:eastAsia="Arial" w:hAnsi="Arial"/>
                <w:sz w:val="14"/>
                <w:szCs w:val="14"/>
                <w:b w:val="1"/>
                <w:bCs w:val="1"/>
                <w:color w:val="auto"/>
                <w:w w:val="95"/>
              </w:rPr>
              <w:t>Three Months Ended</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40" w:type="dxa"/>
            <w:vAlign w:val="bottom"/>
            <w:gridSpan w:val="3"/>
          </w:tcPr>
          <w:p>
            <w:pPr>
              <w:jc w:val="right"/>
              <w:ind w:right="270"/>
              <w:spacing w:after="0" w:line="141" w:lineRule="exact"/>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2"/>
                <w:szCs w:val="12"/>
                <w:color w:val="auto"/>
              </w:rPr>
            </w:pPr>
          </w:p>
        </w:tc>
      </w:tr>
      <w:tr>
        <w:trPr>
          <w:trHeight w:val="186"/>
        </w:trPr>
        <w:tc>
          <w:tcPr>
            <w:tcW w:w="3040" w:type="dxa"/>
            <w:vAlign w:val="bottom"/>
          </w:tcPr>
          <w:p>
            <w:pPr>
              <w:spacing w:after="0"/>
              <w:rPr>
                <w:sz w:val="16"/>
                <w:szCs w:val="16"/>
                <w:color w:val="auto"/>
              </w:rPr>
            </w:pPr>
          </w:p>
        </w:tc>
        <w:tc>
          <w:tcPr>
            <w:tcW w:w="2780" w:type="dxa"/>
            <w:vAlign w:val="bottom"/>
            <w:gridSpan w:val="3"/>
          </w:tcPr>
          <w:p>
            <w:pPr>
              <w:jc w:val="center"/>
              <w:ind w:left="1138"/>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4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6"/>
                <w:szCs w:val="16"/>
                <w:color w:val="auto"/>
              </w:rPr>
            </w:pPr>
          </w:p>
        </w:tc>
      </w:tr>
      <w:tr>
        <w:trPr>
          <w:trHeight w:val="268"/>
        </w:trPr>
        <w:tc>
          <w:tcPr>
            <w:tcW w:w="304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jc w:val="center"/>
              <w:ind w:right="594"/>
              <w:spacing w:after="0"/>
              <w:rPr>
                <w:sz w:val="20"/>
                <w:szCs w:val="20"/>
                <w:color w:val="auto"/>
              </w:rPr>
            </w:pPr>
            <w:r>
              <w:rPr>
                <w:rFonts w:ascii="Arial" w:cs="Arial" w:eastAsia="Arial" w:hAnsi="Arial"/>
                <w:sz w:val="14"/>
                <w:szCs w:val="14"/>
                <w:b w:val="1"/>
                <w:bCs w:val="1"/>
                <w:color w:val="auto"/>
                <w:w w:val="89"/>
              </w:rPr>
              <w:t>2022</w:t>
            </w:r>
          </w:p>
        </w:tc>
        <w:tc>
          <w:tcPr>
            <w:tcW w:w="1420" w:type="dxa"/>
            <w:vAlign w:val="bottom"/>
            <w:gridSpan w:val="2"/>
          </w:tcPr>
          <w:p>
            <w:pPr>
              <w:jc w:val="center"/>
              <w:ind w:left="768"/>
              <w:spacing w:after="0"/>
              <w:rPr>
                <w:sz w:val="20"/>
                <w:szCs w:val="20"/>
                <w:color w:val="auto"/>
              </w:rPr>
            </w:pPr>
            <w:r>
              <w:rPr>
                <w:rFonts w:ascii="Arial" w:cs="Arial" w:eastAsia="Arial" w:hAnsi="Arial"/>
                <w:sz w:val="14"/>
                <w:szCs w:val="14"/>
                <w:b w:val="1"/>
                <w:bCs w:val="1"/>
                <w:color w:val="auto"/>
                <w:w w:val="96"/>
              </w:rPr>
              <w:t>2023</w:t>
            </w:r>
          </w:p>
        </w:tc>
        <w:tc>
          <w:tcPr>
            <w:tcW w:w="2760" w:type="dxa"/>
            <w:vAlign w:val="bottom"/>
            <w:gridSpan w:val="4"/>
          </w:tcPr>
          <w:p>
            <w:pPr>
              <w:jc w:val="center"/>
              <w:ind w:left="761"/>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center"/>
              <w:ind w:right="614"/>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center"/>
              <w:ind w:left="5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- 3.42</w:t>
            </w: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780" w:type="dxa"/>
            <w:vAlign w:val="bottom"/>
            <w:gridSpan w:val="3"/>
          </w:tcPr>
          <w:p>
            <w:pPr>
              <w:jc w:val="center"/>
              <w:ind w:right="88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right="614"/>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240" w:type="dxa"/>
            <w:vAlign w:val="bottom"/>
          </w:tcPr>
          <w:p>
            <w:pPr>
              <w:jc w:val="center"/>
              <w:ind w:left="570"/>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72.72%</w:t>
            </w:r>
          </w:p>
        </w:tc>
        <w:tc>
          <w:tcPr>
            <w:tcW w:w="1020" w:type="dxa"/>
            <w:vAlign w:val="bottom"/>
          </w:tcPr>
          <w:p>
            <w:pPr>
              <w:ind w:left="40"/>
              <w:spacing w:after="0"/>
              <w:rPr>
                <w:sz w:val="20"/>
                <w:szCs w:val="20"/>
                <w:color w:val="auto"/>
              </w:rPr>
            </w:pPr>
            <w:r>
              <w:rPr>
                <w:rFonts w:ascii="Arial" w:cs="Arial" w:eastAsia="Arial" w:hAnsi="Arial"/>
                <w:sz w:val="18"/>
                <w:szCs w:val="18"/>
                <w:color w:val="auto"/>
              </w:rPr>
              <w:t>- 72.98%</w:t>
            </w:r>
          </w:p>
        </w:tc>
      </w:tr>
      <w:tr>
        <w:trPr>
          <w:trHeight w:val="249"/>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780" w:type="dxa"/>
            <w:vAlign w:val="bottom"/>
            <w:gridSpan w:val="3"/>
            <w:shd w:val="clear" w:color="auto" w:fill="CFF0FC"/>
          </w:tcPr>
          <w:p>
            <w:pPr>
              <w:jc w:val="center"/>
              <w:ind w:right="88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center"/>
              <w:ind w:right="614"/>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99"/>
              </w:rPr>
              <w:t>—</w:t>
            </w:r>
          </w:p>
        </w:tc>
        <w:tc>
          <w:tcPr>
            <w:tcW w:w="2760" w:type="dxa"/>
            <w:vAlign w:val="bottom"/>
            <w:gridSpan w:val="4"/>
            <w:shd w:val="clear" w:color="auto" w:fill="CFF0FC"/>
          </w:tcPr>
          <w:p>
            <w:pPr>
              <w:jc w:val="center"/>
              <w:ind w:left="761"/>
              <w:spacing w:after="0"/>
              <w:rPr>
                <w:sz w:val="20"/>
                <w:szCs w:val="20"/>
                <w:color w:val="auto"/>
              </w:rPr>
            </w:pPr>
            <w:r>
              <w:rPr>
                <w:rFonts w:ascii="Arial" w:cs="Arial" w:eastAsia="Arial" w:hAnsi="Arial"/>
                <w:sz w:val="18"/>
                <w:szCs w:val="18"/>
                <w:color w:val="auto"/>
                <w:w w:val="93"/>
              </w:rPr>
              <w:t>3.37%</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780" w:type="dxa"/>
            <w:vAlign w:val="bottom"/>
            <w:gridSpan w:val="3"/>
          </w:tcPr>
          <w:p>
            <w:pPr>
              <w:jc w:val="center"/>
              <w:ind w:right="88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right="614"/>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240" w:type="dxa"/>
            <w:vAlign w:val="bottom"/>
          </w:tcPr>
          <w:p>
            <w:pPr>
              <w:jc w:val="center"/>
              <w:ind w:left="57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following table provides a summary of PSU activity under the 2021 Plan during the nine months ended September 30,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4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units at December 31, 2022</w:t>
            </w:r>
          </w:p>
        </w:tc>
        <w:tc>
          <w:tcPr>
            <w:tcW w:w="296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95,500</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Granted</w:t>
            </w:r>
          </w:p>
        </w:tc>
        <w:tc>
          <w:tcPr>
            <w:tcW w:w="2960" w:type="dxa"/>
            <w:vAlign w:val="bottom"/>
          </w:tcPr>
          <w:p>
            <w:pPr>
              <w:spacing w:after="0"/>
              <w:rPr>
                <w:sz w:val="20"/>
                <w:szCs w:val="20"/>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296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Forfeiture</w:t>
            </w:r>
          </w:p>
        </w:tc>
        <w:tc>
          <w:tcPr>
            <w:tcW w:w="4880" w:type="dxa"/>
            <w:vAlign w:val="bottom"/>
            <w:gridSpan w:val="3"/>
          </w:tcPr>
          <w:p>
            <w:pPr>
              <w:jc w:val="right"/>
              <w:ind w:right="220"/>
              <w:spacing w:after="0"/>
              <w:rPr>
                <w:sz w:val="20"/>
                <w:szCs w:val="20"/>
                <w:color w:val="auto"/>
              </w:rPr>
            </w:pPr>
            <w:r>
              <w:rPr>
                <w:rFonts w:ascii="Arial" w:cs="Arial" w:eastAsia="Arial" w:hAnsi="Arial"/>
                <w:sz w:val="18"/>
                <w:szCs w:val="18"/>
                <w:color w:val="auto"/>
              </w:rPr>
              <w:t>(2,250 )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stock units at September 30, 2023</w:t>
            </w:r>
          </w:p>
        </w:tc>
        <w:tc>
          <w:tcPr>
            <w:tcW w:w="296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93,250</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720" w:type="dxa"/>
            <w:vAlign w:val="bottom"/>
          </w:tcPr>
          <w:p>
            <w:pPr>
              <w:spacing w:after="0"/>
              <w:rPr>
                <w:sz w:val="24"/>
                <w:szCs w:val="24"/>
                <w:color w:val="auto"/>
              </w:rPr>
            </w:pPr>
          </w:p>
        </w:tc>
        <w:tc>
          <w:tcPr>
            <w:tcW w:w="2960" w:type="dxa"/>
            <w:vAlign w:val="bottom"/>
          </w:tcPr>
          <w:p>
            <w:pPr>
              <w:jc w:val="right"/>
              <w:ind w:right="1870"/>
              <w:spacing w:after="0"/>
              <w:rPr>
                <w:sz w:val="20"/>
                <w:szCs w:val="20"/>
                <w:color w:val="auto"/>
              </w:rPr>
            </w:pPr>
            <w:r>
              <w:rPr>
                <w:rFonts w:ascii="Arial" w:cs="Arial" w:eastAsia="Arial" w:hAnsi="Arial"/>
                <w:sz w:val="18"/>
                <w:szCs w:val="18"/>
                <w:color w:val="auto"/>
              </w:rPr>
              <w:t>21</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2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-376555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-359410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1" w:lineRule="exact"/>
        <w:rPr>
          <w:sz w:val="20"/>
          <w:szCs w:val="20"/>
          <w:color w:val="auto"/>
        </w:rPr>
      </w:pPr>
    </w:p>
    <w:p>
      <w:pPr>
        <w:ind w:left="520" w:right="20" w:firstLine="509"/>
        <w:spacing w:after="0" w:line="308" w:lineRule="auto"/>
        <w:rPr>
          <w:sz w:val="20"/>
          <w:szCs w:val="20"/>
          <w:color w:val="auto"/>
        </w:rPr>
      </w:pPr>
      <w:r>
        <w:rPr>
          <w:rFonts w:ascii="Arial" w:cs="Arial" w:eastAsia="Arial" w:hAnsi="Arial"/>
          <w:sz w:val="17"/>
          <w:szCs w:val="17"/>
          <w:color w:val="auto"/>
        </w:rPr>
        <w:t>As of September 30, 2023, there was $1.4 million of unrecognized compensation cost related to unvested PSUs. The Company will recognize the PSU expense through the expected vesting dates when the achievement of the performance-based metrics is probable.</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ind w:left="520" w:right="80" w:firstLine="509"/>
        <w:spacing w:after="0" w:line="270" w:lineRule="auto"/>
        <w:rPr>
          <w:sz w:val="20"/>
          <w:szCs w:val="20"/>
          <w:color w:val="auto"/>
        </w:rPr>
      </w:pPr>
      <w:r>
        <w:rPr>
          <w:rFonts w:ascii="Arial" w:cs="Arial" w:eastAsia="Arial" w:hAnsi="Arial"/>
          <w:sz w:val="17"/>
          <w:szCs w:val="17"/>
          <w:color w:val="auto"/>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and (b) an amount determined by the board of directors. 178,506 shares have been issued under the ESPP as of September 30, 2023. The Company recognized compensation expense related to the ESPP of $0.1 million and $17,000 for the three months ended September 30, 2023 and 2022, respectively, and $0.6 million and $0.1 million for the nine months ended September 30, 2023 and 2022, respectively.</w:t>
      </w:r>
    </w:p>
    <w:p>
      <w:pPr>
        <w:spacing w:after="0" w:line="73" w:lineRule="exact"/>
        <w:rPr>
          <w:sz w:val="20"/>
          <w:szCs w:val="20"/>
          <w:color w:val="auto"/>
        </w:rPr>
      </w:pPr>
    </w:p>
    <w:p>
      <w:pPr>
        <w:ind w:left="520" w:right="40" w:firstLine="509"/>
        <w:spacing w:after="0" w:line="258" w:lineRule="auto"/>
        <w:rPr>
          <w:sz w:val="20"/>
          <w:szCs w:val="20"/>
          <w:color w:val="auto"/>
        </w:rPr>
      </w:pPr>
      <w:r>
        <w:rPr>
          <w:rFonts w:ascii="Arial" w:cs="Arial" w:eastAsia="Arial" w:hAnsi="Arial"/>
          <w:sz w:val="18"/>
          <w:szCs w:val="18"/>
          <w:color w:val="auto"/>
        </w:rPr>
        <w:t>The fair value of our common stock to be issued under the ESPP is estimated at the date of grant using a Black-Scholes option-pricing model with the following assumptions:</w:t>
      </w:r>
    </w:p>
    <w:tbl>
      <w:tblPr>
        <w:tblLayout w:type="fixed"/>
        <w:tblInd w:w="0" w:type="dxa"/>
        <w:tblCellMar>
          <w:top w:w="0" w:type="dxa"/>
          <w:left w:w="0" w:type="dxa"/>
          <w:bottom w:w="0" w:type="dxa"/>
          <w:right w:w="0" w:type="dxa"/>
        </w:tblCellMar>
      </w:tblPr>
      <w:tr>
        <w:trPr>
          <w:trHeight w:val="141"/>
        </w:trPr>
        <w:tc>
          <w:tcPr>
            <w:tcW w:w="40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680" w:type="dxa"/>
            <w:vAlign w:val="bottom"/>
            <w:gridSpan w:val="3"/>
          </w:tcPr>
          <w:p>
            <w:pPr>
              <w:jc w:val="center"/>
              <w:ind w:right="2390"/>
              <w:spacing w:after="0" w:line="141" w:lineRule="exact"/>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40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680" w:type="dxa"/>
            <w:vAlign w:val="bottom"/>
            <w:gridSpan w:val="3"/>
          </w:tcPr>
          <w:p>
            <w:pPr>
              <w:jc w:val="center"/>
              <w:ind w:right="2390"/>
              <w:spacing w:after="0"/>
              <w:rPr>
                <w:sz w:val="20"/>
                <w:szCs w:val="20"/>
                <w:color w:val="auto"/>
              </w:rPr>
            </w:pPr>
            <w:r>
              <w:rPr>
                <w:rFonts w:ascii="Arial" w:cs="Arial" w:eastAsia="Arial" w:hAnsi="Arial"/>
                <w:sz w:val="14"/>
                <w:szCs w:val="14"/>
                <w:b w:val="1"/>
                <w:bCs w:val="1"/>
                <w:color w:val="auto"/>
                <w:w w:val="91"/>
              </w:rPr>
              <w:t>September 30,</w:t>
            </w:r>
          </w:p>
        </w:tc>
      </w:tr>
      <w:tr>
        <w:trPr>
          <w:trHeight w:val="269"/>
        </w:trPr>
        <w:tc>
          <w:tcPr>
            <w:tcW w:w="4080" w:type="dxa"/>
            <w:vAlign w:val="bottom"/>
          </w:tcPr>
          <w:p>
            <w:pPr>
              <w:spacing w:after="0"/>
              <w:rPr>
                <w:sz w:val="23"/>
                <w:szCs w:val="23"/>
                <w:color w:val="auto"/>
              </w:rPr>
            </w:pPr>
          </w:p>
        </w:tc>
        <w:tc>
          <w:tcPr>
            <w:tcW w:w="2480" w:type="dxa"/>
            <w:vAlign w:val="bottom"/>
          </w:tcPr>
          <w:p>
            <w:pPr>
              <w:jc w:val="center"/>
              <w:ind w:left="874"/>
              <w:spacing w:after="0"/>
              <w:rPr>
                <w:sz w:val="20"/>
                <w:szCs w:val="20"/>
                <w:color w:val="auto"/>
              </w:rPr>
            </w:pPr>
            <w:r>
              <w:rPr>
                <w:rFonts w:ascii="Arial" w:cs="Arial" w:eastAsia="Arial" w:hAnsi="Arial"/>
                <w:sz w:val="14"/>
                <w:szCs w:val="14"/>
                <w:b w:val="1"/>
                <w:bCs w:val="1"/>
                <w:color w:val="auto"/>
                <w:w w:val="89"/>
              </w:rPr>
              <w:t>2023</w:t>
            </w:r>
          </w:p>
        </w:tc>
        <w:tc>
          <w:tcPr>
            <w:tcW w:w="4680" w:type="dxa"/>
            <w:vAlign w:val="bottom"/>
            <w:gridSpan w:val="3"/>
          </w:tcPr>
          <w:p>
            <w:pPr>
              <w:jc w:val="center"/>
              <w:ind w:left="1161"/>
              <w:spacing w:after="0"/>
              <w:rPr>
                <w:sz w:val="20"/>
                <w:szCs w:val="20"/>
                <w:color w:val="auto"/>
              </w:rPr>
            </w:pPr>
            <w:r>
              <w:rPr>
                <w:rFonts w:ascii="Arial" w:cs="Arial" w:eastAsia="Arial" w:hAnsi="Arial"/>
                <w:sz w:val="14"/>
                <w:szCs w:val="14"/>
                <w:b w:val="1"/>
                <w:bCs w:val="1"/>
                <w:color w:val="auto"/>
                <w:w w:val="89"/>
              </w:rPr>
              <w:t>2022</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480" w:type="dxa"/>
            <w:vAlign w:val="bottom"/>
            <w:tcBorders>
              <w:top w:val="single" w:sz="8" w:color="auto"/>
            </w:tcBorders>
          </w:tcPr>
          <w:p>
            <w:pPr>
              <w:jc w:val="center"/>
              <w:ind w:left="874"/>
              <w:spacing w:after="0"/>
              <w:rPr>
                <w:sz w:val="20"/>
                <w:szCs w:val="20"/>
                <w:color w:val="auto"/>
              </w:rPr>
            </w:pPr>
            <w:r>
              <w:rPr>
                <w:rFonts w:ascii="Arial" w:cs="Arial" w:eastAsia="Arial" w:hAnsi="Arial"/>
                <w:sz w:val="18"/>
                <w:szCs w:val="18"/>
                <w:color w:val="auto"/>
                <w:w w:val="95"/>
              </w:rPr>
              <w:t>0.5</w:t>
            </w:r>
          </w:p>
        </w:tc>
        <w:tc>
          <w:tcPr>
            <w:tcW w:w="9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0.5</w:t>
            </w: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480" w:type="dxa"/>
            <w:vAlign w:val="bottom"/>
            <w:shd w:val="clear" w:color="auto" w:fill="CFF0FC"/>
          </w:tcPr>
          <w:p>
            <w:pPr>
              <w:jc w:val="center"/>
              <w:ind w:left="874"/>
              <w:spacing w:after="0"/>
              <w:rPr>
                <w:sz w:val="20"/>
                <w:szCs w:val="20"/>
                <w:color w:val="auto"/>
              </w:rPr>
            </w:pPr>
            <w:r>
              <w:rPr>
                <w:rFonts w:ascii="Arial" w:cs="Arial" w:eastAsia="Arial" w:hAnsi="Arial"/>
                <w:sz w:val="18"/>
                <w:szCs w:val="18"/>
                <w:color w:val="auto"/>
                <w:w w:val="91"/>
              </w:rPr>
              <w:t>63.57%</w:t>
            </w:r>
          </w:p>
        </w:tc>
        <w:tc>
          <w:tcPr>
            <w:tcW w:w="4680" w:type="dxa"/>
            <w:vAlign w:val="bottom"/>
            <w:gridSpan w:val="3"/>
            <w:shd w:val="clear" w:color="auto" w:fill="CFF0FC"/>
          </w:tcPr>
          <w:p>
            <w:pPr>
              <w:jc w:val="center"/>
              <w:ind w:left="1161"/>
              <w:spacing w:after="0"/>
              <w:rPr>
                <w:sz w:val="20"/>
                <w:szCs w:val="20"/>
                <w:color w:val="auto"/>
              </w:rPr>
            </w:pPr>
            <w:r>
              <w:rPr>
                <w:rFonts w:ascii="Arial" w:cs="Arial" w:eastAsia="Arial" w:hAnsi="Arial"/>
                <w:sz w:val="18"/>
                <w:szCs w:val="18"/>
                <w:color w:val="auto"/>
                <w:w w:val="91"/>
              </w:rPr>
              <w:t>58.49%</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480" w:type="dxa"/>
            <w:vAlign w:val="bottom"/>
          </w:tcPr>
          <w:p>
            <w:pPr>
              <w:jc w:val="center"/>
              <w:ind w:left="874"/>
              <w:spacing w:after="0"/>
              <w:rPr>
                <w:sz w:val="20"/>
                <w:szCs w:val="20"/>
                <w:color w:val="auto"/>
              </w:rPr>
            </w:pPr>
            <w:r>
              <w:rPr>
                <w:rFonts w:ascii="Arial" w:cs="Arial" w:eastAsia="Arial" w:hAnsi="Arial"/>
                <w:sz w:val="18"/>
                <w:szCs w:val="18"/>
                <w:color w:val="auto"/>
                <w:w w:val="93"/>
              </w:rPr>
              <w:t>5.24%</w:t>
            </w:r>
          </w:p>
        </w:tc>
        <w:tc>
          <w:tcPr>
            <w:tcW w:w="4680" w:type="dxa"/>
            <w:vAlign w:val="bottom"/>
            <w:gridSpan w:val="3"/>
          </w:tcPr>
          <w:p>
            <w:pPr>
              <w:jc w:val="center"/>
              <w:ind w:left="1181"/>
              <w:spacing w:after="0"/>
              <w:rPr>
                <w:sz w:val="20"/>
                <w:szCs w:val="20"/>
                <w:color w:val="auto"/>
              </w:rPr>
            </w:pPr>
            <w:r>
              <w:rPr>
                <w:rFonts w:ascii="Arial" w:cs="Arial" w:eastAsia="Arial" w:hAnsi="Arial"/>
                <w:sz w:val="18"/>
                <w:szCs w:val="18"/>
                <w:color w:val="auto"/>
                <w:w w:val="90"/>
              </w:rPr>
              <w:t>1.54%</w:t>
            </w: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480" w:type="dxa"/>
            <w:vAlign w:val="bottom"/>
            <w:shd w:val="clear" w:color="auto" w:fill="CFF0FC"/>
          </w:tcPr>
          <w:p>
            <w:pPr>
              <w:jc w:val="center"/>
              <w:ind w:left="854"/>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520" w:right="320" w:firstLine="509"/>
        <w:spacing w:after="0" w:line="258" w:lineRule="auto"/>
        <w:rPr>
          <w:sz w:val="20"/>
          <w:szCs w:val="20"/>
          <w:color w:val="auto"/>
        </w:rPr>
      </w:pPr>
      <w:r>
        <w:rPr>
          <w:rFonts w:ascii="Arial" w:cs="Arial" w:eastAsia="Arial" w:hAnsi="Arial"/>
          <w:sz w:val="18"/>
          <w:szCs w:val="18"/>
          <w:color w:val="auto"/>
        </w:rPr>
        <w:t>Basic and diluted net loss per share attributable to common stockholders is calculated as follows (in thousands except share and per share amounts):</w:t>
      </w:r>
    </w:p>
    <w:tbl>
      <w:tblPr>
        <w:tblLayout w:type="fixed"/>
        <w:tblInd w:w="0" w:type="dxa"/>
        <w:tblCellMar>
          <w:top w:w="0" w:type="dxa"/>
          <w:left w:w="0" w:type="dxa"/>
          <w:bottom w:w="0" w:type="dxa"/>
          <w:right w:w="0" w:type="dxa"/>
        </w:tblCellMar>
      </w:tblPr>
      <w:tr>
        <w:trPr>
          <w:trHeight w:val="141"/>
        </w:trPr>
        <w:tc>
          <w:tcPr>
            <w:tcW w:w="4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gridSpan w:val="3"/>
          </w:tcPr>
          <w:p>
            <w:pPr>
              <w:jc w:val="right"/>
              <w:spacing w:after="0" w:line="141" w:lineRule="exact"/>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3"/>
          </w:tcPr>
          <w:p>
            <w:pPr>
              <w:jc w:val="right"/>
              <w:spacing w:after="0" w:line="141" w:lineRule="exact"/>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4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230"/>
        </w:trPr>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(46,150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(37,795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(134,406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(102,072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44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(0.54 )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(0.53 )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(1.73 )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(1.61 )</w:t>
            </w:r>
          </w:p>
        </w:tc>
      </w:tr>
      <w:tr>
        <w:trPr>
          <w:trHeight w:val="215"/>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number of common shares used in</w:t>
            </w:r>
          </w:p>
        </w:tc>
        <w:tc>
          <w:tcPr>
            <w:tcW w:w="3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computing net loss per share, basic and diluted</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85,952,501</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71,008,993</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77,682,237</w:t>
            </w: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63,522,774</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-757555</wp:posOffset>
            </wp:positionV>
            <wp:extent cx="33858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85820" cy="15430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-462280</wp:posOffset>
            </wp:positionV>
            <wp:extent cx="7747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-462280</wp:posOffset>
            </wp:positionV>
            <wp:extent cx="6858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-462280</wp:posOffset>
            </wp:positionV>
            <wp:extent cx="6858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ind w:left="520" w:right="80" w:firstLine="554"/>
        <w:spacing w:after="0" w:line="258"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as their effect is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As of September 30,</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69"/>
        </w:trPr>
        <w:tc>
          <w:tcPr>
            <w:tcW w:w="1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20" w:type="dxa"/>
            <w:vAlign w:val="bottom"/>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30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34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10,039,940</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7,447,808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Unvested common shares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956,719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2,240,702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3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1,001,313</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435,570</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Shares committed under ESPP</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69,578</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51,169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3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12,067,550</w:t>
            </w:r>
          </w:p>
        </w:tc>
        <w:tc>
          <w:tcPr>
            <w:tcW w:w="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10,175,249</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1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40" w:type="dxa"/>
            <w:vAlign w:val="bottom"/>
          </w:tcPr>
          <w:p>
            <w:pPr>
              <w:jc w:val="right"/>
              <w:ind w:right="1250"/>
              <w:spacing w:after="0"/>
              <w:rPr>
                <w:sz w:val="20"/>
                <w:szCs w:val="20"/>
                <w:color w:val="auto"/>
              </w:rPr>
            </w:pPr>
            <w:r>
              <w:rPr>
                <w:rFonts w:ascii="Arial" w:cs="Arial" w:eastAsia="Arial" w:hAnsi="Arial"/>
                <w:sz w:val="18"/>
                <w:szCs w:val="18"/>
                <w:color w:val="auto"/>
              </w:rPr>
              <w:t>22</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-367665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-367665</wp:posOffset>
            </wp:positionV>
            <wp:extent cx="431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ind w:left="520" w:right="60" w:firstLine="509"/>
        <w:spacing w:after="0" w:line="259" w:lineRule="auto"/>
        <w:rPr>
          <w:sz w:val="20"/>
          <w:szCs w:val="20"/>
          <w:color w:val="auto"/>
        </w:rPr>
      </w:pPr>
      <w:r>
        <w:rPr>
          <w:rFonts w:ascii="Arial" w:cs="Arial" w:eastAsia="Arial" w:hAnsi="Arial"/>
          <w:sz w:val="18"/>
          <w:szCs w:val="18"/>
          <w:color w:val="auto"/>
        </w:rPr>
        <w:t>The Company maintains an employee savings plan pursuant to Section 401(k) of the Internal Revenue Code. All employees are eligible to participate provided that they meet the requirements of the plan. For each of the three months ended September 30, 2023 and 2022, the Company made matching contributions of $0.2 million and $0.3 million, respectively. For the nine months ended September 30, 2023 and 2022, the Company made matching contributions of $1.0 million and $0.8 million, respectively.</w:t>
      </w:r>
    </w:p>
    <w:p>
      <w:pPr>
        <w:spacing w:after="0" w:line="29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left="520" w:firstLine="509"/>
        <w:spacing w:after="0" w:line="257" w:lineRule="auto"/>
        <w:rPr>
          <w:sz w:val="20"/>
          <w:szCs w:val="20"/>
          <w:color w:val="auto"/>
        </w:rPr>
      </w:pPr>
      <w:r>
        <w:rPr>
          <w:rFonts w:ascii="Arial" w:cs="Arial" w:eastAsia="Arial" w:hAnsi="Arial"/>
          <w:sz w:val="18"/>
          <w:szCs w:val="18"/>
          <w:color w:val="auto"/>
        </w:rPr>
        <w:t>On October 30, 2023, the U.S. Food and Drug Administration, or the FDA, accepted for filing, the Company's New Drug Application, or NDA, for tovorafenib (DAY101) as a monotherapy in relapsed or progressive low-grade glioma, or pLGG. The FDA has granted priority review and assigned a Prescription Drug User Fee Act, or PDUFA, target action date of April 30, 2024. The FDA is not currently planning to hold an advisory committee meeting to discuss the application. Per the terms of the Viracta License Agreement, a $5.0 million payment is due to Viracta for achievement of this milestone, which will be recorded to research and development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our interim condensed consolidated financial statements and related notes, and other financial information appearing in our Annual Report on Form 10-K for the year ended December 31, 2022, or our Annual Report, and this Quarterly Report on Form 10-Q. Some of the information contained in this discussion and analysis includes forward-looking statements that involve risks and uncertainties. As a result of many factors, including those factors set forth in the “Risk Factors” in this Quarterly Report on Form 10-Q, our actual results could differ materially from the results described in or implied by the forward-looking statements contained in the following discussion and analysis.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Day One was founded to address a critical unmet need: the dire lack of therapeutic development in pediatric cancer.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spacing w:after="0" w:line="5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We are a clinical-stage biopharmaceutical company dedicated to developing and commercializing targeted therapies for people of all ages with life threatening diseases. Initially, we have focused our clinical development efforts on pediatric patients living with cancer, a vulnerable population that has been underserved in the recent revolution in targeted therapeutics and immuno-oncology.</w:t>
      </w:r>
    </w:p>
    <w:p>
      <w:pPr>
        <w:spacing w:after="0" w:line="76"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Our lead product candidate, tovorafenib (DAY101), is an oral, brain-penetrant, highly-selective type II rapidly accelerated fibrosarcoma, or RAF, kinase inhibitor. Tovorafenib (DAY101) has been studied in over 350 patients and has been shown to be generally well-tolerated as a monotherapy. Tovorafenib (DAY101) has demonstrated encouraging anti-tumor activity in pediatric and adult populations with specific genetic alterations that result in the over-activation of the RAS/mitogen-activated protein kinase, or MAPK, pathway leading to uncontrolled cell growth.</w:t>
      </w:r>
    </w:p>
    <w:p>
      <w:pPr>
        <w:spacing w:after="0" w:line="63"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Tovorafenib (DAY101) was granted Breakthrough Therapy Designation by the U.S. Food and Drug Administration, or the FDA, in August 2020 for the treatment of relapsed or progressive low-grade glioma, or pLGG, based on initial results from a Phase 1 trial which showed evidence of rapid anti-tumor activity and durable responses in pLGG patients. Pediatric low-grade glioma is the most common brain tumor diagnosed in children for which there is no standard of care and for which there are no approved therapies for the vast majority of patients. We received orphan drug designation for the treatment of malignant glioma from the FDA in September 2020 and from the EU Commission for the treatment of glioma in May 2021. Additionally, the FDA granted Rare Pediatric Disease designation to tovorafenib (DAY101) for treatment of low-grade gliomas, or LGGs, harboring an activating RAF alteration in July 2021.</w:t>
      </w:r>
    </w:p>
    <w:p>
      <w:pPr>
        <w:spacing w:after="0" w:line="8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We have initiated and fully enrolled a pivotal Phase 2 trial, or FIREFLY-1, of tovorafenib (DAY101) as a monotherapy for pediatric patients with relapsed or progressive low-grade glioma harboring an activating BRAF alteration. The first patient was dosed in FIREFLY-1 in May 2021 and we completed enrollment in the registrational arm in May 2022. The FIREFLY-1 trial has also been expanded to: (a) include two additional study arms to enable expanded access for eligible patients now that the primary cohort has completed enrollment, and (b) evaluate the preliminary efficacy of tovorafenib (DAY101) in patients aged six months to 25 years with a relapsed or progressive extracranial solid tumor with an activating RAF 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right="20" w:firstLine="509"/>
        <w:spacing w:after="0" w:line="296" w:lineRule="auto"/>
        <w:rPr>
          <w:sz w:val="20"/>
          <w:szCs w:val="20"/>
          <w:color w:val="auto"/>
        </w:rPr>
      </w:pPr>
      <w:r>
        <w:rPr>
          <w:rFonts w:ascii="Arial" w:cs="Arial" w:eastAsia="Arial" w:hAnsi="Arial"/>
          <w:sz w:val="16"/>
          <w:szCs w:val="16"/>
          <w:color w:val="auto"/>
        </w:rPr>
        <w:t>We reported new data from the registrational Phase 2 FIREFLY-1 trial at the 2023 American Society of Clinical Oncology Annual Meeting in June 2023 and submitted an updated clinical study report with an additional six months of safety and efficacy data to the FDA. The data demonstrated an overall response rate, or ORR, of 67% in the 69 Response Assessment for Neuro-Oncology-High Grade Glioma, or RANO-HGG, evaluable patients, comprising 12 confirmed complete responses, or CR, and 34 partial responses, or PR, which is the primary endpoint of the trial. We observed an additional 18 patients with a best response of stable disease, or SD, resulting in a clinical benefit rate of 93% (CR+PR/uPR+SD of any duration).</w:t>
      </w:r>
    </w:p>
    <w:p>
      <w:pPr>
        <w:spacing w:after="0" w:line="53"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Additional secondary analysis and exploratory endpoint analyses included the evaluation of responses by Response Assessment in Pediatric Neuro-Oncology Low-Grade Glioma, or RAPNO-LGG, and Response Assessment in Neuro-Oncology Low-Grade Glioma, or RANO-LGG. RAPNO-LGG data demonstrated an ORR of 51% in the 76 RAPNO-LGG evaluable patients, comprising 28 PR and 11 minor responses, or MR. We observed an additional 23 patients with a best response of SD, resulting in a clinical benefit rate of 82% (PR/uPR+MR/uMR+SD of any duration).</w:t>
      </w:r>
    </w:p>
    <w:p>
      <w:pPr>
        <w:spacing w:after="0" w:line="63"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RANO-LGG data demonstrated an ORR of 53% in the 76 RANO-LGG evaluable patients, comprising 20 PR and 20 MR. We observed an additional 23 patients with a best response of SD, resulting in a clinical benefit rate of 83% (PR/uPR+MR/uMR+SD of any duration). Safety data, based on 137 treated patients, indicated monotherapy tovorafenib (DAY101) to be generally well-tolerated. The vast majority of adverse events were Grade 1 or Grade 2, with the most common side effects reported related to tovorafenib being change in hair color (76%), fatigue (44%), maculopapular rash (41%), dry skin (33%), and dermatitis acneiform (30%).</w:t>
      </w:r>
    </w:p>
    <w:p>
      <w:pPr>
        <w:spacing w:after="0" w:line="80"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We believe tumor reduction or stabilization is clinically meaningful for pLGG patients, as both are perceived as beneficial given the lack of approved therapies for the majority of patients. We completed the rolling NDA submission of tovorafenib (DAY101) for the treatment of patients with relapsed or progressive pLGG in September 2023, which included the submission an updated clinical study report with an additional six months of safety and efficacy data through June 2023. The NDA was accepted for filing and granted priority review by the FDA in October 2023, with a Prescription Drug User Fee Act, or PDUFA, target action date of April 30, 2024. The FDA is not currently planning to hold an advisory committee meeting to discuss the application.</w:t>
      </w:r>
    </w:p>
    <w:p>
      <w:pPr>
        <w:spacing w:after="0" w:line="84"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We initiated a pivotal Phase 3 trial, or FIREFLY-2, evaluating tovorafenib (DAY101) as a front-line therapy in patients aged 6 months to 25 years with pLGG in June 2022. The first patient was dosed in FIREFLY-2 in March 2023. Patients continue to enroll in the United States, Canada, Europe, Australia and Asia, with approximately 70 sites activated.</w:t>
      </w:r>
    </w:p>
    <w:p>
      <w:pPr>
        <w:spacing w:after="0" w:line="76"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Our second product candidate, pimasertib, is an oral, highly-selective small molecule inhibitor of mitogen-activated protein kinase kinases 1 and 2, or MEK, a well-characterized key signaling node in the MAPK pathway. Pimasertib has been studied in more than 10 Phase 1/2 clinical trials in over 850 patients with various tumor types, both as a monotherapy and in combination with standard of care therapies. Published preclinical studies indicated that pimasertib has higher central nervous system penetration than other MEK inhibitors.</w:t>
      </w:r>
    </w:p>
    <w:p>
      <w:pPr>
        <w:spacing w:after="0" w:line="79"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initiated an open-label, multicenter, Phase 1b/2a umbrella master trial, or FIRELIGHT-1, of tovorafenib (DAY101) monotherapy or combination therapy, which consists of two substudies. Substudy 1 is a Phase 2a trial of tovorafenib (DAY101) as a monotherapy in patients 12 years and older with relapsed, progressive, or refractory solid tumors harboring MAPK pathway aberrations. The Company has concluded enrollment in this substudy. Despite observing responses with a generally well tolerated therapy, a limited duration of response in this relatively rare patient population was observed. As such, the Company announced in November 2023 our decision to discontinue this monotherapy substudy and re-direct resources to other programs. Results from the substudy will be shared for presentation or publication after the final dataset becomes available. Substudy 2 is a Phase 1b/2 combination trial of tovorafenib (DAY101) and pimasertib in patients 12 years and older with various MAPK-altered solid tumors; the first patient was dosed in May 2022.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tumors with BRAF wild-type fusions, and tumors driven by KRAS alterations.</w:t>
      </w:r>
    </w:p>
    <w:p>
      <w:pPr>
        <w:spacing w:after="0" w:line="60"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In August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Vaccinia Related Kinase 1, or VRK1.VRK1 is a novel target involved in the regulation of cell division and DNA damage repair. Over-expression of VRK1 is linked to poor prognosis in a variety of adult and pediatric cancers, and VRK1 has been identified as a synthetic lethal target in tumors where expression of its paralog, VRK2, is lost. Silencing of VRK2 expression via promoter methylation has been noted in the majority of high-grade gliomas and high-risk neuroblastomas, providing a concrete approach for selecting patients with tumors sensitive to VRK1 inhibition. Preclinical research activities to advance the VRK1 program are ongoing.</w:t>
      </w:r>
    </w:p>
    <w:p>
      <w:pPr>
        <w:spacing w:after="0" w:line="70"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worldwide rights to tovorafenib (DAY101) and to pimasertib for all therapeutic areas subject to certain milestone and royalty payments.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83185</wp:posOffset>
            </wp:positionV>
            <wp:extent cx="5391785" cy="28117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9178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Since our inception in November 2018,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preparing for commercial launch; and providing general and administrative support for these operations. We do not have any products approved for commercial sale and have not generated any revenues from product sales or any other source and have incurred net losses since commencement of our operations. For the nine months ended September 30, 2023 and 2022, we reported a net loss of $134.4 million and $102.1 million, respectively. We had an accumulated deficit of $404.1 million as of September 30, 2023. We expect a significant increase in expenses and substantial losses for the foreseeable future as we continue our development of, and seek marketing authorizations for our product candidates, commercialize any approved products, and seek to expand our product pipeline and invest in our organization.</w:t>
      </w:r>
    </w:p>
    <w:p>
      <w:pPr>
        <w:spacing w:after="0" w:line="88"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To date, we have funded our operations through the sale of our redeemable convertible preferred shares, convertible notes and common stock in our IPO and subsequent public offerings.</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Cash and cash equivalents and short-term investments totaled $405.5 million as of September 30, 2023. Based on our current operating plan, management believes we have sufficient capital resources to fund anticipated operations into 2026. Because of the numerous risks and uncertainties associated with product development, we may never achieve profitability, and unless and until then, we will need to continue to raise additional capital. There are no assurances that we will be successful in obtaining an adequate level of financing to support our business plans.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70"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authorization. As we advance our product candidates through development, we will explore adding backup suppliers for the Active Pharmaceutical Ingredients, or APIs, formulation, finished drug product, and packaging of each of our product candidates to mitigate the effects of any potential supply disruptions.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Reduction Act</w:t>
      </w:r>
    </w:p>
    <w:p>
      <w:pPr>
        <w:spacing w:after="0" w:line="1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On August 16, 2022, President Biden signed into law the Inflation Reduction Act of 2022, which includes an Alternative Minimum Tax based on the Adjusted Financial Statement Income of Applicable Corporations. We do not believe the Inflation Reduction Act will have a material impact on our income tax provision and cash taxes. We continue to monitor the changes in tax laws and regulations to evaluate their potential impact on our business.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Significant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On February 10, 2021, DOT Therapeutics-2, Inc., or DOT-2, our subsidiary, entered into a license agreement, or the MRKDG License Agreement, with Merck KGaA, Darmstadt, Germany, a pharmaceutical corporation located in Darmstadt, Germany.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We also received clinical inventory supplies to use in its research and development activities.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58"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Under the MRKDG License Agreement, we have obligations to use commercially reasonable efforts to develop and commercialize at least two licensed products in at least two specified major market countries by the year 2029.</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consideration for the rights granted under the MRKDG License Agreement and clinical supplies, we made an upfront payment of $8.0 million, which was recorded as research and development expenses, as the technology does not have an alternative future use and supplies are used for research activities. Additionally, we made a milestone payment of $2.5 million, which was recorded as research and development expenses due to the nature of the license agreement and the milestone event relating to the first dosing of a patient in a first clinical trial of a product containing pimasertib, in the year ended December 31, 2022. We may also be required to make additional payments of up to $364.5 million based upon the achievement of specified development, regulatory, and commercial milestones, as well as a high, single-digit royalty percentage on future net sales of licensed products, if any. Milestones and royalties are contingent upon future events and will be recorded when the milestones are achieved and when payments are due. No milestones were achieved and due as of September 30, 2023.</w:t>
      </w:r>
    </w:p>
    <w:p>
      <w:pPr>
        <w:spacing w:after="0" w:line="70" w:lineRule="exact"/>
        <w:rPr>
          <w:sz w:val="20"/>
          <w:szCs w:val="20"/>
          <w:color w:val="auto"/>
        </w:rPr>
      </w:pPr>
    </w:p>
    <w:p>
      <w:pPr>
        <w:ind w:right="340" w:firstLine="509"/>
        <w:spacing w:after="0" w:line="311" w:lineRule="auto"/>
        <w:rPr>
          <w:sz w:val="20"/>
          <w:szCs w:val="20"/>
          <w:color w:val="auto"/>
        </w:rPr>
      </w:pPr>
      <w:r>
        <w:rPr>
          <w:rFonts w:ascii="Arial" w:cs="Arial" w:eastAsia="Arial" w:hAnsi="Arial"/>
          <w:sz w:val="16"/>
          <w:szCs w:val="16"/>
          <w:color w:val="auto"/>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spacing w:after="0" w:line="41"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Effective December 31, 2021, DOT-2 was merged with and into our company, with our company being the surviving corporation and assuming DOT-2’s obligations under the MRKDG License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asset agreement</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On December 16, 2019, DOT Therapeutics-1, Inc., or DOT-1, our subsidiary,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know-how related to TAK-580 (which is now tovorafenib (DAY101)) that provides a new approach for treating patients with primary brain tumors or brain metastases of solid tumors. DOT-1 also received clinical inventory supplies to use in our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DOT-1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7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Based on the terms of the Millennium Stock Exchange Agreement, Takeda exchanged the 9,857,143 shares of Series A redeemable convertible preferred stock of DOT-1 for 6,470,382 shares of our common stock upon the effectiveness of the Conversion, on May 26, 2021.</w:t>
      </w:r>
    </w:p>
    <w:p>
      <w:pPr>
        <w:spacing w:after="0" w:line="269"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exploit all such terminated products.</w:t>
      </w:r>
    </w:p>
    <w:p>
      <w:pPr>
        <w:spacing w:after="0" w:line="333"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Effective December 31, 2021, DOT-1 was merged with and into our company, with our company being the surviving corporation and assuming DOT-1’s obligations under the Takeda Assets Purchase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spacing w:after="0" w:line="76"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DOT-1 paid $2.0 million upfront in cash to Viracta, which was recorded as research and development expenses in 2019. DOT-1 made a milestone payment of $3.0 million to Viracta in February 2021, which was recorded as research and development expense when the milestone was achieved in April 2021. DOT-1 is also required to make additional milestone payments of up to $54.0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milestones were achieved and due as of September 30, 2023. Subsequent to September 30, 2023, a milestone related to the Viracta License Agreement was achieved and recorded to research and development expense as disclosed in Note 11 of the notes to our unaudited condensed consolidated financial statements included elsewhere in this Quarterly Report on Form 10-Q.</w:t>
      </w:r>
    </w:p>
    <w:p>
      <w:pPr>
        <w:spacing w:after="0" w:line="59"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r>
    </w:p>
    <w:p>
      <w:pPr>
        <w:spacing w:after="0" w:line="76"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Effective December 31, 2021, DOT-1 was merged with and into our company, with our company being the surviving corporation and assuming DOT-1’s obligations under Viracta License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Research and development expenses consist primarily of external and internal expenses incurred for our research activities, including our discovery and in-licensing undertakings, and the development of our lead product candidate, tovorafenib (DAY101), and our second product candidate, pimasertib.</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External expenses include:</w:t>
      </w:r>
    </w:p>
    <w:p>
      <w:pPr>
        <w:spacing w:after="0" w:line="117" w:lineRule="exact"/>
        <w:rPr>
          <w:sz w:val="20"/>
          <w:szCs w:val="20"/>
          <w:color w:val="auto"/>
        </w:rPr>
      </w:pPr>
    </w:p>
    <w:p>
      <w:pPr>
        <w:ind w:left="1140" w:hanging="369"/>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incurred under agreements with third-party contract research organizations, or CROs, contract manufacturing organizations, or CMOs, and other third parties that conduct clinical trials on our behalf;</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acquiring technology and intellectual property licenses that have no alternative future uses; and</w:t>
      </w:r>
    </w:p>
    <w:p>
      <w:pPr>
        <w:spacing w:after="0" w:line="117" w:lineRule="exact"/>
        <w:rPr>
          <w:rFonts w:ascii="Arial" w:cs="Arial" w:eastAsia="Arial" w:hAnsi="Arial"/>
          <w:sz w:val="18"/>
          <w:szCs w:val="18"/>
          <w:color w:val="auto"/>
        </w:rPr>
      </w:pPr>
    </w:p>
    <w:p>
      <w:pPr>
        <w:ind w:left="1140" w:right="320" w:hanging="369"/>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operational costs not allocable to a specific product, including expenses for rent and facilities maintenance, travel and information technology.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Internal expenses include:</w:t>
      </w:r>
    </w:p>
    <w:p>
      <w:pPr>
        <w:spacing w:after="0" w:line="117" w:lineRule="exact"/>
        <w:rPr>
          <w:sz w:val="20"/>
          <w:szCs w:val="20"/>
          <w:color w:val="auto"/>
        </w:rPr>
      </w:pPr>
    </w:p>
    <w:p>
      <w:pPr>
        <w:ind w:left="1140" w:right="380" w:hanging="369"/>
        <w:spacing w:after="0" w:line="258"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employee-related costs, including salaries, bonuses, benefits and share-based compensation expense, for our research and development personnel.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300" w:firstLine="509"/>
        <w:spacing w:after="0" w:line="263" w:lineRule="auto"/>
        <w:rPr>
          <w:sz w:val="20"/>
          <w:szCs w:val="20"/>
          <w:color w:val="auto"/>
        </w:rPr>
      </w:pPr>
      <w:r>
        <w:rPr>
          <w:rFonts w:ascii="Arial" w:cs="Arial" w:eastAsia="Arial" w:hAnsi="Arial"/>
          <w:sz w:val="18"/>
          <w:szCs w:val="18"/>
          <w:color w:val="auto"/>
        </w:rPr>
        <w:t>We expense research and development expenses as incurred. We track external costs by program, which currently consist of expenses for our tovorafenib (DAY101) program and our pimasertib program. We do not track indirect costs on a program specific basis because these costs are deployed across multiple programs and, as such, are not separately classified.</w:t>
      </w:r>
    </w:p>
    <w:p>
      <w:pPr>
        <w:spacing w:after="0" w:line="184"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increase substantially for the foreseeable future as we continue to implement our business strategy; advance tovorafenib (DAY101) and pimasertib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spacing w:after="0" w:line="63"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The successful development of our drug candidates is uncertain and subject to a number of risks. We cannot guarantee that results of clinical trials will be favorable or sufficient to support marketing authorizations for any of our product development programs. We could decide to abandon development or be required to spend considerable resources not otherwise contemplated. For additional discussion regarding the risks and uncertainties regarding our research and development programs, please refer to Part II, Item 1A “Risk Factors” in this Quarterly Report on Form 10-Q.</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General and administrative expenses consist primarily of employee-related costs, professional services and other operational costs. Employee-related costs include salaries, bonuses, benefits and share-based compensation expense for our general and administrative personnel. Professional service expenses include legal fees; professional fees for accounting, auditing, tax, human resources, business development, and other consulting services. Other operational costs include expenses for rent and facilities maintenance, travel, insurance and information technology.</w:t>
      </w:r>
    </w:p>
    <w:p>
      <w:pPr>
        <w:spacing w:after="0" w:line="49"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anticipate an increase in our personnel headcount to support expansion of research and development efforts for our product candidates and buildout of commercial capabilities, as well as to support our operations generally. We also expect continued expenses associated with being a public company, including costs related to compliance with the requirements of the Nasdaq Global Select Market, or Nasdaq, and the Securities and Exchange Commission, or the SEC; and investor and public relations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2023 and 2022 (unaudited):</w:t>
      </w:r>
    </w:p>
    <w:p>
      <w:pPr>
        <w:spacing w:after="0" w:line="18" w:lineRule="exact"/>
        <w:rPr>
          <w:sz w:val="20"/>
          <w:szCs w:val="20"/>
          <w:color w:val="auto"/>
        </w:rPr>
      </w:pPr>
    </w:p>
    <w:p>
      <w:pPr>
        <w:jc w:val="center"/>
        <w:ind w:left="2040"/>
        <w:spacing w:after="0"/>
        <w:rPr>
          <w:sz w:val="20"/>
          <w:szCs w:val="20"/>
          <w:color w:val="auto"/>
        </w:rPr>
      </w:pPr>
      <w:r>
        <w:rPr>
          <w:rFonts w:ascii="Arial" w:cs="Arial" w:eastAsia="Arial" w:hAnsi="Arial"/>
          <w:sz w:val="14"/>
          <w:szCs w:val="14"/>
          <w:b w:val="1"/>
          <w:bCs w:val="1"/>
          <w:color w:val="auto"/>
        </w:rPr>
        <w:t>Three Months Ended</w:t>
      </w:r>
    </w:p>
    <w:p>
      <w:pPr>
        <w:jc w:val="center"/>
        <w:ind w:left="20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33,163</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22,035</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11,128</w:t>
            </w:r>
          </w:p>
        </w:tc>
        <w:tc>
          <w:tcPr>
            <w:tcW w:w="2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50.5 %</w:t>
            </w:r>
          </w:p>
        </w:tc>
        <w:tc>
          <w:tcPr>
            <w:tcW w:w="0" w:type="dxa"/>
            <w:vAlign w:val="bottom"/>
          </w:tcPr>
          <w:p>
            <w:pPr>
              <w:spacing w:after="0"/>
              <w:rPr>
                <w:sz w:val="1"/>
                <w:szCs w:val="1"/>
                <w:color w:val="auto"/>
              </w:rPr>
            </w:pPr>
          </w:p>
        </w:tc>
      </w:tr>
      <w:tr>
        <w:trPr>
          <w:trHeight w:val="242"/>
        </w:trPr>
        <w:tc>
          <w:tcPr>
            <w:tcW w:w="52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18,275</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17,664</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51,438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39,699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11,739</w:t>
            </w:r>
          </w:p>
        </w:tc>
        <w:tc>
          <w:tcPr>
            <w:tcW w:w="2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 xml:space="preserve">29.6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(51,438</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(39,699</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5240" w:type="dxa"/>
            <w:vAlign w:val="bottom"/>
          </w:tcPr>
          <w:p>
            <w:pPr>
              <w:ind w:left="20"/>
              <w:spacing w:after="0"/>
              <w:rPr>
                <w:sz w:val="20"/>
                <w:szCs w:val="20"/>
                <w:color w:val="auto"/>
              </w:rPr>
            </w:pPr>
            <w:r>
              <w:rPr>
                <w:rFonts w:ascii="Arial" w:cs="Arial" w:eastAsia="Arial" w:hAnsi="Arial"/>
                <w:sz w:val="18"/>
                <w:szCs w:val="18"/>
                <w:color w:val="auto"/>
              </w:rPr>
              <w:t>Investment income,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3,396</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(3 )</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(12 )</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(46,150 )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(37,795 )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(8,355 )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4800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-187960</wp:posOffset>
            </wp:positionV>
            <wp:extent cx="76835"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685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Amount and/or percentage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Research and development expenses increased $11.1 million, from $22.0 million for the three months ended September 30, 2022 to $33.2 million for the three months ended September 30, 2023. In the three months ended September 30, 2023 as compared to the three months ended September 30, 2022, third-party expenses increased by $5.8 million, due primarily to an increase in clinical trial, manufacturing, and other product development expenses and personnel related expenses increased by $2.3 million driven by headcount growth. Additionally, our expense increased by $3.0 million due to the upfront license payment to Sprint during the three months ended September 30, 2023, with no license-related payments made during the same period in 2022.</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28" w:name="page29"/>
    <w:bookmarkEnd w:id="28"/>
    <w:p>
      <w:pPr>
        <w:ind w:left="520"/>
        <w:spacing w:after="0"/>
        <w:rPr>
          <w:sz w:val="20"/>
          <w:szCs w:val="20"/>
          <w:color w:val="auto"/>
        </w:rPr>
      </w:pPr>
      <w:r>
        <w:rPr>
          <w:rFonts w:ascii="Arial" w:cs="Arial" w:eastAsia="Arial" w:hAnsi="Arial"/>
          <w:sz w:val="16"/>
          <w:szCs w:val="16"/>
          <w:color w:val="auto"/>
        </w:rPr>
        <w:t>The following table summarizes our external and internal research and development expenses for the three months ended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jc w:val="center"/>
        <w:ind w:left="762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74"/>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External costs: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Third-party CRO, CMO and other third-party clinical trial costs (1)</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17,929</w:t>
            </w:r>
          </w:p>
        </w:tc>
        <w:tc>
          <w:tcPr>
            <w:tcW w:w="7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13,740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Upfront payment related to the Sprint License Agreement</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Other research and development costs</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2,256</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Internal costs: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Employee related expenses</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9,978</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20"/>
                <w:szCs w:val="20"/>
                <w:color w:val="auto"/>
              </w:rPr>
            </w:pP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33,163</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1020" w:right="8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CRO, CMO and other clinical trial costs for the tovorafenib (DAY101) program, the pimasertib program, and the VRK1 program were $16.3 million, $1.0 million, and $0.6 million for three months ended September 30, 2023 compared to $12.2 million, $1.5 million, and $0, respectively, for the three months ended September 30,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General and administrative expenses increased $0.6 million, from $17.7 million for the three months ended September 30, 2022 to $18.3 million for the three months ended September 30, 2023. The increase in general and administrative expenses was primarily due to $1.2 million in personnel related expenses driven by headcount growth, offset by a decrease of $0.6 million in external consulting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2023 and 2022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93,173</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59,598</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33,575</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56.3 %</w:t>
            </w:r>
          </w:p>
        </w:tc>
        <w:tc>
          <w:tcPr>
            <w:tcW w:w="0" w:type="dxa"/>
            <w:vAlign w:val="bottom"/>
          </w:tcPr>
          <w:p>
            <w:pPr>
              <w:spacing w:after="0"/>
              <w:rPr>
                <w:sz w:val="1"/>
                <w:szCs w:val="1"/>
                <w:color w:val="auto"/>
              </w:rPr>
            </w:pPr>
          </w:p>
        </w:tc>
      </w:tr>
      <w:tr>
        <w:trPr>
          <w:trHeight w:val="242"/>
        </w:trPr>
        <w:tc>
          <w:tcPr>
            <w:tcW w:w="58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53,374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44,568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8,806</w:t>
            </w:r>
          </w:p>
        </w:tc>
        <w:tc>
          <w:tcPr>
            <w:tcW w:w="2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146,547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104,166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42,381</w:t>
            </w: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xml:space="preserve">40.7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(146,547</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(104,166</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Investment income, net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12,163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10,077</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(22 )</w:t>
            </w: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(30 )</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(134,406 )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(102,072 )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(32,334 )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-984885</wp:posOffset>
            </wp:positionV>
            <wp:extent cx="7132320" cy="642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64262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76835"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840" w:hanging="323"/>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and/or percentage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Research and development expenses increased $33.6 million, from $59.6 million for the nine months ended September 30, 2022 to $93.2 million for the nine months ended September 30, 2023. In the nine months ended September 30, 2023 as compared to the nine months ended September 30, 2022, third-party expenses increased by $22.8 million, due primarily to an increase in clinical trial, manufacturing, and other product development expenses and personnel related expenses increased by $10.3 million resulting from additional headcount and stock-based compensation. License expense increased by $0.5 million due to the $3.0 million upfront license payment to Sprint during the nine months ended September 30, 2022 compared to the $2.5 million milestone payment to Merck KGaA related to the first dosing of a patient in a clinical trial of a product containing pimasertib during the three months ended September 30, 2022.</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29" w:name="page30"/>
    <w:bookmarkEnd w:id="29"/>
    <w:p>
      <w:pPr>
        <w:ind w:left="520"/>
        <w:spacing w:after="0"/>
        <w:rPr>
          <w:sz w:val="20"/>
          <w:szCs w:val="20"/>
          <w:color w:val="auto"/>
        </w:rPr>
      </w:pPr>
      <w:r>
        <w:rPr>
          <w:rFonts w:ascii="Arial" w:cs="Arial" w:eastAsia="Arial" w:hAnsi="Arial"/>
          <w:sz w:val="16"/>
          <w:szCs w:val="16"/>
          <w:color w:val="auto"/>
        </w:rPr>
        <w:t>The following table summarizes our external and internal research and development expenses for the nine months ended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jc w:val="center"/>
        <w:ind w:left="762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4"/>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External costs: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Third-party CRO, CMO and other third-party clinical trial costs (1)</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53,426</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33,909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Upfront payment related to the Sprint License Agreement</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License milestone payment related to the MRKDG License Agreement</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research and development costs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5,539</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Internal costs: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related expenses</w:t>
            </w:r>
          </w:p>
        </w:tc>
        <w:tc>
          <w:tcPr>
            <w:tcW w:w="10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31,208</w:t>
            </w:r>
          </w:p>
        </w:tc>
        <w:tc>
          <w:tcPr>
            <w:tcW w:w="3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93,173</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59,598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1020" w:right="2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CRO, CMO and other clinical trial costs for the tovorafenib (DAY101) program, the pimasertib program, and the VRK1 program were $50.0 million, $2.8 million, and $0.6 million, respectively, for nine months ended September 30, 2023 compared to $29.8 million, $4.1 million, and $0, respectively, for the nine months ended September 30,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General and administrative expenses increased $8.8 million, from $44.6 million for the nine months ended September 30, 2022 to $53.4 million for the nine months ended September 30, 2023. The increase in general and administrative expenses was primarily due to $9.5 million in employee compensation costs driven by headcount growth.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In June 2023, we completed a follow-on offering and issued and sold 13,269,231 shares of common stock (including the exercise by the underwriters of their option to purchase an additional 1,730,769 shares of common stock) at a price to the public of $13.00 per share for net proceeds of approximately $161.4 million, after deducting underwriting discounts, commissions, and offering costs.</w:t>
      </w:r>
    </w:p>
    <w:p>
      <w:pPr>
        <w:spacing w:after="0" w:line="7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June 2022, we entered into an equity distribution agreement, or the Equity Distribution Agreement, with Piper Sandler &amp; Co. and JonesTrading Institutional Services LLC, as sales agents, relating to the issuance and sale of shares of our common stock for an aggregate offering price of up to $150.0 million under an at-the-market offering program, or the 2022 ATM. In June 2023, we suspended and terminated the prospectus related to our common stock issuable pursuant to the terms of the Equity Distribution Agreement. In September 2023, in connection with our filing of an automatic shelf registration statement on Form S-3, we filed a new prospectus relating to the Equity Distribution Agreement and the issuance and sale of shares of our common stock having an aggregate offering price of up to $250.0 million under the 2022 ATM. No shares of our common stock have been sold under the 2022 ATM as of September 30, 2023.</w:t>
      </w:r>
    </w:p>
    <w:p>
      <w:pPr>
        <w:spacing w:after="0" w:line="87"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In June 2022, we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7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June 2021, we completed our IPO and sold an aggregate of 11,500,000 shares of common stock at a price to the public of $16.00 per share, which included 1,500,000 shares issued upon the full exercise by the underwriters in May 2021 of their option to purchase additional shares of common stock. We received aggregate net proceeds from the IPO of $167.0 million, after deducting underwriting discounts, commissions, and offering costs of $17.0 million. Prior to our IPO, we had funded our operations through the sale of our redeemable convertible preferred shares and convertible notes. We had previously raised approximately $192.0 million in gross proceeds from the sale and issuance of our Series A and Series B redeemable convertible preferred shares and convertible notes.</w:t>
      </w:r>
    </w:p>
    <w:p>
      <w:pPr>
        <w:spacing w:after="0" w:line="84"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auto"/>
        </w:rPr>
        <w:t>As of September 30, 2023, we had an accumulated deficit of $404.1 million and $405.5 million in cash and cash equivalents and short-term investments. We believe our cash and cash equivalents and short-term investments will be sufficient to satisfy our cash requirements over the next 12 months and into 2026.</w:t>
      </w:r>
    </w:p>
    <w:p>
      <w:pPr>
        <w:spacing w:after="0" w:line="76"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Our primary use of cash is to fund operating expenses, which consist of research and development expenditures and general and administrative expenditures. Cash used to fund operating expenses is impacted by the timing of when we pay these expenses, as reflected in the change in our outstanding accounts payable and accrued expenses. Our material cash requirements include the following contractual and other obligations.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We have an operating lease obligation for office space. As of September 30, 2023, we had fixed lease payment obligations of approximately $0.5 million payable within 12 months.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Organizations and Contract Manufacturing Organizations</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have entered into contracts in the normal course of business with CROs, CMOs,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September 30, 2023, there were no amounts accrued related to termination and cancellation charges as these are not probable.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We have entered into licensing agreements, or the licensing agreements, which require us to pay milestones contingent upon meeting of specific events. We made a milestone payment of $2.5 million related to the first dosing of a patient in a first clinical trial of a product containing pimasertib in the year ended December 31, 2022. Subsequent to September 30, 2023, a milestone related to the Viracta License Agreement was achieved and recorded to research and development expense as disclosed in Note 11 of the notes to our unaudited condensed consolidated financial statements included elsewhere in this Quarterly Report on Form 10-Q. We are required to pay royalties on sales of products developed under these license agreements. All our products are in development as of September 30, 2023 and no such royalties are due. As of September 30, 2023, we do not have any contingent payment obligations since the amount, timing and likelihood of such payments are not known.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We have entered into a manufacturing and supply agreement with Quotient Sciences - Philadelphia, LLC in July 2023 to support our product needs for tovorafenib (DAY101) that requires the Company to meet minimum purchase obligations on an annual basis. As of September 30, 2023, we had aggregate future minimum purchase obligations of $17.2 million.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the periods presented:</w:t>
      </w:r>
    </w:p>
    <w:p>
      <w:pPr>
        <w:spacing w:after="0" w:line="18"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Nine Months Ended</w:t>
      </w:r>
    </w:p>
    <w:p>
      <w:pPr>
        <w:jc w:val="center"/>
        <w:ind w:left="536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(105,481</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(74,564</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97,998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(252,864 )</w:t>
            </w:r>
          </w:p>
        </w:tc>
        <w:tc>
          <w:tcPr>
            <w:tcW w:w="20" w:type="dxa"/>
            <w:vAlign w:val="bottom"/>
          </w:tcPr>
          <w:p>
            <w:pPr>
              <w:spacing w:after="0"/>
              <w:rPr>
                <w:sz w:val="20"/>
                <w:szCs w:val="20"/>
                <w:color w:val="auto"/>
              </w:rPr>
            </w:pPr>
          </w:p>
        </w:tc>
      </w:tr>
      <w:tr>
        <w:trPr>
          <w:trHeight w:val="243"/>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163,400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163,983</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155,917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(163,445 )</w:t>
            </w:r>
          </w:p>
        </w:tc>
        <w:tc>
          <w:tcPr>
            <w:tcW w:w="2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51435"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Net cash used in operating activities for the nine months ended September 30, 2023 was $105.5 million, consisting of our net loss of $134.4 million, non-cash charges of $23.3 million and net changes in operating assets and liabilities of $5.6 million. Non-cash charges are primarily related to share-based compensation expense of $28.5 million and $3.0 million for acquired in-process research and development assets, which was partially offset by accretion of discounts on short-term investments of $8.5 million. Net changes in operating assets and liabilities are primarily related to an increase in accrued expenses and other current liabilities of $4.7 million, an increase in accounts payable of $3.1 million, and a decrease in deposits and other long-term assets of $0.2 million, which were partially offset by an increase in prepaid expenses and other current assets of $2.1 million and a decrease in operating lease liabilities of $0.3 million.</w:t>
      </w:r>
    </w:p>
    <w:p>
      <w:pPr>
        <w:spacing w:after="0" w:line="8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Net cash used in operating activities for the nine months ended September 30, 2022 was $74.6 million, consisting of our net loss of $102.1 million, changes of approximately $7.8 million in net operating assets and liabilities and by non-cash charges of $19.7 million, which is primarily comprised of stock-based compensation expense of $20.4 million. Changes in operating assets and liabilities were primarily related to an increase in accrued expenses and other current liabilities of $7.1 million and an increase of accounts payable of $2.2 million. This was partially offset by an increase to prepaid expenses and other assets of $1.1 million, an increase to deposits and other long-term assets of $0.3 million, and an increase to operating lease liabilities of $0.2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Net cash provided by investing activities for the nine months ended September 30, 2023 was $98.0 million related to the proceeds from the maturity of short-term investments of $445.9 million, partially offset by the purchase of short-term investments of $344.7 million and $3.0 million for acquired in-process research and development assets.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jc w:val="both"/>
        <w:ind w:right="620" w:firstLine="509"/>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2022 was $252.9 million related to the purchase of short-term investments and property and equipment expenditures of $272.9 million. This was partially offset by the proceeds from the maturity of short-term investments of $20.0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2023 was $163.4 million, primarily attributable to the net proceeds from the issuance of common stock in connection with our follow-on offering of common stock of $161.4 million. Additionally, there was $2.0 million of net cash provided by financing activities related to proceeds from the issuance of common stock upon stock option exercises and purchases made under our 2021 Employee Stock Purchase Plan.</w:t>
      </w:r>
    </w:p>
    <w:p>
      <w:pPr>
        <w:spacing w:after="0" w:line="7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2022 was $164.0 million, primarily attributable to the net proceeds from the issuance of common stock in connection with our follow-on offering of common stock. Additionally, there was $2.4 million of net cash provided by financing activities related to proceeds from the issuance of common stock upon stock option exercises and purchases made under our 2021 Employee Stock Purchase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Since our inception, we have incurred significant operating losses. We expect to continue to incur significant expenses and increasing operating losses for the foreseeable future in connection with our ongoing activities.</w:t>
      </w:r>
    </w:p>
    <w:p>
      <w:pPr>
        <w:spacing w:after="0" w:line="62"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We believe our existing cash, cash equivalents and short-term investments will enable us to fund our operating expenses and capital expenditure requirements into 2026. We have based this estimate on assumptions that may prove to be imprecise, and we could use our available capital resources sooner than we currently expect.</w:t>
      </w:r>
    </w:p>
    <w:p>
      <w:pPr>
        <w:spacing w:after="0" w:line="76"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As a result of anticipated expenditures, we will need to obtain substantial additional financing in connection with our continuing operations. Until such time, if ever, as we cannot generate substantial revenue from product sales,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7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79"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76"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Our ability to raise additional funds may be adversely impacted by potential worsening global economic conditions, and disruptions to and volatility in the credit and financial markets in the United States and worldwide resulting from inflation, changing interest rates, recent turmoil in the global banking system, government shutdowns, uncertainty with respect to the federal budget, global regional conflicts, public health epidemics, such as the COVID-19 pandemic, or otherwise. Because of the numerous risks and uncertainties associated with product development, we cannot predict the timing or amount of increased expenses and cannot assure that we will ever be profitable or generate positive cash flow from operating activities.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Our critical accounting policies are disclosed in our audited consolidated financial statements for the year ended December 31, 2022, and the related notes, included in our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Refer to Note 2 of the Notes to our Consolidated Financial Statements included elsewhere in this Quarterly Report on Form 10-Q for a summary of recently issued and adopted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480" w:firstLine="509"/>
        <w:spacing w:after="0" w:line="258" w:lineRule="auto"/>
        <w:rPr>
          <w:sz w:val="20"/>
          <w:szCs w:val="20"/>
          <w:color w:val="auto"/>
        </w:rPr>
      </w:pPr>
      <w:r>
        <w:rPr>
          <w:rFonts w:ascii="Arial" w:cs="Arial" w:eastAsia="Arial" w:hAnsi="Arial"/>
          <w:sz w:val="18"/>
          <w:szCs w:val="18"/>
          <w:color w:val="auto"/>
        </w:rPr>
        <w:t>As an emerging growth company, or EGC, under the Jumpstart Our Business Startups Act of 2012, or JOBS Act, we can take advantage of an extended transition period for complying with new or revised accounting standards. This provision allows an EGC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right="80"/>
        <w:spacing w:after="0" w:line="272" w:lineRule="auto"/>
        <w:rPr>
          <w:sz w:val="20"/>
          <w:szCs w:val="20"/>
          <w:color w:val="auto"/>
        </w:rPr>
      </w:pPr>
      <w:r>
        <w:rPr>
          <w:rFonts w:ascii="Arial" w:cs="Arial" w:eastAsia="Arial" w:hAnsi="Arial"/>
          <w:sz w:val="17"/>
          <w:szCs w:val="17"/>
          <w:color w:val="auto"/>
        </w:rPr>
        <w:t>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On the last business day of the second quarter of 2023, the aggregate market value of the shares of our common stock held by non-affiliate stockholders exceeded $700 million. As a result, we will be considered a “large accelerated filer” as of December 31, 2023, and no longer qualify as an emerging growth company. Therefore, we will no longer be able to take advantage of the exemptions from various reporting requirements, beginning with our Annual Report on Form 10-K for the fiscal year ending December 31, 2023 to be filed in 2024.</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the last business day of the second quarter of 2023, the aggregate market value of the shares of our common stock held by non-affiliate stockholders exceeded $700 million. As a result, as of December 31, 2023, we will no longer qualify as a smaller reporting company. Therefore, we will no longer be able to take advantage of the scaled disclosure requirements, beginning with our Annual Report on Form 10-K for the fiscal year ending December 31, 2023 to be filed in 2024.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September 30, 2023, management, with the participation of our Principal Executive Officer and Principal Financial and Accounting Officer, performed an evaluation of the effectiveness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September 30, 2023, our disclosure controls and procedures were effective at a reasonable assurance level.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nine months ended September 30, 2023 that have materially affected, or are reasonably likely to materially affect, our internal control over financial reporting.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520" w:hanging="512"/>
        <w:spacing w:after="0" w:line="342"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p>
    <w:p>
      <w:pPr>
        <w:spacing w:after="0" w:line="15" w:lineRule="exact"/>
        <w:rPr>
          <w:rFonts w:ascii="Arial" w:cs="Arial" w:eastAsia="Arial" w:hAnsi="Arial"/>
          <w:sz w:val="16"/>
          <w:szCs w:val="16"/>
          <w:color w:val="auto"/>
        </w:rPr>
      </w:pPr>
    </w:p>
    <w:p>
      <w:pPr>
        <w:ind w:left="520" w:right="66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have not generated any revenue. We expect to incur continued losses for the foreseeable future and may never achieve or maintain profitability.</w:t>
      </w:r>
    </w:p>
    <w:p>
      <w:pPr>
        <w:spacing w:after="0" w:line="62" w:lineRule="exact"/>
        <w:rPr>
          <w:rFonts w:ascii="Arial" w:cs="Arial" w:eastAsia="Arial" w:hAnsi="Arial"/>
          <w:sz w:val="18"/>
          <w:szCs w:val="18"/>
          <w:color w:val="auto"/>
        </w:rPr>
      </w:pPr>
    </w:p>
    <w:p>
      <w:pPr>
        <w:ind w:left="520" w:right="36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tovorafenib (DAY101), for which the FDA accepted our NDA and granted priority review. To the extent tovorafenib (DAY101) is not commercially successful, our business, financial condition and results of operations would be materially adversely affected and the price of our common stock would likely decline.</w:t>
      </w:r>
    </w:p>
    <w:p>
      <w:pPr>
        <w:spacing w:after="0" w:line="75" w:lineRule="exact"/>
        <w:rPr>
          <w:rFonts w:ascii="Arial" w:cs="Arial" w:eastAsia="Arial" w:hAnsi="Arial"/>
          <w:sz w:val="18"/>
          <w:szCs w:val="18"/>
          <w:color w:val="auto"/>
        </w:rPr>
      </w:pPr>
    </w:p>
    <w:p>
      <w:pPr>
        <w:ind w:left="520" w:right="18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62" w:lineRule="exact"/>
        <w:rPr>
          <w:rFonts w:ascii="Arial" w:cs="Arial" w:eastAsia="Arial" w:hAnsi="Arial"/>
          <w:sz w:val="18"/>
          <w:szCs w:val="18"/>
          <w:color w:val="auto"/>
        </w:rPr>
      </w:pPr>
    </w:p>
    <w:p>
      <w:pPr>
        <w:ind w:left="520" w:right="2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75" w:lineRule="exact"/>
        <w:rPr>
          <w:rFonts w:ascii="Arial" w:cs="Arial" w:eastAsia="Arial" w:hAnsi="Arial"/>
          <w:sz w:val="18"/>
          <w:szCs w:val="18"/>
          <w:color w:val="auto"/>
        </w:rPr>
      </w:pPr>
    </w:p>
    <w:p>
      <w:pPr>
        <w:ind w:left="520" w:right="20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marketing authorization.</w:t>
      </w:r>
    </w:p>
    <w:p>
      <w:pPr>
        <w:spacing w:after="0" w:line="75" w:lineRule="exact"/>
        <w:rPr>
          <w:rFonts w:ascii="Arial" w:cs="Arial" w:eastAsia="Arial" w:hAnsi="Arial"/>
          <w:sz w:val="18"/>
          <w:szCs w:val="18"/>
          <w:color w:val="auto"/>
        </w:rPr>
      </w:pPr>
    </w:p>
    <w:p>
      <w:pPr>
        <w:ind w:left="520" w:right="76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rely on data from investigator-initiated studies, as we did for the Phase 1 clinical trial (PNOC014), and we do not control the trial operations or reporting of the results of such trials.</w:t>
      </w:r>
    </w:p>
    <w:p>
      <w:pPr>
        <w:spacing w:after="0" w:line="62" w:lineRule="exact"/>
        <w:rPr>
          <w:rFonts w:ascii="Arial" w:cs="Arial" w:eastAsia="Arial" w:hAnsi="Arial"/>
          <w:sz w:val="18"/>
          <w:szCs w:val="18"/>
          <w:color w:val="auto"/>
        </w:rPr>
      </w:pPr>
    </w:p>
    <w:p>
      <w:pPr>
        <w:ind w:left="520" w:right="74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development and commercialization of pharmaceutical products are subject to extensive regulation, and we may not obtain marketing authorizations for tovorafenib (DAY101), pimasertib or any future product candidates, on a timely basis or at all.</w:t>
      </w:r>
    </w:p>
    <w:p>
      <w:pPr>
        <w:spacing w:after="0" w:line="38" w:lineRule="exact"/>
        <w:rPr>
          <w:rFonts w:ascii="Arial" w:cs="Arial" w:eastAsia="Arial" w:hAnsi="Arial"/>
          <w:sz w:val="17"/>
          <w:szCs w:val="17"/>
          <w:color w:val="auto"/>
        </w:rPr>
      </w:pPr>
    </w:p>
    <w:p>
      <w:pPr>
        <w:ind w:left="520" w:right="12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manufacture of pharmaceutical products, including our product candidates, such as tovorafenib (DAY101), is complex. Our third-party manufacturers may encounter difficulties in production, which could delay or entirely halt their ability to supply our product candidates for clinical trials or, if approved, our products for commercial sale.</w:t>
      </w:r>
    </w:p>
    <w:p>
      <w:pPr>
        <w:spacing w:after="0" w:line="75"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executive officers and key employees and to attract, retain and motivate qualified personnel and manage our human capital.</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need to grow the size and capabilities of our organization, and we may experience difficulties in managing this growth.</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 w:name="page35"/>
    <w:bookmarkEnd w:id="34"/>
    <w:p>
      <w:pPr>
        <w:ind w:left="520" w:right="100" w:hanging="512"/>
        <w:spacing w:after="0" w:line="259"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p>
    <w:p>
      <w:pPr>
        <w:spacing w:after="0" w:line="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commenced operations in 2018, have no products approved for commercial sale and have never generated any revenue. Investment in drug development is a highly speculative undertaking and involves a substantial degree of risk. To date,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Since our inception, we have focused substantially all of our efforts and financial resources on the clinical development of our lead product candidate, tovorafenib (DAY101), initially for relapsed or progressive low-grade gliomas, or pLGGs, and our other current product candidate, pimasertib, an orally available small molecule inhibitor of MEK kinase, which we are studying in combination with tovorafenib (DAY101) for the treatment of RAS- and RAF-dependent tumors. To date, we have financed our operations primarily through the sale and issuance of redeemable convertible preferred shares, convertible notes, the completion of our IPO and follow-on public offerings of our common stock.</w:t>
      </w:r>
    </w:p>
    <w:p>
      <w:pPr>
        <w:spacing w:after="0" w:line="8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not yet demonstrated an ability to successfully complete any clinical trials beyond Phase 1, obtain marketing authorizations,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have not generated any revenue. We expect to incur continued losses for the foreseeable future and may never achieve or maintain profitability.</w:t>
      </w:r>
    </w:p>
    <w:p>
      <w:pPr>
        <w:spacing w:after="0" w:line="6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private placements of our redeemable convertible preferred shares, our convertible notes, the completion of our IPO and follow-on offerings of our common stock. For the nine months ended September 30, 2023 and 2022, we reported a net loss of $134.4 million and $102.1 million, respectively. We had an accumulated deficit of $404.1 million as of September 30, 2023. We expect to incur increasing levels of operating losses for the foreseeable future, particularly as we advance tovorafenib (DAY101) and pimasertib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 and other product candidates, including our ongoing pivotal Phase 2 FIREFLY-1 trial for tovorafenib (DAY101), our ongoing pivotal Phase 3 FIREFLY-2 trial of tovorafenib (DAY101) as a potential front-line therapy in pLGG, our ongoing Phase 1b/2 FIRELIGHT-1 umbrella master trial of tovorafenib (DAY101) in adult RAS/RAF-altered solid tumors as a monotherapy and in combination with pimasertib, and development of and subsequent Investigational New Drug Applications, or INDs, for any future product candidates we may choose to pursue. In October 2023, the FDA accepted our NDA and granted priority review for tovorafenib (DAY101) as a monotherapy in relapsed or progressive pediatric low-grade glioma. If we obtain marketing authorization for tovorafenib (DAY101), pimasertib, or another product candidate, we will incur significant sales, marketing and outsourced manufacturing expenses in connection with the commercialization of tovorafenib (DAY101), pimasertib, or such other product candidate. We have also incurred, and will continue to incur, additional costs associated with operating as a public company.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120"/>
        <w:spacing w:after="0" w:line="296" w:lineRule="auto"/>
        <w:rPr>
          <w:sz w:val="20"/>
          <w:szCs w:val="20"/>
          <w:color w:val="auto"/>
        </w:rPr>
      </w:pPr>
      <w:r>
        <w:rPr>
          <w:rFonts w:ascii="Arial" w:cs="Arial" w:eastAsia="Arial" w:hAnsi="Arial"/>
          <w:sz w:val="16"/>
          <w:szCs w:val="16"/>
          <w:color w:val="auto"/>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tovorafenib (DAY101), for which the FDA accepted our NDA and granted priority review. To the extent tovorafenib (DAY101) is not commercially successful, our business, financial condition and results of operations would be materially adversely affected and the price of our common stock would likely decline.</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future success is highly dependent on our ability to timely complete successful clinical trials, obtain marketing authorization for, and then successfully commercialize, our product candidates. We are early in our development efforts and our lead product candidate, tovorafenib (DAY101), is currently in pivotal Phase 2 and Phase 3 clinical trials. Our other current product candidate, pimasertib, is in an earlier stage of development. We currently have no products that are approved for sale in any jurisdiction. There can be no assurance that tovorafenib (DAY101), pimasertib or any future product candidates we develop, if any, will achieve success in their clinical trials or obtain marketing authorization.</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ability to generate product revenue, which we do not expect will occur in the near future, if ever, will depend heavily on the successful development and eventual commercialization of our lead product candidate, tovorafenib (DAY101). If the launch or commercialization of tovorafenib (DAY101) is unsuccessful or perceived as disappointing, our stock price could decline significantly and the long-term success of the product candidate and our company could be harmed.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tovorafenib (DAY101) will depend on several factors, including the following:</w:t>
      </w:r>
    </w:p>
    <w:p>
      <w:pPr>
        <w:spacing w:after="0" w:line="117" w:lineRule="exact"/>
        <w:rPr>
          <w:sz w:val="20"/>
          <w:szCs w:val="20"/>
          <w:color w:val="auto"/>
        </w:rPr>
      </w:pPr>
    </w:p>
    <w:p>
      <w:pPr>
        <w:ind w:left="520" w:right="58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and timely completion of current and future clinical trials resulting in attractive, competitive target product profiles, including our frontline pivotal Phase 3 FIREFLY-2 trial of tovorafenib (DAY101) as a front-line therapy for patients with pLGG;</w:t>
      </w:r>
    </w:p>
    <w:p>
      <w:pPr>
        <w:spacing w:after="0" w:line="62"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results of our ongoing clinical trial for tovorafenib (DAY101) and Phase 1b/2 umbrella master trial of tovorafenib (DAY101) as a monotherapy and in combination with pimasertib meeting clinical endpoints;</w:t>
      </w:r>
    </w:p>
    <w:p>
      <w:pPr>
        <w:spacing w:after="0" w:line="62" w:lineRule="exact"/>
        <w:rPr>
          <w:rFonts w:ascii="Arial" w:cs="Arial" w:eastAsia="Arial" w:hAnsi="Arial"/>
          <w:sz w:val="18"/>
          <w:szCs w:val="18"/>
          <w:color w:val="auto"/>
        </w:rPr>
      </w:pPr>
    </w:p>
    <w:p>
      <w:pPr>
        <w:ind w:left="520" w:right="300" w:hanging="512"/>
        <w:spacing w:after="0" w:line="286"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approval of NDAs by the U.S. Food and Drug Administration, or FDA, including our NDA submission for tovorafenib (DAY101), which was accepted for filing and granted priority review as a monotherapy in relapsed or progressive pLGG, by the FDA in October 2023, or other similar clinical trial applications from foreign regulatory authorities for our future clinical trials for our pipeline product candidates;</w:t>
      </w:r>
    </w:p>
    <w:p>
      <w:pPr>
        <w:spacing w:after="0" w:line="57" w:lineRule="exact"/>
        <w:rPr>
          <w:rFonts w:ascii="Arial" w:cs="Arial" w:eastAsia="Arial" w:hAnsi="Arial"/>
          <w:sz w:val="17"/>
          <w:szCs w:val="17"/>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17" w:lineRule="exact"/>
        <w:rPr>
          <w:rFonts w:ascii="Arial" w:cs="Arial" w:eastAsia="Arial" w:hAnsi="Arial"/>
          <w:sz w:val="18"/>
          <w:szCs w:val="18"/>
          <w:color w:val="auto"/>
        </w:rPr>
      </w:pPr>
    </w:p>
    <w:p>
      <w:pPr>
        <w:ind w:left="520" w:right="48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demonstration of safety, effectiveness and acceptable risk-benefit profiles of our product candidates to the satisfaction of the FDA and foreign regulatory agencies and attractiveness of our product candidates to physicians, patients, advocates, payors and caregivers;</w:t>
      </w:r>
    </w:p>
    <w:p>
      <w:pPr>
        <w:spacing w:after="0" w:line="38" w:lineRule="exact"/>
        <w:rPr>
          <w:rFonts w:ascii="Arial" w:cs="Arial" w:eastAsia="Arial" w:hAnsi="Arial"/>
          <w:sz w:val="17"/>
          <w:szCs w:val="17"/>
          <w:color w:val="auto"/>
        </w:rPr>
      </w:pPr>
    </w:p>
    <w:p>
      <w:pPr>
        <w:ind w:left="520" w:right="6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or that of our collaborators, to develop and obtain clearance or approval of complementary or companion diagnostics, if any, on a timely basis, or at all, and an adequate supply of these diagnostics and access to these diagnostics that outpaces demand;</w:t>
      </w:r>
    </w:p>
    <w:p>
      <w:pPr>
        <w:spacing w:after="0" w:line="62" w:lineRule="exact"/>
        <w:rPr>
          <w:rFonts w:ascii="Arial" w:cs="Arial" w:eastAsia="Arial" w:hAnsi="Arial"/>
          <w:sz w:val="18"/>
          <w:szCs w:val="18"/>
          <w:color w:val="auto"/>
        </w:rPr>
      </w:pPr>
    </w:p>
    <w:p>
      <w:pPr>
        <w:ind w:left="520" w:right="34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and related terms of marketing authorizations from applicable regulatory authorities, including potential restrictions or limitations on the conditions of use of our products;</w:t>
      </w:r>
    </w:p>
    <w:p>
      <w:pPr>
        <w:spacing w:after="0" w:line="62" w:lineRule="exact"/>
        <w:rPr>
          <w:rFonts w:ascii="Arial" w:cs="Arial" w:eastAsia="Arial" w:hAnsi="Arial"/>
          <w:sz w:val="18"/>
          <w:szCs w:val="18"/>
          <w:color w:val="auto"/>
        </w:rPr>
      </w:pPr>
    </w:p>
    <w:p>
      <w:pPr>
        <w:ind w:left="520" w:right="78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successful completion of any required or committed post-marketing studies and available funding to perform any such post-marketing requirements or post-marketing commitments;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raising additional funds necessary to complete clinical development of and commercialize our product candidates, including tovorafenib (DAY101);</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obtaining and maintaining patent, trade secret and other intellectual property protection and statutory exclusivities for our product candidates;</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making arrangements with third-party manufacturers, or establishing manufacturing capabilities, for both clinical and commercial supplies of our</w:t>
      </w:r>
    </w:p>
    <w:p>
      <w:pPr>
        <w:spacing w:after="0" w:line="46" w:lineRule="exact"/>
        <w:rPr>
          <w:sz w:val="20"/>
          <w:szCs w:val="20"/>
          <w:color w:val="auto"/>
        </w:rPr>
      </w:pPr>
    </w:p>
    <w:p>
      <w:pPr>
        <w:ind w:left="5540" w:right="2760" w:hanging="5016"/>
        <w:spacing w:after="0" w:line="260" w:lineRule="auto"/>
        <w:rPr>
          <w:sz w:val="20"/>
          <w:szCs w:val="20"/>
          <w:color w:val="auto"/>
        </w:rPr>
      </w:pPr>
      <w:r>
        <w:rPr>
          <w:rFonts w:ascii="Arial" w:cs="Arial" w:eastAsia="Arial" w:hAnsi="Arial"/>
          <w:sz w:val="18"/>
          <w:szCs w:val="18"/>
          <w:color w:val="auto"/>
        </w:rPr>
        <w:t>product candidates and ensuring a resilient, effective supply chain that produces supply that outpaces demand;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left="520" w:hanging="512"/>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developing and implementing marketing, pricing, and reimbursement strategies, as well as adequate demand forecasts for supply and sales planning;</w:t>
      </w:r>
    </w:p>
    <w:p>
      <w:pPr>
        <w:spacing w:after="0" w:line="140" w:lineRule="exact"/>
        <w:rPr>
          <w:rFonts w:ascii="Arial" w:cs="Arial" w:eastAsia="Arial" w:hAnsi="Arial"/>
          <w:sz w:val="16"/>
          <w:szCs w:val="16"/>
          <w:color w:val="auto"/>
        </w:rPr>
      </w:pPr>
    </w:p>
    <w:p>
      <w:pPr>
        <w:ind w:left="520" w:right="160" w:hanging="512"/>
        <w:spacing w:after="0" w:line="263"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 and access of sales representatives to major institutions remains uncertain;</w:t>
      </w:r>
    </w:p>
    <w:p>
      <w:pPr>
        <w:spacing w:after="0" w:line="75" w:lineRule="exact"/>
        <w:rPr>
          <w:rFonts w:ascii="Arial" w:cs="Arial" w:eastAsia="Arial" w:hAnsi="Arial"/>
          <w:sz w:val="18"/>
          <w:szCs w:val="18"/>
          <w:color w:val="auto"/>
        </w:rPr>
      </w:pPr>
    </w:p>
    <w:p>
      <w:pPr>
        <w:ind w:left="520" w:right="12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physicians, the medical community and third-party payors underpinned by adequate health economic data and a meaningful value proposition;</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obtaining and maintaining third-party payor coverage and adequate reimbursement in both public and private payor spaces across multiple countries;</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those that have not yet entered the market;</w:t>
      </w:r>
    </w:p>
    <w:p>
      <w:pPr>
        <w:spacing w:after="0" w:line="117" w:lineRule="exact"/>
        <w:rPr>
          <w:rFonts w:ascii="Arial" w:cs="Arial" w:eastAsia="Arial" w:hAnsi="Arial"/>
          <w:sz w:val="18"/>
          <w:szCs w:val="18"/>
          <w:color w:val="auto"/>
        </w:rPr>
      </w:pPr>
    </w:p>
    <w:p>
      <w:pPr>
        <w:ind w:left="520" w:right="48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effectively competing with other companies in the pharmaceutical and biotechnology industries, which are characterized by rapidly advancing technologies, intense competition and a strong emphasis on proprietary and novel products and product candidates;</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appropriate support from patient advocacy organizations;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effectively shaping the market in the early years following launch to help providers understand a new way of thinking about treating these patients;</w:t>
      </w:r>
    </w:p>
    <w:p>
      <w:pPr>
        <w:spacing w:after="0" w:line="140" w:lineRule="exact"/>
        <w:rPr>
          <w:rFonts w:ascii="Arial" w:cs="Arial" w:eastAsia="Arial" w:hAnsi="Arial"/>
          <w:sz w:val="16"/>
          <w:szCs w:val="16"/>
          <w:color w:val="auto"/>
        </w:rPr>
      </w:pPr>
    </w:p>
    <w:p>
      <w:pPr>
        <w:ind w:left="520" w:right="60" w:hanging="512"/>
        <w:spacing w:after="0" w:line="259"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any delays in our ongoing and planned clinical trials resulting from factors related to any macroeconomic conditions, major natural disaster, public health epidemic or significant political event, including inflation, changes in interest rates, turmoil in the global banking system, government shutdowns, uncertainty with respect to the federal budget and global regional conflicts, as well as any delays due to recent supply chain issues impacting the availability of certain standard-of-care chemotherapy drugs;</w:t>
      </w:r>
    </w:p>
    <w:p>
      <w:pPr>
        <w:spacing w:after="0" w:line="78"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11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Many of these factors are beyond our control, and it is possible that none of our product candidates will ever obtain marketing authorization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w:t>
      </w:r>
    </w:p>
    <w:p>
      <w:pPr>
        <w:spacing w:after="0" w:line="2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business depends entirely on the successful discovery or identification, development and commercialization of product candidates. We have no products approved for commercial sale and do not anticipate generating any revenue from product sales for the next 12 months, if ever. We do not expect to generate significant revenue unless and until we obtain marketing authorization for, and begin to sell, tovorafenib (DAY101), pimasertib, or another product candidate. Our ability to generate revenue and achieve profitability depends on several factors, including, but not limited to, our ability to:</w:t>
      </w:r>
    </w:p>
    <w:p>
      <w:pPr>
        <w:spacing w:after="0" w:line="49" w:lineRule="exact"/>
        <w:rPr>
          <w:sz w:val="20"/>
          <w:szCs w:val="20"/>
          <w:color w:val="auto"/>
        </w:rPr>
      </w:pPr>
    </w:p>
    <w:p>
      <w:pPr>
        <w:ind w:left="520" w:right="10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 a successful pivotal Phase 2 FIREFLY-1 trial with tovorafenib (DAY101) that achieves a competitive, clinically meaningful and generally well-tolerated target product profile for the treatment of relapsed or progressive pLGG;</w:t>
      </w:r>
    </w:p>
    <w:p>
      <w:pPr>
        <w:spacing w:after="0" w:line="62"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 a successful pivotal Phase 3 FIREFLY-2 trial with tovorafenib (DAY101) that achieves a competitive, clinically meaningful and generally well-tolerated target product profile for the front-line treatment of pLGG;</w:t>
      </w:r>
    </w:p>
    <w:p>
      <w:pPr>
        <w:spacing w:after="0" w:line="62" w:lineRule="exact"/>
        <w:rPr>
          <w:rFonts w:ascii="Arial" w:cs="Arial" w:eastAsia="Arial" w:hAnsi="Arial"/>
          <w:sz w:val="18"/>
          <w:szCs w:val="18"/>
          <w:color w:val="auto"/>
        </w:rPr>
      </w:pPr>
    </w:p>
    <w:p>
      <w:pPr>
        <w:ind w:left="520" w:right="68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 a successful Phase 1b/2 FIRELIGHT-1 umbrella master trial of tovorafenib (DAY101) as a monotherapy and in combination with pimasertib in patients 12 years and older with tumors having activated RAF signaling;</w:t>
      </w:r>
    </w:p>
    <w:p>
      <w:pPr>
        <w:spacing w:after="0" w:line="62" w:lineRule="exact"/>
        <w:rPr>
          <w:rFonts w:ascii="Arial" w:cs="Arial" w:eastAsia="Arial" w:hAnsi="Arial"/>
          <w:sz w:val="18"/>
          <w:szCs w:val="18"/>
          <w:color w:val="auto"/>
        </w:rPr>
      </w:pPr>
    </w:p>
    <w:p>
      <w:pPr>
        <w:ind w:left="520" w:right="46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and other studies required to obtain U.S. and foreign marketing authorization for tovorafenib (DAY101) as a treatment for patients with pLGGs;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w:t>
      </w:r>
    </w:p>
    <w:p>
      <w:pPr>
        <w:spacing w:after="0" w:line="117" w:lineRule="exact"/>
        <w:rPr>
          <w:rFonts w:ascii="Arial" w:cs="Arial" w:eastAsia="Arial" w:hAnsi="Arial"/>
          <w:sz w:val="18"/>
          <w:szCs w:val="18"/>
          <w:color w:val="auto"/>
        </w:rPr>
      </w:pPr>
    </w:p>
    <w:p>
      <w:pPr>
        <w:ind w:left="520" w:right="36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favorable results from our clinical trials and apply for and obtain marketing authorization for tovorafenib (DAY101) and pimasertib from applicable regulatory authorities, including NDAs, from the FDA, and maintaining such approvals;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licenses, collaborations or strategic partnerships that allow for the commercialization of our product candidates and/or may increase the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value of our programs;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520" w:right="44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 and maintain viable supply and manufacturing relationships with third parties that can provide adequate, in both amount and quality, products and services to support clinical development and meet the market demand for our product candidates, if approved;</w:t>
      </w:r>
    </w:p>
    <w:p>
      <w:pPr>
        <w:spacing w:after="0" w:line="38" w:lineRule="exact"/>
        <w:rPr>
          <w:rFonts w:ascii="Arial" w:cs="Arial" w:eastAsia="Arial" w:hAnsi="Arial"/>
          <w:sz w:val="17"/>
          <w:szCs w:val="17"/>
          <w:color w:val="auto"/>
        </w:rPr>
      </w:pPr>
    </w:p>
    <w:p>
      <w:pPr>
        <w:ind w:left="520" w:right="2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commercialize tovorafenib (DAY101), pimasertib, and any future product candidates we may develop, if approved, by building a sales force and/or entering into collaborations with third parties;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satisfy any post-marketing requirements imposed by, or post-marketing commitments made to, applicable regulatory authorities;</w:t>
      </w:r>
    </w:p>
    <w:p>
      <w:pPr>
        <w:spacing w:after="0" w:line="117" w:lineRule="exact"/>
        <w:rPr>
          <w:rFonts w:ascii="Arial" w:cs="Arial" w:eastAsia="Arial" w:hAnsi="Arial"/>
          <w:sz w:val="18"/>
          <w:szCs w:val="18"/>
          <w:color w:val="auto"/>
        </w:rPr>
      </w:pPr>
    </w:p>
    <w:p>
      <w:pPr>
        <w:ind w:left="520" w:right="30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demonstrate an acceptable safety profile of our product candidates, including tovorafenib (DAY101) and pimasertib, and continue to maintain a continued acceptable safety profile following marketing authorization, if any;</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assess and develop new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 and maintain patent and trade secret protection, statutory exclusivities, and other intellectual property protections for our products;</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maintain, protect and defend our intellectual property portfolio, including any necessary licenses from third parties;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 any competing therapies and technological and market developments;</w:t>
      </w:r>
    </w:p>
    <w:p>
      <w:pPr>
        <w:spacing w:after="0" w:line="117" w:lineRule="exact"/>
        <w:rPr>
          <w:rFonts w:ascii="Arial" w:cs="Arial" w:eastAsia="Arial" w:hAnsi="Arial"/>
          <w:sz w:val="18"/>
          <w:szCs w:val="18"/>
          <w:color w:val="auto"/>
        </w:rPr>
      </w:pPr>
    </w:p>
    <w:p>
      <w:pPr>
        <w:ind w:left="520" w:right="42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 market acceptance of tovorafenib (DAY101) or pimasertib and our other successful product candidates, if approved, with patients, the medical community and third-party payors, both in the United States and internationally;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To become and remain profitable, we must succeed in designing, developing and commercializing products that generate significant revenue. This will require us to be successful in a range of challenging activities, including completing clinical trials for our product candidates, designing and/or acquiring additional product candidates, establishing arrangements with third parties for the manufacture of clinical supplies of our product candidates, obtaining marketing authorization for our product candidates, obtaining and retaining patents, trade secrets, statutory exclusivities, and other intellectual property protections and marketing and selling products for which we may obtain marketing authorization, if any. We are in the earlier stages of most of these activities. We may never succeed in these activities and, even if we do, may never generate revenues that are significant enough to achieve profitability.</w:t>
      </w:r>
    </w:p>
    <w:p>
      <w:pPr>
        <w:spacing w:after="0" w:line="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cases where we are successful in obtaining marketing authorizations to market one or more of our product candidates, our revenue will be dependent, in part, upon the size of the markets in the territories for which we gain marketing authorizations, the pricing for the product, the duration of treatment with our product, the adoption of our product in treatment guidelines and by prescribers, the ability to obtain coverage and reimbursement, and whether we own the commercial rights for that territory. If the number of our addressable patients is not as significant as we estimate, the approved indication is narrower than expected, or the treatment population is narrowed by competition, physician choice, payor decisions, or treatment guidelines, we may not generate significant revenue from sales of such products, even if approved.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w:t>
      </w:r>
    </w:p>
    <w:p>
      <w:pPr>
        <w:spacing w:after="0" w:line="79"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8" w:name="page39"/>
    <w:bookmarkEnd w:id="38"/>
    <w:p>
      <w:pPr>
        <w:ind w:right="26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tovorafenib (DAY101), pimasertib, and any future product candidates through clinical development. We expect increased expenses as we continue our research and development, initiate additional clinical trials, seek to expand our product pipeline, seek marketing authorization for our lead programs and future product candidates, if any, and invest in our organization. In addition, if we obtain marketing authorization for any of our product candidates, we expect to incur significant commercialization expenses related to product manufacturing, marketing, sales and distribution.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substantial additional funding in connection with our continuing operations.</w:t>
      </w:r>
    </w:p>
    <w:p>
      <w:pPr>
        <w:spacing w:after="0" w:line="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 Our ability to raise capital may be adversely impacted by potential worsening global economic conditions and disruptions to and volatility in the credit and financial markets in the United States and worldwide resulting from inflation, changes in interest rates, recent turmoil in the global banking system, government shutdowns, uncertainty with respect to the federal budget, global regional conflicts, public health epidemics, such as the COVID-19 pandemic, or otherwise.</w:t>
      </w:r>
    </w:p>
    <w:p>
      <w:pPr>
        <w:spacing w:after="0" w:line="8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had $405.5 million in cash, cash equivalents and short-term investments as of September 30, 2023. We believe that our existing cash, cash equivalents and short-term investments, will enable us to fund our operating expenses, and capital expenditure requirements into 2026.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68"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progress, timing and results of preclinical studies and clinical trials for our current or any future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w:t>
      </w:r>
    </w:p>
    <w:p>
      <w:pPr>
        <w:spacing w:after="0" w:line="117"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development requirements of current or future product candidates that we may pursue, and other indications for our current product candidates that we may pursue;</w:t>
      </w:r>
    </w:p>
    <w:p>
      <w:pPr>
        <w:spacing w:after="0" w:line="62" w:lineRule="exact"/>
        <w:rPr>
          <w:rFonts w:ascii="Arial" w:cs="Arial" w:eastAsia="Arial" w:hAnsi="Arial"/>
          <w:sz w:val="18"/>
          <w:szCs w:val="18"/>
          <w:color w:val="auto"/>
        </w:rPr>
      </w:pPr>
    </w:p>
    <w:p>
      <w:pPr>
        <w:ind w:left="520" w:right="26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timing and outcome of obtaining marketing authorization for our current or future product candidates or the modification of ongoing or planned clinical trials;</w:t>
      </w:r>
    </w:p>
    <w:p>
      <w:pPr>
        <w:spacing w:after="0" w:line="62"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successful development of and marketing authorization for any complementary or companion diagnostics that may be useful to or necessary for the commercialization of our product candidates;</w:t>
      </w:r>
    </w:p>
    <w:p>
      <w:pPr>
        <w:spacing w:after="0" w:line="62" w:lineRule="exact"/>
        <w:rPr>
          <w:rFonts w:ascii="Arial" w:cs="Arial" w:eastAsia="Arial" w:hAnsi="Arial"/>
          <w:sz w:val="18"/>
          <w:szCs w:val="18"/>
          <w:color w:val="auto"/>
        </w:rPr>
      </w:pPr>
    </w:p>
    <w:p>
      <w:pPr>
        <w:ind w:left="520" w:right="64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62" w:lineRule="exact"/>
        <w:rPr>
          <w:rFonts w:ascii="Arial" w:cs="Arial" w:eastAsia="Arial" w:hAnsi="Arial"/>
          <w:sz w:val="18"/>
          <w:szCs w:val="18"/>
          <w:color w:val="auto"/>
        </w:rPr>
      </w:pPr>
    </w:p>
    <w:p>
      <w:pPr>
        <w:ind w:left="520" w:right="38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62" w:lineRule="exact"/>
        <w:rPr>
          <w:rFonts w:ascii="Arial" w:cs="Arial" w:eastAsia="Arial" w:hAnsi="Arial"/>
          <w:sz w:val="18"/>
          <w:szCs w:val="18"/>
          <w:color w:val="auto"/>
        </w:rPr>
      </w:pPr>
    </w:p>
    <w:p>
      <w:pPr>
        <w:ind w:left="520" w:right="60" w:hanging="512"/>
        <w:spacing w:after="0" w:line="311" w:lineRule="auto"/>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the extent we pursue strategic collaborations, including collaborations to commercialize tovorafenib (DAY101), pimasertib, or any of our future pipeline product candidates, if any,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40" w:lineRule="exact"/>
        <w:rPr>
          <w:rFonts w:ascii="Arial" w:cs="Arial" w:eastAsia="Arial" w:hAnsi="Arial"/>
          <w:sz w:val="16"/>
          <w:szCs w:val="16"/>
          <w:color w:val="auto"/>
        </w:rPr>
      </w:pPr>
    </w:p>
    <w:p>
      <w:pPr>
        <w:ind w:left="520" w:right="18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market access and distribution capabilities;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associated with completing any post-marketing studies or trials requested or required by the FDA or other regulatory authorities;</w:t>
      </w:r>
    </w:p>
    <w:p>
      <w:pPr>
        <w:spacing w:after="0" w:line="128" w:lineRule="exact"/>
        <w:rPr>
          <w:rFonts w:ascii="Arial" w:cs="Arial" w:eastAsia="Arial" w:hAnsi="Arial"/>
          <w:sz w:val="17"/>
          <w:szCs w:val="17"/>
          <w:color w:val="auto"/>
        </w:rPr>
      </w:pPr>
    </w:p>
    <w:p>
      <w:pPr>
        <w:ind w:left="520" w:right="700" w:hanging="512"/>
        <w:spacing w:after="0" w:line="258"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tovorafenib (DAY101), pimasertib or any of our future product candidates if any are approved, or any future pipeline product candidates that receive marketing authorization;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ind w:left="520" w:right="780" w:hanging="512"/>
        <w:spacing w:after="0" w:line="342" w:lineRule="auto"/>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15" w:lineRule="exact"/>
        <w:rPr>
          <w:rFonts w:ascii="Arial" w:cs="Arial" w:eastAsia="Arial" w:hAnsi="Arial"/>
          <w:sz w:val="16"/>
          <w:szCs w:val="16"/>
          <w:color w:val="auto"/>
        </w:rPr>
      </w:pPr>
    </w:p>
    <w:p>
      <w:pPr>
        <w:ind w:left="520" w:right="380" w:hanging="512"/>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w:t>
      </w:r>
    </w:p>
    <w:p>
      <w:pPr>
        <w:spacing w:after="0" w:line="6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will require additional capital to complete our planned clinical development programs for our current product candidates to obtain marketing authorization, and we anticipate needing to raise additional capital to complete the development of and commercialize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team’s attention from their day-to-day activities, which may adversely affect our business, including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In June 2022, we entered into the Equity Distribution Agreement with Piper Sandler &amp; Co. and JonesTrading Institutional Services LLC, as sales agents, relating to the issuance and sale of shares of our common stock for an aggregate offering price of up to $150.0 million under the 2022 ATM. In June 2023, we suspended and terminated the prospectus related to our common stock issuable pursuant to the terms of the Equity Distribution Agreement. In September 2023, in connection with our filing of an automatic shelf registration statement on Form S-3, we filed a new prospectus relating to the Equity Distribution Agreement and the issuance and sale of shares of our common stock having an aggregate offering price of up to $250.0 million under the 2022 ATM. No shares of our common stock have been sold under the 2022 ATM as of September 30, 2023. To the extent that we raise additional capital through the sale of equity or convertible debt securities, including pursuant to our 2022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inflation, changes in interest rates, recent turmoil in the global banking system, government shutdowns, uncertainty with respect to the federal budget, global regional conflicts, public health epidemics, including the COVID-19 pandemic, or otherwise.</w:t>
      </w:r>
    </w:p>
    <w:p>
      <w:pPr>
        <w:spacing w:after="0" w:line="6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Commercialization of Our Product Candidates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marketing authorization.</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marketing authorization. To obtain the requisite marketing authorizations to market and sell any of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spacing w:after="0" w:line="80"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In addition, the results of preclinical studies and earlier clinical trials may not be predictive of the results of later-stage preclinical studies or clinical trials. We have limited clinical data for our product candidates. Product candidates in later stages of clinical trials may fail to show similar or desired safety and efficacy traits despite having progressed through preclinical and earlier stage clinical trials.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20"/>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 If we fail to produce positive results in our planned clinical trials of any of our product candidates, the development timeline and marketing authorization and commercialization prospects for our product candidates, and, correspondingly, our business and financial prospects, would be materially and adversely affected.</w:t>
      </w:r>
    </w:p>
    <w:p>
      <w:pPr>
        <w:spacing w:after="0" w:line="26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Tovorafenib (DAY101) has only been studied in a limited number of patients. Should the FDA grant approval for market authorization, tovorafenib (DAY101) will be available to a much larger number of patients, and we do not know whether the results of tovorafenib’s use in such larger number of patients will be consistent with the results from our clinical studies.</w:t>
      </w:r>
    </w:p>
    <w:p>
      <w:pPr>
        <w:spacing w:after="0" w:line="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Tovorafenib (DAY101) has been administered only to a limited number of patients in clinical studies. While the FDA accepted our NDA and granted priority review for tovorafenib (DAY101), we do not know whether the results when a larger number of patients are exposed to tovorafenib (DAY101), including results related to safety and efficacy, will be consistent with the results from earlier clinical studies of tovorafenib (DAY101) that served as the basis for the FDA’s acceptance of our NDA and grant of priority review for tovorafenib (DAY101). New data relating to tovorafenib (DAY101), including from adverse events reports and our post-marketing commitments in the United States, and from other ongoing clinical studies, may result in changes to the product label and may adversely affect sales, or result in withdrawal of tovorafenib (DAY101) from the market. The FDA and regulatory authorities in other jurisdictions may also consider the new data in reviewing tovorafenib (DAY101)’s marketing applications for additional indications and/or in other jurisdictions, or impose post-approval requirements. If any of these actions were to occur, it could result in significant expense and delay or limit our ability to generate sales revenues.</w:t>
      </w:r>
    </w:p>
    <w:p>
      <w:pPr>
        <w:spacing w:after="0" w:line="30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rely on data from investigator-initiated studies, as we did for the Phase 1 clinical trial (PNOC014), and we do not control the trial operations or reporting of the results of such trials.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time to time, we may rely on certain clinical data from investigator-sponsored clinical studies, and we do not control the trial operations or reporting of the results of such trials. This was the case for the initial Phase 1 study for our lead product candidate, tovorafenib (DAY101) (PNOC014), which was run as an investigator-initiated, multi-center trial in patients with relapsed/refractory pLGG that is being conducted by the Dana Farber Cancer Institute in collaboration with the Pacific Pediatric Neuro-Oncology Consortium, or PNOC. The last data reported from that trial was in January 2023. It is possible that additional data, when reported, will not demonstrate similar results. We have no control over the timing of such clinical data announcements. Our pivotal Phase 2 FIREFLY-1 trial tovorafenib is a Day One-sponsored trial. Although we expect that our pivotal Phase 2 FIREFELY-1 trial in pLGG will provide a sufficient dataset to support approval based on preliminary discussions with regulatory agencies, we cannot assure you that the FDA will not require data from additional patients or additional follow-up data from existing patients on PNOC014 to support approval. In addition,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authorization for their products.</w:t>
      </w:r>
    </w:p>
    <w:p>
      <w:pPr>
        <w:spacing w:after="0" w:line="6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authorization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authorization of our product candidates. While investigator-sponsored initiated trials could be useful to inform our own clinical development efforts, we do not control the data or timing of data releases for investigator-sponsored trials, and there is no guarantee that we will be able to use the data from these trials to form the basis for marketing authorization of our product candidates.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b w:val="1"/>
          <w:bCs w:val="1"/>
          <w:i w:val="1"/>
          <w:iCs w:val="1"/>
          <w:color w:val="auto"/>
        </w:rPr>
        <w:t>Our compassionate use programs could subject us to additional risks, including delays in our clinical trial programs, impacts to our supply capabilities, or adverse publicity.</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Some patients receive access to investigational drugs outside of clinical trials through compassionate use programs, which refer to expanded access or right to try programs. These patients generally have life-threatening illnesses for which there are no alternative therapies or they have exhausted all other available therapies. There are a number of risks that we may face as a result of our compassionate use programs. For example, the risk for serious adverse events in this patient population is high, which, if those adverse events are determined to be drug-related, could have a negative impact on the safety profile of our drug candidates and/or cause significant delays, result in an inability to successfully commercialize our drug candidates, and/or materially harm our business. Additionally, if we were to provide patients with any of our drug candidates under a compassionate use program, our supply capabilities may limit the number of patients who are able to enroll in the program. It also may become challenging to enroll patients in randomized trials if product candidates are being supplied to patients under expanded access programs. These factors may result in the need to restructure or pause any compassionate use program in order to enroll sufficient numbers of patients in our clinical trials required for marketing authorization and successful commercialization of our drug candidates. If we were to restructure or pause our compassionate use programs, we could face adverse publicity or disruptions related to current or potential participants in our programs.</w:t>
      </w:r>
    </w:p>
    <w:p>
      <w:pPr>
        <w:spacing w:after="0" w:line="2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clinical trials may be suspended, delayed, or fail to adequately demonstrate the safety and effectiveness of any of our product candidates, which would prevent or delay development, marketing authorization and commercialization.</w:t>
      </w:r>
    </w:p>
    <w:p>
      <w:pPr>
        <w:spacing w:after="0" w:line="6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Before obtaining marketing authorization from the FDA or comparable foreign regulatory authorities for the sale of our current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for any number of reasons, and, because our product candidates are in earlier stages of development, there is a high risk of failure and we may never succeed in developing marketable products.</w:t>
      </w:r>
    </w:p>
    <w:p>
      <w:pPr>
        <w:spacing w:after="0" w:line="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may experience numerous challenges and unforeseen events during, or as a result of, clinical trials that could delay or prevent receipt of marketing authorization or our ability to commercialize our product candidates, including:</w:t>
      </w:r>
    </w:p>
    <w:p>
      <w:pPr>
        <w:spacing w:after="0" w:line="62"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FDA or other regulators refusing to permit our clinical studies to proceed or placing studies on hold before or after the studies begin;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failure to demonstrate that the dose for a product candidate has been optimized;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product candidates in clinical trials to demonstrate important functional, quality, or patient-reported outcomes;</w:t>
      </w:r>
    </w:p>
    <w:p>
      <w:pPr>
        <w:spacing w:after="0" w:line="117"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competitive landscape preventing marketing authorization in one or several subsets studied in our programs, including in relapsed or front-line pLGG;</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17" w:lineRule="exact"/>
        <w:rPr>
          <w:rFonts w:ascii="Arial" w:cs="Arial" w:eastAsia="Arial" w:hAnsi="Arial"/>
          <w:sz w:val="18"/>
          <w:szCs w:val="18"/>
          <w:color w:val="auto"/>
        </w:rPr>
      </w:pPr>
    </w:p>
    <w:p>
      <w:pPr>
        <w:ind w:left="520" w:right="64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research and/or drug development programs;</w:t>
      </w:r>
    </w:p>
    <w:p>
      <w:pPr>
        <w:spacing w:after="0" w:line="62"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delays in our preclinical studies or clinical trials;</w:t>
      </w:r>
    </w:p>
    <w:p>
      <w:pPr>
        <w:spacing w:after="0" w:line="117" w:lineRule="exact"/>
        <w:rPr>
          <w:rFonts w:ascii="Arial" w:cs="Arial" w:eastAsia="Arial" w:hAnsi="Arial"/>
          <w:sz w:val="18"/>
          <w:szCs w:val="18"/>
          <w:color w:val="auto"/>
        </w:rPr>
      </w:pPr>
    </w:p>
    <w:p>
      <w:pPr>
        <w:ind w:left="520" w:right="70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including Good Clinical Practice, or GCP, regulations, or meet their contractual obligations to us in a timely manner, or at all;</w:t>
      </w:r>
    </w:p>
    <w:p>
      <w:pPr>
        <w:spacing w:after="0" w:line="62" w:lineRule="exact"/>
        <w:rPr>
          <w:rFonts w:ascii="Arial" w:cs="Arial" w:eastAsia="Arial" w:hAnsi="Arial"/>
          <w:sz w:val="18"/>
          <w:szCs w:val="18"/>
          <w:color w:val="auto"/>
        </w:rPr>
      </w:pPr>
    </w:p>
    <w:p>
      <w:pPr>
        <w:ind w:left="520" w:right="12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117" w:lineRule="exact"/>
        <w:rPr>
          <w:rFonts w:ascii="Arial" w:cs="Arial" w:eastAsia="Arial" w:hAnsi="Arial"/>
          <w:sz w:val="18"/>
          <w:szCs w:val="18"/>
          <w:color w:val="auto"/>
        </w:rPr>
      </w:pPr>
    </w:p>
    <w:p>
      <w:pPr>
        <w:ind w:left="520" w:right="12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clinical trials to demonstrate the safety or effectiveness of our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 and</w:t>
      </w:r>
    </w:p>
    <w:p>
      <w:pPr>
        <w:spacing w:after="0" w:line="117" w:lineRule="exact"/>
        <w:rPr>
          <w:rFonts w:ascii="Arial" w:cs="Arial" w:eastAsia="Arial" w:hAnsi="Arial"/>
          <w:sz w:val="18"/>
          <w:szCs w:val="18"/>
          <w:color w:val="auto"/>
        </w:rPr>
      </w:pPr>
    </w:p>
    <w:p>
      <w:pPr>
        <w:jc w:val="center"/>
        <w:ind w:left="5540" w:right="40" w:hanging="5532"/>
        <w:spacing w:after="0" w:line="277" w:lineRule="auto"/>
        <w:tabs>
          <w:tab w:leader="none" w:pos="523"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would require us to include data from additional patients or longer term efficacy and safety data.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2" w:name="page43"/>
    <w:bookmarkEnd w:id="42"/>
    <w:p>
      <w:pPr>
        <w:ind w:right="20"/>
        <w:spacing w:after="0" w:line="257" w:lineRule="auto"/>
        <w:rPr>
          <w:sz w:val="20"/>
          <w:szCs w:val="20"/>
          <w:color w:val="auto"/>
        </w:rPr>
      </w:pPr>
      <w:r>
        <w:rPr>
          <w:rFonts w:ascii="Arial" w:cs="Arial" w:eastAsia="Arial" w:hAnsi="Arial"/>
          <w:sz w:val="18"/>
          <w:szCs w:val="18"/>
          <w:color w:val="auto"/>
        </w:rPr>
        <w:t>We may also face unanticipated regulatory hurdles in our drug development program that may require additional data generation or delay our existing or planned trials and the timing of applications for marketing authorization. For instance, we may make formulation or manufacturing changes to our product candidates, in which case we may need to conduct additional preclinical studies to bridge our modified product candidates to earlier versions. Additionally, FDA may determine that it has questions or concerns about our trials and may not permit our proposed clinical studies to move forward by imposing a partial or full clinical hold.</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 we, FDA or an institutional review board, or IRB, may suspend our clinical trials at any time if it appears that we or our collaborators are failing to conduct a trial in accordance with regulatory requirements, including Good Clinical Practices, or GCP, regulations, that we are exposing participants to unacceptable health risks, or if FDA finds deficiencies in our INDs or the conduct of these trials. Therefore, we cannot predict with any certainty the schedule for commencement and completion of future clinical trials.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may also conduct clinical trials in foreign countries, which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Further, data from trials conducted outside of the United States may be subject to additional scrutiny by FDA, which may require that additional U.S. data be generated.</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Because our product candidates are initially targeted towards the pediatric population, we may face additional hurdles and be subjected to greater scrutiny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marketing authorizations for any drug product candidate.</w:t>
      </w:r>
    </w:p>
    <w:p>
      <w:pPr>
        <w:spacing w:after="0" w:line="2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cannot predict the outcome of our clinical trials, nor can we guarantee that the data we generate from our clinical trials will be acceptable to regulatory authorities so as to support marketing authorization.</w:t>
      </w:r>
    </w:p>
    <w:p>
      <w:pPr>
        <w:spacing w:after="0" w:line="6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outcome of clinical trials is uncertain, and, because our product candidates are in earlier stages of development, there is a significant risk of failure. If we complete our clinical trials but the results of our clinical trials are inconclusive or only modestly positive, if there are safety concerns or serious adverse events associated with our product candidates, or if our clinical trials are delayed or require unplanned changes, we may:</w:t>
      </w:r>
    </w:p>
    <w:p>
      <w:pPr>
        <w:spacing w:after="0" w:line="57"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additional, unplanned drug development and/or commercialization costs;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delayed in obtaining or unable to obtain marketing authorization;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w:t>
      </w:r>
    </w:p>
    <w:p>
      <w:pPr>
        <w:spacing w:after="0" w:line="117" w:lineRule="exact"/>
        <w:rPr>
          <w:rFonts w:ascii="Arial" w:cs="Arial" w:eastAsia="Arial" w:hAnsi="Arial"/>
          <w:sz w:val="18"/>
          <w:szCs w:val="18"/>
          <w:color w:val="auto"/>
        </w:rPr>
      </w:pPr>
    </w:p>
    <w:p>
      <w:pPr>
        <w:ind w:left="520" w:right="120" w:hanging="512"/>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may have contraindications, limitations of use, or other restrictions that affect the market for the product;</w:t>
      </w:r>
    </w:p>
    <w:p>
      <w:pPr>
        <w:spacing w:after="0" w:line="62" w:lineRule="exact"/>
        <w:rPr>
          <w:rFonts w:ascii="Arial" w:cs="Arial" w:eastAsia="Arial" w:hAnsi="Arial"/>
          <w:sz w:val="18"/>
          <w:szCs w:val="18"/>
          <w:color w:val="auto"/>
        </w:rPr>
      </w:pPr>
    </w:p>
    <w:p>
      <w:pPr>
        <w:ind w:left="520" w:right="680" w:hanging="512"/>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marketing authorization with labeling that includes safety warnings a risk evaluation and mitigation strategy, or REMS, and/or other restrictions on distribution or use that could affect market access;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 commitments;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have regulatory authorities withdraw, or suspend, their approval of the drug or impose post-marketing safety labeling changes or a REMS;</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civil or criminal investigations and litigation; 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17"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3" w:name="page44"/>
    <w:bookmarkEnd w:id="43"/>
    <w:p>
      <w:pPr>
        <w:spacing w:after="0" w:line="272"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FDA or comparable foreign regulatory authorities. FDA or a comparable foreign regulatory authority may conclude that a financial relationship between us and a principal investigator has created a conflict of interest or has affected the conduct or interpretation of the study.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FDA or comparable foreign regulatory authority, as the case may be, and may ultimately lead to the denial of marketing authorization of one or more of our product candidates.</w:t>
      </w:r>
    </w:p>
    <w:p>
      <w:pPr>
        <w:spacing w:after="0" w:line="2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we may be delayed in or prevented from obtaining necessary marketing authorization for any or all of our product candidates.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tovorafenib (DAY101)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marketing authorization or (iii) whether each specific BRAF mutation targeted will be included in the approved drug labeling. If our strategies for patient identification and enrollment prove unsuccessful, we may have difficulty enrolling or maintaining patients appropriate for our product candidates. Patient enrollment is also affected by other factors, including:</w:t>
      </w:r>
    </w:p>
    <w:p>
      <w:pPr>
        <w:spacing w:after="0" w:line="69"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117" w:lineRule="exact"/>
        <w:rPr>
          <w:rFonts w:ascii="Arial" w:cs="Arial" w:eastAsia="Arial" w:hAnsi="Arial"/>
          <w:sz w:val="18"/>
          <w:szCs w:val="18"/>
          <w:color w:val="auto"/>
        </w:rPr>
      </w:pPr>
    </w:p>
    <w:p>
      <w:pPr>
        <w:ind w:left="520" w:right="580" w:hanging="512"/>
        <w:spacing w:after="0" w:line="277"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availability, expertise, and selection of contract research organizations, or CROs, to manage operations related to clinical trial enrollment;</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invasive procedures required to enroll patients and to obtain evidence of the product candidate’s performance during the clinical trial;</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ongoing shortages of chemotherapy standard of care, which may be used in the control arm of certain of our clinical trials, including FIREFLY-2;</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reluctance of physicians or patient advocacy organizations to encourage patient participation in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Further,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Moreover, if any of our competitors receive FDA approval for a product, it may limit our ability to enroll patients in our clinical trials if they decide to seek treatment with an approved product. For example, Novartis recently received approval for dabrafenib in combination with trametinib, which could in the future limit our ability to enroll patients in clinical trials for tovorafenib (DAY101).</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4" w:name="page45"/>
    <w:bookmarkEnd w:id="44"/>
    <w:p>
      <w:pPr>
        <w:spacing w:after="0" w:line="275" w:lineRule="auto"/>
        <w:rPr>
          <w:sz w:val="20"/>
          <w:szCs w:val="20"/>
          <w:color w:val="auto"/>
        </w:rPr>
      </w:pPr>
      <w:r>
        <w:rPr>
          <w:rFonts w:ascii="Arial" w:cs="Arial" w:eastAsia="Arial" w:hAnsi="Arial"/>
          <w:sz w:val="17"/>
          <w:szCs w:val="17"/>
          <w:color w:val="auto"/>
        </w:rPr>
        <w:t>Our inability to enroll and maintain a sufficient number of patients for our clinical trials would result in significant delays or may require us to abandon one or more clinical trials or clinical programs altogether. There may be competing trials, as well as the limited bandwidth of pediatric oncology institutions for running trials, which can lead to the prioritization of certain trials, resulting in delays in our clinical trials. In addition, because our product candidates are initially targeted to pediatric populations, we may face additional challenges. For example, parents may be reluctant to enroll their children in our clinical trials or may decide to withdraw their children from our clinical trials to pursue other therapies.</w:t>
      </w:r>
    </w:p>
    <w:p>
      <w:pPr>
        <w:spacing w:after="0" w:line="28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initial interim data and the topline data analysis for the pivotal Phase 2 of our tovorafenib (DAY101) trial. These updates are based on a preliminary analysis of then-available data, and the results and related findings and conclusions are subject to change following a more comprehensive review of the data related to the particular study.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Initial or topline data also remain subject to audit and verification procedures that may result in the final data being materially different from the preliminary data we previously published.</w:t>
      </w:r>
    </w:p>
    <w:p>
      <w:pPr>
        <w:spacing w:after="0" w:line="6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For example, our FIREFLY-1 clinical trial was designed to use the Response Assessment for Neuro-Oncology – High Grade Glioma, or RANO-HGG, to measure the primary endpoint of ORR, in alignment with FDA, with overall response rate, or ORR, using Response Assessment for Pediatric Neuro-Oncology – Low-Grade Glioma, or RAPNO-LGG, as a secondary endpoint. Following discussions with FDA and the March 2023 approval of dabrafenib, in combination with trametinib in BRAF V600E pLGG, we have structured the primary endpoint in our FIREFLY-2/LOGGIC trial to be assessed using the Response Assessment for Neuro-Oncology-Low Grade Glioma, or RANO-LGG, and have included RANO-LGG as an exploratory endpoint in FIREFLY-1.</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3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including tovorafenib (DAY101), may compete with existing therapies and new therapies that may become available in the future. We believe that a significant number of competing product candidates are currently under development, and may become commercially available in the future, for the treatment of conditions for which we are developing, or may in the future develop, product candidates. In addition, our product candidates may need to compete with drugs that are prescribed off-label to treat the indications for which we seek approval. This may make it difficult for us to replace existing therapies with our product candidates.</w:t>
      </w:r>
    </w:p>
    <w:p>
      <w:pPr>
        <w:spacing w:after="0" w:line="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also compete with these organizations to recruit and retain qualified scientific, management and sales and commercial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spacing w:after="0" w:line="4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5" w:name="page46"/>
    <w:bookmarkEnd w:id="45"/>
    <w:p>
      <w:pPr>
        <w:ind w:right="40"/>
        <w:spacing w:after="0" w:line="264" w:lineRule="auto"/>
        <w:rPr>
          <w:sz w:val="20"/>
          <w:szCs w:val="20"/>
          <w:color w:val="auto"/>
        </w:rPr>
      </w:pPr>
      <w:r>
        <w:rPr>
          <w:rFonts w:ascii="Arial" w:cs="Arial" w:eastAsia="Arial" w:hAnsi="Arial"/>
          <w:sz w:val="17"/>
          <w:szCs w:val="17"/>
          <w:color w:val="auto"/>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Genentech; dabrafenib, marketed as Tafinlar</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Novartis; and encorafenib, marketed as Braftovi</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Pfizer. Dabrafenib,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of the greater RAF-altered pLGG clinical scope of the tovorafenib (DAY101) development program. We believe that current data indicates that the BRAF V600E subset represents 10%-20% of BRAF-altered pLGG, but additional epidemiologic data may emerge as more patients are profiled. Further, dabrafenib, in combination with trametinib, was granted full approval in the BRAF V600E pLGG indication in March 2023 to include the treatment of pediatric patients 1 year of age and older with low-grade glioma, or LGG, with a BRAF V600E mutation who require initial systemic therapy.</w:t>
      </w:r>
    </w:p>
    <w:p>
      <w:pPr>
        <w:spacing w:after="0" w:line="81"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Four MEK inhibitors have been approved by the FDA. Three have been approved for the treatment of tumors containing BRAF V600E or V600K mutations, including cobimetinib, marketed as Cotellic</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Genentech; trametinib, marketed as Mekinist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Novartis; and binimetinib, marketed as Mektovi</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Pfizer. A fourth MEK inhibitor—selumetinib, marketed as Koselugo</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by AstraZeneca—has been approved for the treatment of pediatric patients, two years of age and older, with neurofibromatosis type 1, or NF1, who have symptomatic, inoperable plexiform neurofibromas. While MEK inhibitors as monotherapy have been shown to be active in BRAF altered pLGG (both BRAF V600E mutant pLGG and BRAF fusion-driven pLGG), no MEK inhibitors have been FDA approved as monotherapy for the treatment of pLGG patients.</w:t>
      </w:r>
    </w:p>
    <w:p>
      <w:pPr>
        <w:spacing w:after="0" w:line="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are a number of next-generation BRAF inhibitors in clinical development. BeiGene has two next-generation BRAF programs: Lifirafenib (BGB-283), which is currently in a Phase 1/2 trial in combination with mirdametinib, and BGB-3245 which is currently in a single agent in Phase 1 dose escalation study. Hanmi/Genentech are developing belvarafenib in combination with cobimetinib in a Phase 1b clinical trial. Fore Therapeutics (formerly NovellusDx) is developing the RAF dimer breaker PLX8394 in a Phase 1/2 trial in combination with cobicistat. Kinnate is developing KIN-2787 in a monotherapy Phase 1 clinical trial as well as in combination with the MEK inhibitor binimetinib in a Phase 1b clinical trial. Black Diamond Therapeutics have next-generation BRAF inhibitors in various stages of preclinical development. Jazz Pharmaceuticals and Redx have announced that the pan-RAF inhibitor JZP815 has entered clinical development in a Phase 1 trial. Erasca recently announced that it has entered into an exclusive worldwide license agreement with Novartis for naporafenib, a Phase 2 pivotal-ready pan-RAF inhibitor with a potential first-in-class and best-in-class profile in NRAS mutant melanoma and other RAS/MAPK pathway-driven tumors.</w:t>
      </w:r>
    </w:p>
    <w:p>
      <w:pPr>
        <w:spacing w:after="0" w:line="7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With regard to the treatment of pLGG, some MEK inhibitors’ and some type I RAF inhibitors’ other targeted therapies have been studied, or are being studied, in academic investigator-initiated clinical trials, and in some regions may be being used in an off-label manner. The off-label use of these agents may represent competition for tovorafenib (DAY101) when it enters the market.</w:t>
      </w:r>
    </w:p>
    <w:p>
      <w:pPr>
        <w:spacing w:after="0" w:line="7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marketing authorizations and reimbursement and marketing approved products than we do.</w:t>
      </w:r>
    </w:p>
    <w:p>
      <w:pPr>
        <w:spacing w:after="0" w:line="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Large pharmaceutical and biotechnology companies, in particular, have extensive experience in clinical testing, obtaining marketing authorizations,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58"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or could make our development more complicated.</w:t>
      </w:r>
    </w:p>
    <w:p>
      <w:pPr>
        <w:spacing w:after="0" w:line="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tovorafenib (DAY101) or our other product candidates. Even if the product candidates we develop achieve marketing authorization,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80"/>
        <w:spacing w:after="0" w:line="263" w:lineRule="auto"/>
        <w:rPr>
          <w:sz w:val="20"/>
          <w:szCs w:val="20"/>
          <w:color w:val="auto"/>
        </w:rPr>
      </w:pPr>
      <w:r>
        <w:rPr>
          <w:rFonts w:ascii="Arial" w:cs="Arial" w:eastAsia="Arial" w:hAnsi="Arial"/>
          <w:sz w:val="18"/>
          <w:szCs w:val="18"/>
          <w:b w:val="1"/>
          <w:bCs w:val="1"/>
          <w:i w:val="1"/>
          <w:iCs w:val="1"/>
          <w:color w:val="auto"/>
        </w:rPr>
        <w:t>Safety risks or other side effects associated with tovorafenib (DAY101), pimasertib or any future product candidates we may develop could delay or preclude approval, cause us to suspend or discontinue clinical trials or abandon further development, limit the use of an approved product, or result in significant negative consequences following marketing authorization, if any.</w:t>
      </w:r>
    </w:p>
    <w:p>
      <w:pPr>
        <w:spacing w:after="0" w:line="76"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As is the case with pharmaceuticals generally, we have observed side effects and adverse events associated with our lead product candidate, tovorafenib (DAY101), and our other product candidates. The most common side effects (adverse events) observed to date with tovorafenib included maculopapular rash, anemia, headache, elevation in blood creatinine phosphokinase, or CPK, nausea, skin and hair discoloration and fatigue.</w:t>
      </w:r>
    </w:p>
    <w:p>
      <w:pPr>
        <w:spacing w:after="0" w:line="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Results of our ongoing and planned clinical trials could reveal a high and unacceptable severity and prevalence of side effects or unexpected characteristics. These side effects or unexpected characteristics may be subject to regulatory reporting requirements before and/or after approval.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8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Additionally, patients treated with our product candidates have undergone, or may also be undergoing, medical,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tovorafenib (DAY101), pimasertib or our other product candidates. If we elect or are required to delay, suspend or terminate any clinical trial, the commercial prospects of our product candidates will be harmed and our ability to generate product revenues from such product candidate will be delayed or eliminated. Serious adverse events, or SAEs, observed in clinical trials could hinder or prevent market acceptance of any approved products or reduce the duration of time that physicians expect to use our product in particular patients. Any of these occurrences may significantly harm our business, prospects, financial condition and results of operations.</w:t>
      </w:r>
    </w:p>
    <w:p>
      <w:pPr>
        <w:spacing w:after="0" w:line="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early-stage testing have later been found to cause side effects that prevented further development. In addition, regulatory authorities may draw different conclusions, require additional testing to confirm these determinations, require more restrictive labeling, or deny marketing authorization of the product candidate.</w:t>
      </w:r>
    </w:p>
    <w:p>
      <w:pPr>
        <w:spacing w:after="0" w:line="69"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It is possible that, as we test our product candidates in larger, longer and more extensive clinical trials, including with different dosing regimens, or as the use of our product candidates becomes more widespread following any marketing authorization, illnesses, injuries, discomforts and other adverse events that were observed, did not occur or went undetected in earlier trials, will be reported by patients. If such side effects become known later in development or upon approval, if any, such findings may significantly harm our business, financial condition, results of operations and prospects significantly.</w:t>
      </w:r>
    </w:p>
    <w:p>
      <w:pPr>
        <w:spacing w:after="0" w:line="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any of our product candidates receive marketing authorization, and we or others later identify undesirable side effects caused by treatment with such drug, a number of potentially significant negative consequences could result, including:</w:t>
      </w:r>
    </w:p>
    <w:p>
      <w:pPr>
        <w:spacing w:after="0" w:line="62"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117" w:lineRule="exact"/>
        <w:rPr>
          <w:rFonts w:ascii="Arial" w:cs="Arial" w:eastAsia="Arial" w:hAnsi="Arial"/>
          <w:sz w:val="18"/>
          <w:szCs w:val="18"/>
          <w:color w:val="auto"/>
        </w:rPr>
      </w:pPr>
    </w:p>
    <w:p>
      <w:pPr>
        <w:ind w:left="520" w:right="340" w:hanging="512"/>
        <w:spacing w:after="0" w:line="342"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15" w:lineRule="exact"/>
        <w:rPr>
          <w:rFonts w:ascii="Arial" w:cs="Arial" w:eastAsia="Arial" w:hAnsi="Arial"/>
          <w:sz w:val="16"/>
          <w:szCs w:val="16"/>
          <w:color w:val="auto"/>
        </w:rPr>
      </w:pPr>
    </w:p>
    <w:p>
      <w:pPr>
        <w:ind w:left="520" w:hanging="512"/>
        <w:spacing w:after="0"/>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required to implement a REMS or create a medication guide outlining the risks of such side effects for distribution to patients;</w:t>
      </w:r>
    </w:p>
    <w:p>
      <w:pPr>
        <w:spacing w:after="0" w:line="128" w:lineRule="exact"/>
        <w:rPr>
          <w:rFonts w:ascii="Arial" w:cs="Arial" w:eastAsia="Arial" w:hAnsi="Arial"/>
          <w:sz w:val="17"/>
          <w:szCs w:val="17"/>
          <w:color w:val="auto"/>
        </w:rPr>
      </w:pPr>
    </w:p>
    <w:p>
      <w:pPr>
        <w:ind w:left="520" w:right="60" w:hanging="512"/>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or promotion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authorization or acceptance of our product candidates, if approved, and could significantly harm our business, financial condition, results of operations and prospects.</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market opportunities for any product candidates we develop, if approved, may be limited to certain smaller patient subsets and may be smaller than we estimate them to be.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plan to seek approval of tovorafenib (DAY101) as a treatment of both front-line and relapsed/progressive pLGG. In October 2023, the FDA accepted our NDA and granted priority review for tovorafenib (DAY101) as a monotherapy in relapsed or progressive pLGG. However, there is no guarantee that our product candidates would be approved for either line of treatment, and prior to any such approvals we may have to conduct additional clinical trials that may be costly, time-consuming and subject to risk.</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in a position to receive a particular line of therapy and who have the potential to benefit from treatment with our product candidates, are based on our beliefs and estimates. For example, pLGG is a rare disease, and as such, our projections of both the number of people who have this disease, as well as the subset of people with pLGG who have the potential to benefit from treatment with our product candidates, are based on estimates. These estimates have been derived from a variety of sources, including scientific literature, surveys of clinics, patient foundations, and/or market research. These estimates may prove to be incorrect. Additionally, new studies may change the estimated incidence or prevalence of the cancers that we are targeting. 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 Even if we obtain significant market share for our products, if approved, if the potential target populations are small, we may never achieve profitability without obtaining marketing authorization for additional indications.</w:t>
      </w:r>
    </w:p>
    <w:p>
      <w:pPr>
        <w:spacing w:after="0" w:line="28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Our clinical development activities are primarily focused on the development of targeted therapeutics for patients with genomically defined cancers, which is a rapidly evolving area of science, and the approach we are taking to discover and develop drugs is novel and may never lead to approved or marketable products.</w:t>
      </w:r>
    </w:p>
    <w:p>
      <w:pPr>
        <w:spacing w:after="0" w:line="7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discovery and development of targeted therapeutics for patients with genomically 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In some cases, the target patient populations may not be completely defined. We will need to screen and identify appropriate patients with the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In addition, even if our approach is successful in showing clinical benefit for RAF-driven cancers for our tovorafenib (DAY101) program, we may never successfully identify additional oncogenic alterations sensitive to tovorafenib (DAY101) in other MAPK-driven tumors. Therefore, we do not know if our approach of treating patients with genomically defined cancers will be successful, and if our approach is unsuccessful, our business will suffer.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220"/>
        <w:spacing w:after="0" w:line="308" w:lineRule="auto"/>
        <w:rPr>
          <w:sz w:val="20"/>
          <w:szCs w:val="20"/>
          <w:color w:val="auto"/>
        </w:rPr>
      </w:pPr>
      <w:r>
        <w:rPr>
          <w:rFonts w:ascii="Arial" w:cs="Arial" w:eastAsia="Arial" w:hAnsi="Arial"/>
          <w:sz w:val="17"/>
          <w:szCs w:val="17"/>
          <w:b w:val="1"/>
          <w:bCs w:val="1"/>
          <w:i w:val="1"/>
          <w:iCs w:val="1"/>
          <w:color w:val="auto"/>
        </w:rPr>
        <w:t>Our product candidates, including tovorafenib (DAY101), may not achieve adequate market acceptance among physicians, healthcare professionals, patients or their families, healthcare payors and others in the medical community necessary for commercial success.</w:t>
      </w:r>
    </w:p>
    <w:p>
      <w:pPr>
        <w:spacing w:after="0" w:line="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Even if our product candidates receive marketing authorization, they may not gain adequate market acceptance among physicians, patients or their families, third-party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520" w:right="22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efficacy, durability and safety profile as demonstrated in clinical trials compared to alternative treatments, in addition to functional, quality, or patient-reported outcomes;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17" w:lineRule="exact"/>
        <w:rPr>
          <w:rFonts w:ascii="Arial" w:cs="Arial" w:eastAsia="Arial" w:hAnsi="Arial"/>
          <w:sz w:val="18"/>
          <w:szCs w:val="18"/>
          <w:color w:val="auto"/>
        </w:rPr>
      </w:pPr>
    </w:p>
    <w:p>
      <w:pPr>
        <w:ind w:left="520" w:right="46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REMS, if any, which may not be required of alternative treatments and competitor products;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the cost/benefit ratios of each;</w:t>
      </w:r>
    </w:p>
    <w:p>
      <w:pPr>
        <w:spacing w:after="0" w:line="117"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 and timing of relevant formulary decision-making resulting in this coverage and reimbursement;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 relation to competition;</w:t>
      </w:r>
    </w:p>
    <w:p>
      <w:pPr>
        <w:spacing w:after="0" w:line="117" w:lineRule="exact"/>
        <w:rPr>
          <w:rFonts w:ascii="Arial" w:cs="Arial" w:eastAsia="Arial" w:hAnsi="Arial"/>
          <w:sz w:val="18"/>
          <w:szCs w:val="18"/>
          <w:color w:val="auto"/>
        </w:rPr>
      </w:pPr>
    </w:p>
    <w:p>
      <w:pPr>
        <w:ind w:left="520" w:right="180" w:hanging="512"/>
        <w:spacing w:after="0" w:line="308"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willingness of the target patient population (which may include willingness of our pediatric patients’ parents) to try new therapies and undergo required diagnostic screening to determine treatment eligibility and of physicians to prescribe these therapies and diagnostic tests;</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sales, marketing efforts and market access;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 respect to tovorafenib (DAY101) specifically, successful commercialization will depend on whether and to what extent physicians and pharmacies, over whom we have no control, determine to utilize tovorafenib (DAY101) at the price we have selected. Tovorafenib (DAY101) would be made available to patients. Because of this, it is particularly difficult to estimate tovorafenib (DAY101)’s market potential and how physicians, payors and patients will respond to the pricing of tovorafenib (DAY101).</w:t>
      </w:r>
    </w:p>
    <w:p>
      <w:pPr>
        <w:spacing w:after="0" w:line="7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product candidates we develop may become subject to unfavorable third-party coverage and reimbursement practices, as well as price restrictions.</w:t>
      </w:r>
    </w:p>
    <w:p>
      <w:pPr>
        <w:spacing w:after="0" w:line="1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including tovorafenib (DAY101), that receive marketing authorization will depend substantially, both in the United States and internationally, on the extent to which the costs of such product candidates will be covered and reimbursed by third-party payors, as patients who are prescribed medicine for the treatment of their condition generally rely on third-party payors to reimburse all or part of the costs associated with their prescription drugs. Further, coverage and adequate reimbursement from governmental healthcare programs such as Medicare and Medicaid, and commercial payors is critical to new product acceptance.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authorization. If coverage and reimbursement are not available or reimbursement is available only to limited levels, we may not successfully commercialize any product candidate for which we obtain marketing authorization.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9" w:name="page50"/>
    <w:bookmarkEnd w:id="49"/>
    <w:p>
      <w:pPr>
        <w:spacing w:after="0" w:line="254"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particularly pediatric products. The payor mix for pediatric products in the United States is a fragmented combination of state-specific Medicaid policies and a broad universe of private insurance companies. There is no consistent policy or leading payor to inform other price-setting entities. National payor policies are expected to be critical to our ability to achieve broad payment coverage. Further, to the extent our products obtain coverage by one third-party payor, one third-party payor’s determination to provide coverage for a product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p>
    <w:p>
      <w:pPr>
        <w:spacing w:after="0" w:line="5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products on an approved list, known as a formulary, which might not include all FDA-approved drugs for a particular indication. We plan to conduct expensive pharmaco-economic studies to demonstrate the medical necessity and cost-effectiveness of our products. Nonetheless, our product candidates may not be considered medically necessary or cost-effective. Moreover, third-party payor coverage decisions may depend upon clinical and economic standards that disfavor new drug products when more established or lower cost therapeutic alternatives are already available or subsequently become available. We cannot be sure that coverage and reimbursement will be available for any product that we commercialize and, if reimbursement is available, what the level of reimbursement will be.</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complementary and companion diagnostic tests require coverage and reimbursement separate and apart from the coverage and reimbursement for related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8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medicinal product prices are subject to varying price control mechanisms as part of national health systems. In these countries, pricing negotiations with governmental authorities can take considerable time after a product receives marketing authorization.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6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Coverage policies and third-party payor reimbursement rates may change at any time. Even if favorable coverage and reimbursement status is attained for one or more products for which we receive marketing authorization, less favorable coverage policies and reimbursement rates may be implemented in the future.</w:t>
      </w:r>
    </w:p>
    <w:p>
      <w:pPr>
        <w:spacing w:after="0" w:line="76" w:lineRule="exact"/>
        <w:rPr>
          <w:sz w:val="20"/>
          <w:szCs w:val="20"/>
          <w:color w:val="auto"/>
        </w:rPr>
      </w:pPr>
    </w:p>
    <w:p>
      <w:pPr>
        <w:ind w:right="320" w:firstLine="4"/>
        <w:spacing w:after="0" w:line="255"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0" w:name="page51"/>
    <w:bookmarkEnd w:id="50"/>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commercializing tovorafenib (DAY101) and any future products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The development and commercialization of pharmaceutical products are subject to extensive regulation, and we may not obtain marketing authorizations for tovorafenib (DAY101), pimasertib or any future product candidates, on a timely basis or at all.</w:t>
      </w:r>
    </w:p>
    <w:p>
      <w:pPr>
        <w:spacing w:after="0" w:line="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tovorafenib (DAY101) and pimasertib, currently our only product candidates in planned or ongoing clinical trials, as well as any other product candidate that we may develop in the future, are subject to extensive regulation. Marketing authorization of drugs in the United States requires the submission of an NDA to FDA. An NDA must be supported by extensive clinical and preclinical data, as well as extensive information regarding pharmacology, chemistry, manufacturing and controls. We are not permitted to market any product candidate in the United States until we obtain approval from FDA of the NDA for that product.</w:t>
      </w:r>
    </w:p>
    <w:p>
      <w:pPr>
        <w:spacing w:after="0" w:line="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FDA may refer any application we submit to an advisory committee. An advisory committee is a panel of independent experts, including clinicians and other scientific experts, which reviews, evaluates and provides advice and recommendations to FDA as to whether the application should be approved and under what conditions. FDA is not bound by the recommendations of an advisory committee, but it considers such recommendations carefully when making decisions.</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FDA approval of an NDA is not guaranteed, and the review and approval process is an expensive and uncertain process, over which the FDA has substantial discretion, that may take several years. The number and types of preclinical studies and clinical trials that will be required for NDA approval vary depending on the product candidate, the disease or the condition that the product candidate is designed to treat and the regulations applicable to any particular product candidate. Of the large number of drugs in development in the United States, only a small percentage will successfully complete the FDA marketing authorization process and will be commercialized. The FDA approved our NDA and granted priority review for tovorafenib (DAY101) as a monotherapy in relapsed or progressive pLGG. However, there can be no assurance that any of our product candidates will receive marketing authorization in the United States or in other jurisdictions. Additionally, in connection with the FDA’s approval of tovorafenib (DAY101) for market authorization, if granted, we may be subject to certain approval requirements or other post-marketing commitments. If we fail to comply with such requirements or if the results of our clinical trials are negative, the FDA could withdraw approval, add warnings or narrow the approved indication in the product label.</w:t>
      </w:r>
    </w:p>
    <w:p>
      <w:pPr>
        <w:spacing w:after="0" w:line="5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in May 2022, the Oncology Center of Excellence within the FDA has recently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spacing w:after="0" w:line="272" w:lineRule="auto"/>
        <w:rPr>
          <w:sz w:val="20"/>
          <w:szCs w:val="20"/>
          <w:color w:val="auto"/>
        </w:rPr>
      </w:pPr>
      <w:r>
        <w:rPr>
          <w:rFonts w:ascii="Arial" w:cs="Arial" w:eastAsia="Arial" w:hAnsi="Arial"/>
          <w:sz w:val="17"/>
          <w:szCs w:val="17"/>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authorization. On the basis of our clinical trials, the FDA could delay, limit or deny approval of a product candidate for many reasons, including because the FDA may:</w:t>
      </w:r>
    </w:p>
    <w:p>
      <w:pPr>
        <w:spacing w:after="0" w:line="69"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deem our product candidate to be safe and effective;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determine that the product candidate does not have an acceptable benefit-risk profile;</w:t>
      </w:r>
    </w:p>
    <w:p>
      <w:pPr>
        <w:spacing w:after="0" w:line="117" w:lineRule="exact"/>
        <w:rPr>
          <w:rFonts w:ascii="Arial" w:cs="Arial" w:eastAsia="Arial" w:hAnsi="Arial"/>
          <w:sz w:val="18"/>
          <w:szCs w:val="18"/>
          <w:color w:val="auto"/>
        </w:rPr>
      </w:pPr>
    </w:p>
    <w:p>
      <w:pPr>
        <w:ind w:left="520" w:right="460" w:hanging="512"/>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determine in the case of an NDA seeking accelerated approval that the NDA does not provide evidence that the product candidate represents a meaningful advantage over available therapies and, therefore, may deny approval;</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determine that ORR as the primary endpoint, complemented by key secondary endpoints, is insufficient to reliably define clinical benefit;</w:t>
      </w:r>
    </w:p>
    <w:p>
      <w:pPr>
        <w:spacing w:after="0" w:line="128" w:lineRule="exact"/>
        <w:rPr>
          <w:rFonts w:ascii="Arial" w:cs="Arial" w:eastAsia="Arial" w:hAnsi="Arial"/>
          <w:sz w:val="17"/>
          <w:szCs w:val="17"/>
          <w:color w:val="auto"/>
        </w:rPr>
      </w:pPr>
    </w:p>
    <w:p>
      <w:pPr>
        <w:ind w:left="520" w:right="60" w:hanging="512"/>
        <w:spacing w:after="0" w:line="308"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not agree that the data collected from preclinical studies and clinical trials are acceptable or sufficient to support the submission of an NDA or other submission or to obtain marketing authorization, and may impose requirements for additional preclinical studies or clinical trials;</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determine that adverse events experienced by participants in our clinical trials represent an unacceptable level of risk;</w:t>
      </w:r>
    </w:p>
    <w:p>
      <w:pPr>
        <w:spacing w:after="0" w:line="117" w:lineRule="exact"/>
        <w:rPr>
          <w:rFonts w:ascii="Arial" w:cs="Arial" w:eastAsia="Arial" w:hAnsi="Arial"/>
          <w:sz w:val="18"/>
          <w:szCs w:val="18"/>
          <w:color w:val="auto"/>
        </w:rPr>
      </w:pPr>
    </w:p>
    <w:p>
      <w:pPr>
        <w:ind w:left="520" w:right="280" w:hanging="512"/>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determine that the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disagree regarding the formulation, labeling and/or the specifications;</w:t>
      </w:r>
    </w:p>
    <w:p>
      <w:pPr>
        <w:spacing w:after="0" w:line="117" w:lineRule="exact"/>
        <w:rPr>
          <w:rFonts w:ascii="Arial" w:cs="Arial" w:eastAsia="Arial" w:hAnsi="Arial"/>
          <w:sz w:val="18"/>
          <w:szCs w:val="18"/>
          <w:color w:val="auto"/>
        </w:rPr>
      </w:pPr>
    </w:p>
    <w:p>
      <w:pPr>
        <w:ind w:left="520" w:right="340" w:hanging="512"/>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approve the manufacturing processes associated with our product candidate or may determine that a manufacturing facility does not have an acceptable compliance status;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approval policies or adopt new regulations; 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file a submission due to, among other reasons, the content or formatting of the submission.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not yet obtained FDA approval for any product. This lack of experience may impede our ability to obtain FDA approval in a timely manner, if at all, for our clinical product candidates. Furthermore, even if we receive FDA approval, there is no assurance that we will receive similar approval from comparable regulatory authorities in foreign jurisdictions, which may limit our addressable market and could adversely affect our business, prospects, financial condition and results of operations.</w:t>
      </w:r>
    </w:p>
    <w:p>
      <w:pPr>
        <w:spacing w:after="0" w:line="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we experience delays in obtaining approval or if we fail to obtain approval of tovorafenib (DAY101) or pimasertib, or our future product candidates, if any, our commercial prospects will be harmed and our ability to generate revenues will be materially impaired, which would adversely affect our business, prospects, financial condition and results of operations.</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seek to utilize any of FDA’s expedited programs, FDA may not find our product candidates to be eligible for these programs and, if granted, these programs may not lead to faster development, regulatory review or approval of our product candidates.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FDA has several expedited programs, including Fast Track, Priority Review, Breakthrough Therapy, and Accelerated Approval, which are authorized by the Federal Food, Drug and Cosmetic Act, or FD&amp;C Act, and implemented pursuant to FDA regulations and guidance. None of these programs change the standard for FDA approval of a pharmaceutical product. We still must demonstrate substantial evidence of effectiveness and an acceptable safety profile to obtain marketing authorization. In October 2023, the FDA accepted our NDA and granted priority review for tovorafenib (DAY101) as a monotherapy in relapsed or progressive PLGG. We may seek to avail ourselves of priority review with respect to one or more of our product candidates in the future or of another of the FDA’s expedited programs.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For example, we may seek Fast Track Designation for one or more of our product candidates.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FDA may grant a Fast Track designation to a drug that is intended for the treatment of a serious or life-threatening condition and nonclinical or clinical data demonstrates the potential to address unmet medical needs for this condition. FDA has broad discretion whether to grant this designation, so even if we believe a particular product candidate is eligible for this designation, we cannot assure you that FDA would decide to grant it. FDA may withdraw Fast Track Designation if it believes that the designation is no longer supported by data from our clinical development program.</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60"/>
        <w:spacing w:after="0" w:line="290" w:lineRule="auto"/>
        <w:rPr>
          <w:sz w:val="20"/>
          <w:szCs w:val="20"/>
          <w:color w:val="auto"/>
        </w:rPr>
      </w:pPr>
      <w:r>
        <w:rPr>
          <w:rFonts w:ascii="Arial" w:cs="Arial" w:eastAsia="Arial" w:hAnsi="Arial"/>
          <w:sz w:val="16"/>
          <w:szCs w:val="16"/>
          <w:color w:val="auto"/>
        </w:rPr>
        <w:t>We have applied for and have been granted Breakthrough Therapy Designation for tovorafenib (DAY101) in patients with advanced pLGG, and we may apply for Breakthrough Therapy Designation for other product candidates or indications. FDA may designate a drug as a potential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FDA and the sponsor of the trial can help to identify the most efficient path for clinical development while minimizing the number of patients placed in ineffective control regimens. Drugs designated as breakthrough therapies by FDA are also eligible for priority review if supported by clinical data at the time of the submission of the NDA. FDA may withdraw Breakthrough Therapy Designations if it determines that the criteria for the designation is no longer met.</w:t>
      </w:r>
    </w:p>
    <w:p>
      <w:pPr>
        <w:spacing w:after="0" w:line="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October 2023, the FDA accepted our NDA and granted priority review for tovorafenib (DAY101) as a monotherapy in relapsed or progressive pLGG. We may seek Priority Review of one or more of our other applications for marketing authorization, or we may receive Priority Review as part of other designations we may seek for one or more of our other product candidates. FDA may grant Priority Review to an application if an application is for a drug that treats a serious condition and, if approved, would provide a significant improvement in safety or effectiveness. FDA may also grant Priority Review to supplements that propose a labeling change pursuant to a report on a pediatric study under Section 505A of the FD&amp;C Act. Additionally, FDA may grant Priority Review to any application or supplement for a drug submitted with a priority review voucher. We cannot assure you that FDA would decide to grant Priority Review of any of our product candidates.</w:t>
      </w:r>
    </w:p>
    <w:p>
      <w:pPr>
        <w:spacing w:after="0" w:line="6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we do receive Fast Track Designation, Breakthrough Therapy Designation, or Priority Review for any of our product candidates, we may not experience expedited development, review or faster action on our applications for marketing authorization compared to products without such designations.</w:t>
      </w:r>
    </w:p>
    <w:p>
      <w:pPr>
        <w:spacing w:after="0" w:line="23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The accelerated approval pathway may be unavailable or, if available, may not lead to faster development, regulatory review, or marketing authorization, and the use of the accelerated approval pathway does not necessarily increase the likelihood that our product candidates will receive marketing authorization.</w:t>
      </w:r>
    </w:p>
    <w:p>
      <w:pPr>
        <w:spacing w:after="0" w:line="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FDA’s Accelerated Approval Program, and subject to the conditions set forth in section 506(c) of the FD&amp;C Act and FDA regulations,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FDA generally reserves the use of accelerated approvals for situations in which the product candidate at issue provides a meaningful therapeutic benefit over existing treatments.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seek accelerated approval for one or more of our product candidates on the basis of a surrogate endpoint that we believe is reasonably likely to predict clinical benefit, such as overall response rate, or ORR. FDA may not agree with our conclusion that an endpoint we select is reasonably likely to predict clinical benefit, and thus FDA may not agree that accelerated approval is appropriate based on that endpoint (even if the results on that endpoint are statistically significant), which could delay or preclude accelerated approval.</w:t>
      </w:r>
    </w:p>
    <w:p>
      <w:pPr>
        <w:spacing w:after="0" w:line="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Products granted accelerated approval are subject to certain post-marketing requirements, which typically includes a requirement to conduct one or more post-approval studies to confirm the clinical benefit of the product, which must be completed with due diligence. By the time of approval of the product, FDA must set forth the conditions for the post-marketing studies which may include specific conditions and deadlines relating to the study protocol, enrollment targets, target completion date, and other milestones. FDA generally expects—and may require, as appropriate—the confirmatory study or studies to be underway at the time of the accelerated approval or within a specific time frame following approval. FDA may disagree with our proposed clinical study designs for post-marketing confirmatory studies, and may require study conditions that are unfavorable to us, which could delay approval or lead to the withdrawal of a product approved under the accelerated approval pathway.</w:t>
      </w:r>
    </w:p>
    <w:p>
      <w:pPr>
        <w:spacing w:after="0" w:line="6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addition, FDA regulations require that sponsors of products granted accelerated approval submit during the pre-approval review period copies of all promotional materials intended to be used within 120 days following marketing approval. After 120 days following marketing approval, unless otherwise informed by FDA, the sponsor must submit all promotional materials at least 30 days prior to use.</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accelerated approval pathway has come under scrutiny within FDA, by Congress, and by other stakeholders. FDA has put increased focus on ensuring that confirmatory studies are conducted with diligence and, ultimately, that such studies confirm the benefit. For example, FDA has convened its Oncologic Drugs Advisory Committee to review what FDA has called dangling or delinquent accelerated approvals where confirmatory studies have not been completed or where results did not confirm benefit. In addition, in 2021, the Oncology Center of Excellence announced Project Confirm, which is an initiative to promote the transparency of outcomes related to accelerated approvals for oncology indications and provide a framework to foster discussion, research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280"/>
        <w:spacing w:after="0" w:line="277" w:lineRule="auto"/>
        <w:rPr>
          <w:sz w:val="20"/>
          <w:szCs w:val="20"/>
          <w:color w:val="auto"/>
        </w:rPr>
      </w:pPr>
      <w:r>
        <w:rPr>
          <w:rFonts w:ascii="Arial" w:cs="Arial" w:eastAsia="Arial" w:hAnsi="Arial"/>
          <w:sz w:val="18"/>
          <w:szCs w:val="18"/>
          <w:color w:val="auto"/>
        </w:rPr>
        <w:t>innovation in approval and post-marketing processes, with the goal to enhance the balance of access and verification of benefit for therapies available to patients with cancer and hematologic malignancies.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Finally, Congress recently passed the Food and Drug Omnibus Reform Act of 2022, or FDORA, which implemented key reforms to FDA’s authorities with respect to accelerated approval, including strengthening requirements around post-approval studies, codifying procedures for withdrawal of a product approved under the expedited approval pathway, and establishing an intra-agency Accelerated Approval Council to address accelerated approval policy. FDORA also added the failure to conduct post-approval studies with due diligence or to submit timely progress reports on such studies to the list of prohibited acts under the FD&amp;C Act, which means that any such failures, whether they result from our actions or the actions of third parties, could provide the basis for enforcement actions to be brought against us, which may be costly to defend or we may be unsuccessful in our defense.</w:t>
      </w:r>
    </w:p>
    <w:p>
      <w:pPr>
        <w:spacing w:after="0" w:line="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FDA also has the authority to withdraw products approved under the accelerated approval pathway using expedited withdrawal procedures. Circumstances that may lead to such withdrawal include:</w:t>
      </w:r>
    </w:p>
    <w:p>
      <w:pPr>
        <w:spacing w:after="0" w:line="62" w:lineRule="exact"/>
        <w:rPr>
          <w:sz w:val="20"/>
          <w:szCs w:val="20"/>
          <w:color w:val="auto"/>
        </w:rPr>
      </w:pPr>
    </w:p>
    <w:p>
      <w:pPr>
        <w:ind w:left="520" w:right="240" w:hanging="512"/>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fail to conduct any required post-approval study of our product candidate with due diligence, including with respect to conditions specified by FDA;</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study required to verify and describe the predicted clinical benefit of our product candidate fail to verify and describe such benefit;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 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11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at all.</w:t>
      </w:r>
    </w:p>
    <w:p>
      <w:pPr>
        <w:spacing w:after="0" w:line="29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Even though we have received Breakthrough Therapy Designation by the FDA for tovorafenib (DAY101) in treating pLGG, such designation may not lead to a faster development or regulatory review or approval process, it does not increase the likelihood that tovorafenib (DAY101) will receive marketing authorization, and we may not receive Breakthrough Therapy Designation for other product candidates.</w:t>
      </w:r>
    </w:p>
    <w:p>
      <w:pPr>
        <w:spacing w:after="0" w:line="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received Breakthrough Therapy Designation from FDA for the use of tovorafenib (DAY101) in patients with advanced pLGG. Although we have received this designation, we may not experience faster development timelines or achieve faster review or approval compared to conventional FDA procedures. For example, the time required to identify and resolve issues relating to manufacturing and controls, the acquisition of a sufficient supply of our product for clinical trial purposes or the need to conduct additional nonclinical or clinical studies may delay the submission or review of an application for marketing authorization,, regardless of whether a product qualifies for Breakthrough Therapy Designation or access to any other expedited program. Access to an expedited program may also be withdrawn by FDA if it believes that the designation is no longer supported by data from our clinical development program. Additionally, qualification for any Breakthrough Therapy Designation or any of FDA’s other expedited programs does not ensure that we will ultimately obtain marketing authorization for such product.</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Receiving Breakthrough Therapy Designation for one product candidate does not increase the likelihood that we would receive Breakthrough Therapy Designation for other product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obtained orphan drug designation in the United States and in the EU for use of tovorafenib (DAY101) in treating malignant glioma and glioma, respectively. We may seek orphan drug designation for tovorafenib (DAY101) in additional geographies or indications, or for pimasertib or any product candidates we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and making available the drug for such disease or condition will be recovered from sales of the product in the United States.</w:t>
      </w:r>
    </w:p>
    <w:p>
      <w:pPr>
        <w:spacing w:after="0" w:line="6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Generally, if a product with a U.S. orphan drug designation subsequently receives the first marketing authorization for the drug for the indication for which it has such designation, the product is entitled to a period of marketing exclusivity, which precludes FDA from approving another marketing application for the same drug for the same indication for a period of seven years. Orphan drug exclusivity in the United States may be lost if FDA determines that the request for designation was materially defective or the drug in fact was ineligible for orphan-drug designation at the time the request for designation was submitted, or if the manufacturer is unable to assure sufficient quantity of the drug to meet the needs of patients with the rare disease or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80"/>
        <w:spacing w:after="0" w:line="255" w:lineRule="auto"/>
        <w:rPr>
          <w:sz w:val="20"/>
          <w:szCs w:val="20"/>
          <w:color w:val="auto"/>
        </w:rPr>
      </w:pPr>
      <w:r>
        <w:rPr>
          <w:rFonts w:ascii="Arial" w:cs="Arial" w:eastAsia="Arial" w:hAnsi="Arial"/>
          <w:sz w:val="18"/>
          <w:szCs w:val="18"/>
          <w:color w:val="auto"/>
        </w:rPr>
        <w:t>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p>
    <w:p>
      <w:pPr>
        <w:spacing w:after="0" w:line="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EU, if a medicinal product is granted marketing authorization as an orphan medicinal product, it benefits from a period of orphan market exclusivity during which the European Medicines Agency, or the EMA, or a national regulator may not accept a marketing authorization application for a similar medicinal product in the same orphan indication. The applicable period of orphan exclusivity is ten years in the EU, but this can be reduced to six years if a drug no longer meets the criteria for orphan drug designation. The EMA or a national regulator may accept an application and grant a marketing authorization for a similar medicinal product for the orphan indication during the exclusivity period if the similar product is safer, more effective or otherwise clinically superior to the orphan product.</w:t>
      </w:r>
    </w:p>
    <w:p>
      <w:pPr>
        <w:spacing w:after="0" w:line="84"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other incentives associated with orphan drug designation.</w:t>
      </w:r>
    </w:p>
    <w:p>
      <w:pPr>
        <w:spacing w:after="0" w:line="4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Moreover, a recent Eleventh Circuit decision in Catalyst Pharmaceuticals, Inc. vs. FDA regarding interpretation of the Orphan Drug Act exclusivity provisions as applied to drugs approved for orphan indications narrower than the drug’s orphan designation has the potential to significantly broaden the scope of orphan drug exclusivity for such products. Specifically, the Eleventh Circuit held that orphan drug exclusivity precludes FDA from approving another marketing application for the same drug for the same orphan-designated disease or condition for a period of seven years. Although FDA has announced that it will not apply the Catalyst decision beyond the facts at issue in that case, Catalyst could serve as a precedent for future challenges to FDA’s orphan drug-related decisions, and, accordingly, could fundamentally change how companies rely on, or seek to work around, orphan drug exclusivity in the United States. Legislation has also been introduced that may reverse the Catalyst decision, but such legislation is still in early stages and has not been passed.</w:t>
      </w:r>
    </w:p>
    <w:p>
      <w:pPr>
        <w:spacing w:after="0" w:line="30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must comply with certain legal requirements and FDA policies, and may seek incentives under certain laws, relating to the development of drugs for pediatric patients, including the Pediatric Research Equity Act and the Best Pharmaceuticals for Children Act.</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Pediatric Research Equity Act, as amended, or PREA, requires that certain NDAs, Biologics License Applications, or BLAs, and NDA/BLA supplements contain assessment reports regarding the safety and efficacy of the product for the claimed indications in all relevant pediatric subpopulations to support dosing and administration for each pediatric subpopulation for which the product has been assessed to be safe and effective. In addition, PREA requires a molecularly targeted pediatric cancer investigation for an original NDA or BLA for a new active ingredient if the product candidate is intended to treat an adult cancer and is directed at a molecular target that FDA determines to be substantially relevant to the growth or progression of a pediatric cancer, which may be different than the claimed adult cancer indication. PREA requires these pediatric studies be conducted using appropriate formulations for each age group that is studied, and an applicant must seek approval of any pediatric formulations that are used. FDA may grant deferrals of PREA requirements or full or partial waivers. Unless otherwise required by regulation, PREA does not apply to a drug for an indication for which orphan designation has been granted, except that PREA will apply to an original NDA or BLA that is subject to the molecularly targeted pediatric cancer investigation requirement. Even if we are deemed exempt from PREA requirements for one application, other applications may be subject to PREA requirements.</w:t>
      </w:r>
    </w:p>
    <w:p>
      <w:pPr>
        <w:spacing w:after="0" w:line="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Best Pharmaceuticals for Children Act, or the BPCA, FDA can grant pediatric exclusivity to a sponsor that conducts pediatric studies requested by FDA in a document called a Written Request. We may seek pediatric exclusivity for one or more of our product candidates under the BPCA, although we may not be granted such exclusivity. Pediatric exclusivity, if granted, adds six months to the end of certain unexpired statutory exclusivity periods and may also extend unexpired patent terms, depending on whether the application is an NDA or BLA. Whether this six-month extension is granted depends on the voluntary completion of pediatric studies in accordance with and in response to a Written Request for such studies, the submission of the study reports to FDA within the timeframe required by the BPCA, and FDA’s acceptance of the study reports. FDA has indicated a strong preference to issue Written Requests only for studies that are in addition to and/or different from pediatric studies required under PREA (if applicable).</w:t>
      </w:r>
    </w:p>
    <w:p>
      <w:pPr>
        <w:spacing w:after="0" w:line="5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 general, pediatric drug development is an area that recently has been, and may continue to be, subject to evolving statutory requirements and regulatory standards, so some uncertainty exists with respect to expectations for pediatric drug development generally.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spacing w:after="0" w:line="259" w:lineRule="auto"/>
        <w:rPr>
          <w:sz w:val="20"/>
          <w:szCs w:val="20"/>
          <w:color w:val="auto"/>
        </w:rPr>
      </w:pPr>
      <w:r>
        <w:rPr>
          <w:rFonts w:ascii="Arial" w:cs="Arial" w:eastAsia="Arial" w:hAnsi="Arial"/>
          <w:sz w:val="18"/>
          <w:szCs w:val="18"/>
          <w:b w:val="1"/>
          <w:bCs w:val="1"/>
          <w:i w:val="1"/>
          <w:iCs w:val="1"/>
          <w:color w:val="auto"/>
        </w:rPr>
        <w:t>We may seek a rare pediatric disease designation for one or more of our product candidates under FDA’s Rare Pediatric Disease Priority Review Voucher program. Even if we were to obtain marketing authorization for a product with a rare pediatric disease designation, the Rare Pediatric Disease Priority Review Voucher program may no longer be in effect at the time of such approval or we might not be able to capture the value of the Rare Pediatric Disease Priority Review Voucher program.</w:t>
      </w:r>
    </w:p>
    <w:p>
      <w:pPr>
        <w:spacing w:after="0" w:line="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Tovorafenib (DAY101) was granted rare pediatric designation by the FDA in May 2021 for tovorafenib (DAY101) in the treatment of LGGs harboring an activating RAF alteration that disproportionately affects children. We intend to submit the initial tovorafenib (DAY101) NDA as a rare pediatric designation marketing application which may or may not be designated as such by the FDA upon review.</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w:t>
      </w:r>
    </w:p>
    <w:p>
      <w:pPr>
        <w:spacing w:after="0" w:line="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or realize any value if we receive and were to sell the voucher.</w:t>
      </w:r>
    </w:p>
    <w:p>
      <w:pPr>
        <w:spacing w:after="0" w:line="5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priority review voucher upon approval.</w:t>
      </w:r>
    </w:p>
    <w:p>
      <w:pPr>
        <w:spacing w:after="0" w:line="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Moreover, under the current statutory sunset provisions, FDA generally may not award rare pediatric disease priority review vouchers after September 30, 2024. However, if the sponsor has received rare pediatric disease designation for a drug no later than September 30, 2024, FDA may award a rare pediatric disease priority review voucher if the drug is approved by September 30, 2026.</w:t>
      </w:r>
    </w:p>
    <w:p>
      <w:pPr>
        <w:spacing w:after="0" w:line="292"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If we or a business partner are unable to successfully develop, validate, obtain marketing authorization of and commercialize any companion diagnostic tests that are deemed necessary for the use of any of our product candidates, or experience significant delays in doing so, we may not be able to obtain marketing authorization for, or realize the full commercial potential of, one or more of our product candidates.</w:t>
      </w:r>
    </w:p>
    <w:p>
      <w:pPr>
        <w:spacing w:after="0" w:line="4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Diagnostic tests can be useful in identifying patients who are most likely to benefit from a particular therapeutic drug product, among other potential uses. If a regulatory authority determines that an in vitro diagnostic test is necessary for the safe and effective use of a corresponding therapeutic product, that test is referred to as a “companion diagnostic.” Diagnostics that are not essential for the safe and effective use of a therapeutic product but that may aid in the benefit-risk decision-making about the use of the therapeutic product (such as to identify a subset of the indicated patient population for the therapeutic product that may respond particularly well) are typically referred to as “complementary diagnostics.” In the future, we may evaluate opportunities to develop, either by ourselves or with collaborators, companion or complementary diagnostic tests for our product candidates for certain indications.</w:t>
      </w:r>
    </w:p>
    <w:p>
      <w:pPr>
        <w:spacing w:after="0" w:line="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a companion diagnostic is needed for a therapeutic product, the companion diagnostic is generally developed in conjunction with the clinical program for an associated therapeutic product. To date, FDA has required premarket approval of the vast majority of companion diagnostics for cancer therapies. Generally, when a companion diagnostic is essential to the safe and effective use of a drug product, FDA generally requires that the companion diagnostic be approved before or concurrent with approval of the therapeutic product and before such product can be commercialized (except in limited circumstances). Where a companion diagnostic must be used to identify patients who are likely to benefit from the therapeutic product, the therapeutic product’s labeling typically limits the use of the therapeutic product to only those patients who express the specific genetic alteration or other biomarker that the companion diagnostic was developed to detect. By contrast, complementary diagnostics are not typically referenced in the indications for the therapeutic product (i.e., the therapeutic product is not limited to use in biomarker positive patients) but the complementary diagnostic may be described in other areas of the therapeutic product labeling, such as when describing clinical study results for biomarker positive and negative patient subpopulations. While a complementary diagnostic is also typically developed in conjunction with the clinical program for an associated therapeutic product, FDA may not require that the complementary diagnostic be approved before or concurrent with approval of the therapeutic product.</w:t>
      </w:r>
    </w:p>
    <w:p>
      <w:pPr>
        <w:spacing w:after="0" w:line="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Development of a companion or complementary diagnostic could include additional meetings with regulatory authorities, such as a pre-submission meeting and the requirement to comply with FDA’s investigational device exemption regulations for clinical studies involving the diagnostic. In the case of an investigational diagnostic that is designated as “significant risk device,” approval of an investigational device exemption application by an IRB and FDA is required before such diagnostic may be used in conjunction with the clinical trials for a corresponding product candidate.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6" w:name="page57"/>
    <w:bookmarkEnd w:id="56"/>
    <w:p>
      <w:pPr>
        <w:spacing w:after="0" w:line="268" w:lineRule="auto"/>
        <w:rPr>
          <w:sz w:val="20"/>
          <w:szCs w:val="20"/>
          <w:color w:val="auto"/>
        </w:rPr>
      </w:pPr>
      <w:r>
        <w:rPr>
          <w:rFonts w:ascii="Arial" w:cs="Arial" w:eastAsia="Arial" w:hAnsi="Arial"/>
          <w:sz w:val="17"/>
          <w:szCs w:val="17"/>
          <w:color w:val="auto"/>
        </w:rPr>
        <w:t>To be successful in developing, validating, obtaining approval of and commercializing a companion or complementary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companion diagnostic tests or would benefit from complementary diagnostics, the application for and receipt of any required marketing authorizations, and the commercial supply of these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authorization, and we may not realize the full commercial potential of any of these therapeutics that obtain marketing authorization.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marketing authorizations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how to explain it to patients, or dedicate staff to using it. Any failure to do so could materially harm our business, results of operations and financial condition.</w:t>
      </w:r>
    </w:p>
    <w:p>
      <w:pPr>
        <w:spacing w:after="0" w:line="288"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i w:val="1"/>
          <w:iCs w:val="1"/>
          <w:color w:val="auto"/>
        </w:rPr>
        <w:t>Even if we obtain marketing authorization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Even if marketing authorization of a product candidate, such as tovorafenib (DAY101), is granted, an approved product and the marketing authorization holder are subject to ongoing regulation by FDA and other regulators. Regulators may impose post-marketing requirements and elicit post-marketing commitments, which may be onerous and subject us to ongoing review and extensive regulation. For example, FDA may request or require post-marketing clinical studies, enhanced pharmacovigilance programs, additional reporting requirements, and other obligations at the time of approval or after approval. FDA also may impose a REMS under Section 505-1 of the FD&amp;C Act in order to ensure that the benefits of our product candidates outweigh their risks. Additionally, either at the time or approval or after approval, FDA could invoke its authority under Section 505(o) of the FD&amp;C Act and require costly post-marketing safety studies, including clinical trials, and/or epidemiologic surveillance to monitor the safety of our approved products in order to assess a known risk related to the product, assess signals of serious risks related to the product, or identify an unexpected serious risk when available data indicates the potential for a serious risk.</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any product candidates for which we receive accelerated approval from FDA are required to undergo one or more clinical trials to confirm the clinical benefit of the product. If confirmatory studies fail to meet their efficacy endpoints, FDA may withdraw approval of the product pursuant to expedited withdrawal authorities. There is no assurance that any such product will successfully advance through its confirmatory clinical trial(s). Therefore, even if a product candidate receives accelerated approval from FDA, such approval may be withdrawn at a later date.</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authorization. Further, there are additional requirements regarding promotional communications if our products are approved through the accelerated approval pathway.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 including pre-approval inspections of any manufacturing facilities proposed to commercially manufacture our product candidates, the success of which would be required prior to a commercial product launch. Accordingly, assuming we obtain marketing authorization for one or more of our product candidates, we and our CMOs will continue to expend time, money and effort in all areas of regulatory compliance, including manufacturing, production, product surveillance and quality control.</w:t>
      </w:r>
    </w:p>
    <w:p>
      <w:pPr>
        <w:spacing w:after="0" w:line="6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If we are not able to comply with all of our post-approval regulatory requirements, we could have the marketing authorizations for our products withdrawn by regulatory authorities and our ability to market any future products could be limited, which could adversely affect our ability to achieve or sustain profitability. In addition, the cost of compliance with post-approval regulations may have a negative effect on our operating results and financial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ind w:right="40"/>
        <w:spacing w:after="0" w:line="259" w:lineRule="auto"/>
        <w:rPr>
          <w:sz w:val="20"/>
          <w:szCs w:val="20"/>
          <w:color w:val="auto"/>
        </w:rPr>
      </w:pPr>
      <w:r>
        <w:rPr>
          <w:rFonts w:ascii="Arial" w:cs="Arial" w:eastAsia="Arial" w:hAnsi="Arial"/>
          <w:sz w:val="18"/>
          <w:szCs w:val="18"/>
          <w:b w:val="1"/>
          <w:bCs w:val="1"/>
          <w:i w:val="1"/>
          <w:iCs w:val="1"/>
          <w:color w:val="auto"/>
        </w:rPr>
        <w:t>Any product candidate for which we obtain marketing authorization, including tovorafenib (DAY101),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product candidate for which we obtain marketing authorization, such as tovorafenib (DAY101),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FD&amp;C Act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84"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voluntary or mandatory recall of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or withdrawal of marketing authorizations;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media coverage and damage to our reputation;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 Further, if any of these actions were to occur, we may have to discontinue the commercialization of our product candidates, including tovorafenib (DAY101), limit our sales and marketing efforts, conduct further post-approval studies, and/or discontinue or change any other ongoing clinical studies, which in turn could result in significant expense and delay or limit our ability to generate sales revenues.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8" w:name="page59"/>
    <w:bookmarkEnd w:id="58"/>
    <w:p>
      <w:pPr>
        <w:ind w:right="20"/>
        <w:spacing w:after="0" w:line="263" w:lineRule="auto"/>
        <w:rPr>
          <w:sz w:val="20"/>
          <w:szCs w:val="20"/>
          <w:color w:val="auto"/>
        </w:rPr>
      </w:pPr>
      <w:r>
        <w:rPr>
          <w:rFonts w:ascii="Arial" w:cs="Arial" w:eastAsia="Arial" w:hAnsi="Arial"/>
          <w:sz w:val="18"/>
          <w:szCs w:val="18"/>
          <w:b w:val="1"/>
          <w:bCs w:val="1"/>
          <w:i w:val="1"/>
          <w:iCs w:val="1"/>
          <w:color w:val="auto"/>
        </w:rPr>
        <w:t>Our failure to obtain marketing authorization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7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order to market and sell our products in any jurisdiction outside the United States, we must obtain separate marketing authorizations and comply with numerous and varying regulatory requirements. The approval procedure varies among countries and can involve additional testing. The time required to obtain approval may differ substantially from that required to obtain FDA approval.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authorizations and may not receive necessary approvals to commercialize our products in any market.</w:t>
      </w:r>
    </w:p>
    <w:p>
      <w:pPr>
        <w:spacing w:after="0" w:line="30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5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authorization.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authorization. Restrictions under applicable federal and state healthcare laws and regulations that may be applicable to our business include the following:</w:t>
      </w:r>
    </w:p>
    <w:p>
      <w:pPr>
        <w:spacing w:after="0" w:line="53" w:lineRule="exact"/>
        <w:rPr>
          <w:sz w:val="20"/>
          <w:szCs w:val="20"/>
          <w:color w:val="auto"/>
        </w:rPr>
      </w:pPr>
    </w:p>
    <w:p>
      <w:pPr>
        <w:ind w:left="520" w:right="120" w:hanging="512"/>
        <w:spacing w:after="0" w:line="259"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520" w:right="120" w:hanging="512"/>
        <w:spacing w:after="0" w:line="25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79" w:lineRule="exact"/>
        <w:rPr>
          <w:rFonts w:ascii="Arial" w:cs="Arial" w:eastAsia="Arial" w:hAnsi="Arial"/>
          <w:sz w:val="18"/>
          <w:szCs w:val="18"/>
          <w:color w:val="auto"/>
        </w:rPr>
      </w:pPr>
    </w:p>
    <w:p>
      <w:pPr>
        <w:ind w:left="520" w:right="420" w:hanging="512"/>
        <w:spacing w:after="0" w:line="301" w:lineRule="auto"/>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49" w:lineRule="exact"/>
        <w:rPr>
          <w:rFonts w:ascii="Arial" w:cs="Arial" w:eastAsia="Arial" w:hAnsi="Arial"/>
          <w:sz w:val="16"/>
          <w:szCs w:val="16"/>
          <w:color w:val="auto"/>
        </w:rPr>
      </w:pPr>
    </w:p>
    <w:p>
      <w:pPr>
        <w:ind w:left="520" w:right="60" w:hanging="512"/>
        <w:spacing w:after="0" w:line="279"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implementing regulations,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63" w:lineRule="exact"/>
        <w:rPr>
          <w:rFonts w:ascii="Arial" w:cs="Arial" w:eastAsia="Arial" w:hAnsi="Arial"/>
          <w:sz w:val="17"/>
          <w:szCs w:val="17"/>
          <w:color w:val="auto"/>
        </w:rPr>
      </w:pPr>
    </w:p>
    <w:p>
      <w:pPr>
        <w:ind w:left="520" w:right="100" w:hanging="512"/>
        <w:spacing w:after="0" w:line="284" w:lineRule="auto"/>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as well as ownership and investment interests held by physicians and their immediate family members. Beginning January 1, 2021, manufacturers are required to collect information regarding payments and transfers of value to physician assistants, nurse practitioners,</w:t>
      </w:r>
    </w:p>
    <w:p>
      <w:pPr>
        <w:spacing w:after="0" w:line="4" w:lineRule="exact"/>
        <w:rPr>
          <w:sz w:val="20"/>
          <w:szCs w:val="20"/>
          <w:color w:val="auto"/>
        </w:rPr>
      </w:pPr>
    </w:p>
    <w:p>
      <w:pPr>
        <w:ind w:left="520"/>
        <w:spacing w:after="0" w:line="250" w:lineRule="auto"/>
        <w:rPr>
          <w:sz w:val="20"/>
          <w:szCs w:val="20"/>
          <w:color w:val="auto"/>
        </w:rPr>
      </w:pPr>
      <w:r>
        <w:rPr>
          <w:rFonts w:ascii="Arial" w:cs="Arial" w:eastAsia="Arial" w:hAnsi="Arial"/>
          <w:sz w:val="18"/>
          <w:szCs w:val="18"/>
          <w:color w:val="auto"/>
        </w:rPr>
        <w:t>clinical nurse specialists, anesthesiologist assistants, certified nurse anesthetists and certified nurse-midwives for reporting in the following year. The reported information is made available on a public website;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ind w:left="520" w:hanging="512"/>
        <w:spacing w:after="0" w:line="290" w:lineRule="auto"/>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analogous non-U.S. fraud and abuse laws and regulations, may apply to sales or marketing arrangements and claims involving healthcare items or services reimbursed by state payors and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Certain state and local laws require the registration of pharmaceutical sales representatives. Certain state and non-U.S. laws, many of which differ from each other in significant ways and often are not preempted by HIPAA, also govern the privacy and security of health information in some circumstances, thus complicating compliance efforts.</w:t>
      </w:r>
    </w:p>
    <w:p>
      <w:pPr>
        <w:spacing w:after="0" w:line="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3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authorization of and commercialize our product candidates and decrease the prices we may obtain.</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authorization of our product candidates, restrict or regulate post-approval activities and affect our ability to profitably sell any product candidates for which we obtain marketing authorization.</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fees and taxes on manufacturers of certain branded prescription drugs;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w:t>
      </w:r>
    </w:p>
    <w:p>
      <w:pPr>
        <w:spacing w:after="0" w:line="117" w:lineRule="exact"/>
        <w:rPr>
          <w:rFonts w:ascii="Arial" w:cs="Arial" w:eastAsia="Arial" w:hAnsi="Arial"/>
          <w:sz w:val="18"/>
          <w:szCs w:val="18"/>
          <w:color w:val="auto"/>
        </w:rPr>
      </w:pPr>
    </w:p>
    <w:p>
      <w:pPr>
        <w:ind w:left="520" w:right="140" w:hanging="512"/>
        <w:spacing w:after="0" w:line="26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520" w:right="28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62"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report financial arrangements with physicians, as defined by such law, and teaching hospitals;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ind w:left="520" w:hanging="512"/>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There have been executive, judicial and Congressional challenges to repeal or replace certain aspects of the ACA, including measures taken during the former U.S. president’s administration. The Trump administration released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since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U.S. Supreme Court held oral arguments on the U.S. Court of Appeals for the Fifth Circuit’s decision that held that the individual mandate is unconstitutional. On February 10, 2021, the Biden administration withdrew the federal government’s support for overturning the ACA. In June 2021, the U.S. Supreme Court remanded the case with instructions to dismiss for lack of standing. However, the U.S. Supreme Court did not decide the ultimate issue of the validity of the individual mandate. Thus, there may be other efforts to challenge the individual mandate or to challenge, repeal or replace the ACA. It is unclear how the U.S. Supreme Court ruling, other such litigation and the healthcare reform measures of the current presidential administration will impact the ACA and our business.</w:t>
      </w:r>
    </w:p>
    <w:p>
      <w:pPr>
        <w:spacing w:after="0" w:line="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7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last presidential administration used several means to propose or implement drug pricing reform, including through federal budget proposals, executive orders, and policy initiatives. The current presidential administration is also focused on drug pricing.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selling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One statutory exemption from the negotiation program is for a drug that has only a single orphan drug designation and is approved only for an indication or indications within the scope of such designation. The negotiated prices, which for the first round of selected drugs announced September 1, 2023 will become effective in 2026,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IRA provisions will take effect progressively starting in 2023, although the drug negotiation provisions of the IRA are currently the subject of legal challenges. In addition, the Secretary of the HHS recently proposed testing three new models for pricing efficiency, including one that develops payment methods for drugs approved under accelerated approval, in consultation with the FDA, to encourage timely confirmatory trial completion and improve access to post-market safety and efficacy data with the goal of reducing Medicare spending on drugs that have no confirmed clinical benefit. Further, at the state level, individual states have increasingly introduced and passed legislation and implemented regulations designed to control pharmaceutical and biological product pricing, including: restricting price, reimbursement, discounts, product access, and marketing; imposing drug price and cost disclosure and transparency requirements; permitting importation from other countries; and encouraging bulk purchasing.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ind w:right="140"/>
        <w:spacing w:after="0" w:line="257" w:lineRule="auto"/>
        <w:rPr>
          <w:sz w:val="20"/>
          <w:szCs w:val="20"/>
          <w:color w:val="auto"/>
        </w:rPr>
      </w:pPr>
      <w:r>
        <w:rPr>
          <w:rFonts w:ascii="Arial" w:cs="Arial" w:eastAsia="Arial" w:hAnsi="Arial"/>
          <w:sz w:val="18"/>
          <w:szCs w:val="18"/>
          <w:color w:val="auto"/>
        </w:rPr>
        <w:t>We expect that additional state and federal healthcare reform measures, including potentially significant additional changes to current drug pricing and reimbursement structures, will be adopted in the future, particularly if there is a change in presidential administration. Current and future reform measures may result in more rigorous coverage criteria and in additional downward pressure on the prices that we receive for any approved product. The implementation of cost containment measures or other healthcare reforms may prevent us from being able to generate revenue, attain profitability, or commercialize our products.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authorizations of our product candidates, if any, may be. In addition, increased scrutiny by the U.S. Congress of the FDA’s approval process may significantly delay or prevent marketing authorization, as well as subject us to more stringent product labeling and post-marketing testing and other requirements. It is also possible that additional governmental action is taken in response to the COVID-19 pandemic.</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authorization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 In addition, the withdrawal of the United Kingdom, or UK, from its membership in the EU, often referred to as “Brexit,” could lead to further legal and regulatory uncertainty in the UK and may lead to the UK and EU adopting divergent laws and regulations, including those related to the pricing of prescription pharmaceuticals, as the UK determines which EU laws to replicate or replace. If the UK were to significantly alter its regulations affecting the pricing of prescription pharmaceuticals, we could face significant new costs. As a result, Brexit could impair our ability to transact business in the EU and the UK.</w:t>
      </w:r>
    </w:p>
    <w:p>
      <w:pPr>
        <w:spacing w:after="0" w:line="292"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6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87" w:lineRule="exact"/>
        <w:rPr>
          <w:sz w:val="20"/>
          <w:szCs w:val="20"/>
          <w:color w:val="auto"/>
        </w:rPr>
      </w:pPr>
    </w:p>
    <w:p>
      <w:pPr>
        <w:jc w:val="both"/>
        <w:ind w:right="500"/>
        <w:spacing w:after="0" w:line="279" w:lineRule="auto"/>
        <w:rPr>
          <w:sz w:val="20"/>
          <w:szCs w:val="20"/>
          <w:color w:val="auto"/>
        </w:rPr>
      </w:pPr>
      <w:r>
        <w:rPr>
          <w:rFonts w:ascii="Arial" w:cs="Arial" w:eastAsia="Arial" w:hAnsi="Arial"/>
          <w:sz w:val="17"/>
          <w:szCs w:val="17"/>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5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authorizations. We can be held liable for the corrupt or other illegal activities of our personnel, agents, or partners, even if we do not explicitly authorize or have prior knowledge of such activities.</w:t>
      </w:r>
    </w:p>
    <w:p>
      <w:pPr>
        <w:spacing w:after="0" w:line="7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developing our current product candidates, and may continue to develop future product candidates, in combination with other therapies, which would expose us to additional risks.</w:t>
      </w:r>
    </w:p>
    <w:p>
      <w:pPr>
        <w:spacing w:after="0" w:line="6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are developing our current product candidates in combination with one or more currently approved cancer therapies or therapies in development. Even if any of our current or future product candidates were to receive marketing authorization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spacing w:after="0" w:line="263" w:lineRule="auto"/>
        <w:rPr>
          <w:sz w:val="20"/>
          <w:szCs w:val="20"/>
          <w:color w:val="auto"/>
        </w:rPr>
      </w:pPr>
      <w:r>
        <w:rPr>
          <w:rFonts w:ascii="Arial" w:cs="Arial" w:eastAsia="Arial" w:hAnsi="Arial"/>
          <w:sz w:val="18"/>
          <w:szCs w:val="18"/>
          <w:color w:val="auto"/>
        </w:rPr>
        <w:t>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authorization.</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30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have never commercialized a product candidate as a company before and currently lack the comprehensive, fully staffed expertise, personnel and resources to successfully commercialize any products on our own or together with suitable collaborators.</w:t>
      </w:r>
    </w:p>
    <w:p>
      <w:pPr>
        <w:spacing w:after="0" w:line="3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never commercialized a product candidate as a company. We may license certain rights with respect to our product candidates to collaborators and rely on the assistance and guidance of those collaborators. For product candidates for which we retain commercialization rights and marketing authorization, we will have to develop our own sales, marketing, market access, commercial planning and supply organization or outsource these activities to a third-party. We are planning on finding collaborations to secure marketing authorizations and commercialize our products outside of the United States. We cannot assure that any collaboration(s) will result in short-term or long-term benefit to the company.</w:t>
      </w:r>
    </w:p>
    <w:p>
      <w:pPr>
        <w:spacing w:after="0" w:line="68"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Factors that may affect our ability to commercialize our product candidates, if approved, on our own include recruiting and retaining adequate numbers of effective sales, marketing, and market access personnel, developing and producing adequate educational and marketing programs to increase public acceptance of our approved product candidates, ensuring regulatory compliance of our company, all communications and materials in the promotional domain,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 candidates, we may not generate revenues from them or be able to reach or sustain profitability.</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w:t>
      </w:r>
    </w:p>
    <w:p>
      <w:pPr>
        <w:spacing w:after="0" w:line="4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do not have the ability to independently conduct all aspects of our clinical trials ourselves. As a result, we are dependent on third parties to conduct our ongoing and planned clinical trials of tovorafenib (DAY101) and pimasertib, and any preclinical studies and clinical trials of any future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(DAY101)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authorization process.</w:t>
      </w:r>
    </w:p>
    <w:p>
      <w:pPr>
        <w:spacing w:after="0" w:line="6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a greater cost to us. For example, we are aware of a shortage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7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marketing authorization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ind w:right="400"/>
        <w:spacing w:after="0" w:line="296" w:lineRule="auto"/>
        <w:rPr>
          <w:sz w:val="20"/>
          <w:szCs w:val="20"/>
          <w:color w:val="auto"/>
        </w:rPr>
      </w:pPr>
      <w:r>
        <w:rPr>
          <w:rFonts w:ascii="Arial" w:cs="Arial" w:eastAsia="Arial" w:hAnsi="Arial"/>
          <w:sz w:val="16"/>
          <w:szCs w:val="16"/>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 tovorafenib (DAY101), pimasertib or any future product candidates and will not be able to, or may be delayed in our efforts to, successfully commercialize our products.</w:t>
      </w:r>
    </w:p>
    <w:p>
      <w:pPr>
        <w:spacing w:after="0" w:line="26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The manufacture of pharmaceutical products, including our product candidates, such as tovorafenib (DAY101), is complex. Our third-party manufacturers may encounter difficulties in production, which could delay or entirely halt their ability to supply our product candidates for clinical trials or, if approved, for commercial sale.</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do not have any manufacturing facilities, and we currently contract with certain third-party manufacturers in China. We rely, and expect to continue to rely, on third parties for the manufacture of our product candidates for clinical testing, product development purposes, to support regulatory application submissions, as well as for commercial manufacture if any of our product candidates obtain marketing authorization.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and cause FDA to withdraw certain designations, including orphan drug designation. For example, we cannot be sure to what extent the supply chain issues caused by geopolitical uncertainty and public health epidemics, such as the COVID-19 pandemic, may impact our ability to procure sufficient supplies for the development of our product candidates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7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entered into a manufacturing and supply agreement with Quotient for drug manufacturing of tovorafenib (DAY101) and a packaging agreement with Sharp Corporation, or Sharp, for the packaging and serialization of tovorafenib (DAY101). Supply chain issues, such as those related to certain packaging material, may negatively impact our ability to package and deliver product candidates if not managed effectively. Moreover, if any of our existing or future contract manufacturers or suppliers fail to perform satisfactorily, it could delay development or regulatory approval of our drug candidates or commercialization of our drugs, which could negatively impact our results of operations and business.</w:t>
      </w:r>
    </w:p>
    <w:p>
      <w:pPr>
        <w:spacing w:after="0" w:line="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may be unable to enter into additional agreements with third-party manufacturers or suppliers or do so on favorable terms. Our anticipated reliance on a limited number of third party-manufacturers or suppliers exposes us to the following risks:</w:t>
      </w:r>
    </w:p>
    <w:p>
      <w:pPr>
        <w:spacing w:after="0" w:line="62"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the third party for product development, analytical testing, and data generation to support regulatory applications;</w:t>
      </w:r>
    </w:p>
    <w:p>
      <w:pPr>
        <w:spacing w:after="0" w:line="117" w:lineRule="exact"/>
        <w:rPr>
          <w:rFonts w:ascii="Arial" w:cs="Arial" w:eastAsia="Arial" w:hAnsi="Arial"/>
          <w:sz w:val="18"/>
          <w:szCs w:val="18"/>
          <w:color w:val="auto"/>
        </w:rPr>
      </w:pPr>
    </w:p>
    <w:p>
      <w:pPr>
        <w:ind w:left="520" w:right="60" w:hanging="512"/>
        <w:spacing w:after="0" w:line="26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75"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ind w:right="40"/>
        <w:spacing w:after="0" w:line="269"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8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apart from tovorafenib (DAY101)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8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authorization. We do not currently have arrangements in place for redundant supply or a second source for bulk drug substance. If our current CMOs for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COVID-19 pandemic. If our current third-party manufacturers cannot perform as agreed, we may be required to replace such manufacturers and we may be unable to replace them on a timely basis or at all.</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authorization on a timely and competitive basis.</w:t>
      </w:r>
    </w:p>
    <w:p>
      <w:pPr>
        <w:spacing w:after="0" w:line="2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rely on a limited number of suppliers for raw materials and any disruptions arising from our sole suppliers could result in delays in our clinical trials or otherwise adversely affect our business and results of operations.</w:t>
      </w:r>
    </w:p>
    <w:p>
      <w:pPr>
        <w:spacing w:after="0" w:line="27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including inflation and changes in interest rates, turmoil in the global banking system, government shutdowns, uncertainty with respect to the federal budget, natural disasters, fire, acts of terrorism, pandemics, including the COVID-19 pandemic, or other catastrophic events. Further, in the case of materials for which we have a sole supplier,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 which may adversely affect our business and results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right="2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5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63" w:lineRule="exact"/>
        <w:rPr>
          <w:sz w:val="20"/>
          <w:szCs w:val="20"/>
          <w:color w:val="auto"/>
        </w:rPr>
      </w:pPr>
    </w:p>
    <w:p>
      <w:pPr>
        <w:ind w:left="520" w:right="28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62" w:lineRule="exact"/>
        <w:rPr>
          <w:rFonts w:ascii="Arial" w:cs="Arial" w:eastAsia="Arial" w:hAnsi="Arial"/>
          <w:sz w:val="18"/>
          <w:szCs w:val="18"/>
          <w:color w:val="auto"/>
        </w:rPr>
      </w:pPr>
    </w:p>
    <w:p>
      <w:pPr>
        <w:ind w:left="520" w:right="20" w:hanging="512"/>
        <w:spacing w:after="0" w:line="259"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8"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520" w:right="80" w:hanging="512"/>
        <w:spacing w:after="0" w:line="26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rFonts w:ascii="Arial" w:cs="Arial" w:eastAsia="Arial" w:hAnsi="Arial"/>
          <w:sz w:val="18"/>
          <w:szCs w:val="18"/>
          <w:color w:val="auto"/>
        </w:rPr>
      </w:pPr>
    </w:p>
    <w:p>
      <w:pPr>
        <w:ind w:left="520" w:right="220" w:hanging="512"/>
        <w:spacing w:after="0" w:line="26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reassign manufacturing responsibilities to themselves or a new CMO, which would require that any new manufacturing facility also comply with cGMPs. FDA or another regulator could decide to conduct an inspection of any new manufacturing facility and a material noncompliance could delay the launch of commercial manufacturing at such facility.</w:t>
      </w:r>
    </w:p>
    <w:p>
      <w:pPr>
        <w:spacing w:after="0" w:line="75" w:lineRule="exact"/>
        <w:rPr>
          <w:rFonts w:ascii="Arial" w:cs="Arial" w:eastAsia="Arial" w:hAnsi="Arial"/>
          <w:sz w:val="18"/>
          <w:szCs w:val="18"/>
          <w:color w:val="auto"/>
        </w:rPr>
      </w:pPr>
    </w:p>
    <w:p>
      <w:pPr>
        <w:ind w:left="520" w:right="360" w:hanging="512"/>
        <w:spacing w:after="0" w:line="311" w:lineRule="auto"/>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40" w:lineRule="exact"/>
        <w:rPr>
          <w:rFonts w:ascii="Arial" w:cs="Arial" w:eastAsia="Arial" w:hAnsi="Arial"/>
          <w:sz w:val="16"/>
          <w:szCs w:val="16"/>
          <w:color w:val="auto"/>
        </w:rPr>
      </w:pPr>
    </w:p>
    <w:p>
      <w:pPr>
        <w:ind w:left="520" w:right="100" w:hanging="512"/>
        <w:spacing w:after="0" w:line="342" w:lineRule="auto"/>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520" w:right="12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and</w:t>
      </w:r>
    </w:p>
    <w:p>
      <w:pPr>
        <w:spacing w:after="0" w:line="128" w:lineRule="exact"/>
        <w:rPr>
          <w:rFonts w:ascii="Arial" w:cs="Arial" w:eastAsia="Arial" w:hAnsi="Arial"/>
          <w:sz w:val="17"/>
          <w:szCs w:val="17"/>
          <w:color w:val="auto"/>
        </w:rPr>
      </w:pPr>
    </w:p>
    <w:p>
      <w:pPr>
        <w:ind w:left="520" w:right="26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6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If we establish one or more collaborations, all of the risks relating to product development, marketing authorization and commercialization described herein would also apply to the activities of any such future collaborators.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key employees and to attract, retain and motivate qualified personnel and manage our human capital.</w:t>
      </w:r>
    </w:p>
    <w:p>
      <w:pPr>
        <w:spacing w:after="0" w:line="6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ability to compete in the highly competitive biotechnology and pharmaceutical industries depends upon our ability to attract, motivate and retain highly qualified managerial, scientific, medical and commercial personnel. We are highly dependent on the development and management expertise of Jeremy Bender, Ph.D., M.B.A., our Chief Executive Officer, Samuel Blackman, M.D., Ph.D., our Head of Research and Development,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w:t>
      </w:r>
    </w:p>
    <w:p>
      <w:pPr>
        <w:spacing w:after="0" w:line="5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commercial and management skills and experience.</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had 133 full-time employees as of September 30, 2023. We expect significant growth in the number of our employees and the scope of our operations, particularly in the areas of clinical development, clinical operations, manufacturing, regulatory affairs and, if any of our product candidates receives marketing authorization,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tovorafenib (DAY101), pimasertib,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authorization of tovorafenib (DAY101), pimasertib,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5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tovorafenib (DAY101), pimasertib, our other pipeline product candidates or any future product candidates and, accordingly, may not achieve our research, development and commercialization goals.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69" w:name="page70"/>
    <w:bookmarkEnd w:id="69"/>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3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and third-parties that we rely on, including,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(e.g., GMP) and clinical practice (e.g., GCP) standards,</w:t>
      </w:r>
    </w:p>
    <w:p>
      <w:pPr>
        <w:spacing w:after="0" w:line="1" w:lineRule="exact"/>
        <w:rPr>
          <w:sz w:val="20"/>
          <w:szCs w:val="20"/>
          <w:color w:val="auto"/>
        </w:rPr>
      </w:pPr>
    </w:p>
    <w:p>
      <w:pPr>
        <w:ind w:right="200" w:firstLine="8"/>
        <w:spacing w:after="0" w:line="252" w:lineRule="auto"/>
        <w:tabs>
          <w:tab w:leader="none" w:pos="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In particular, research, sales, marketing, and business arrangements in our industry are subject to a wide variety of laws and regulations that are intended to prevent fraud, misconduct, kickbacks, and other abusive practices. Such misconduct could also involve the improper use of information obtained in the course of clinical trials, which could result in regulatory sanctions and cause serious harm to our reputation.</w:t>
      </w:r>
    </w:p>
    <w:p>
      <w:pPr>
        <w:spacing w:after="0" w:line="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Further, with respect to third parties, third parties are not our employees, and except for remedies available to us under our agreements, we have limited ability to control resources that any such third party will devote to our preclinical studies or our clinical trials. The third parties we rely on for these services may also have relationships with other entities, some of which may be our competitors, for whom they may also be conducting drug development activities, which could affect their performance on our behalf. Our reliance on third parties for drug development activities means that we will have less direct control over the conduct, timing and completion of studies and the management of data generated from such studies. Nonetheless, we remain responsible for ensuring that our studies and trials are conducted in accordance with applicable protocol, legal and regulatory requirements and scientific standards. In other words, our reliance on third parties does not relieve us of our regulatory responsibilities. For example, we will remain responsible for ensuring that each of our clinical trials is conducted in accordance with the investigational plan and relevant protocols and that any such trial complies with GCP standards. If we or any of our CROs or any clinical trial sites fail to comply with applicable GCP requirements, the clinical data generated in those trials may be deemed unreliable. This may cause FDA or other comparable foreign regulatory authorities to require us to perform additional clinical trials before approving our marketing applications. If any of the third parties we rely on violates federal or state fraud and abuse or false claims laws and regulations or healthcare privacy and security laws, or other laws, actions may be instituted against us.</w:t>
      </w:r>
    </w:p>
    <w:p>
      <w:pPr>
        <w:spacing w:after="0" w:line="60"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If any actions based on our conduct, our employees’ conduct, or third-party conduct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injunctions, private actions brought by individual whistleblowers in the name of the government, debarment or refusal to allow us to enter into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6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Additionally, there are risks that the third parties we rely on could become disqualified, debarred, suspended or otherwise penalized by FDA or other comparable foreign regulatory authorities for violations of applicable regulatory requirements, in which case we may need to engage a substitute and may not be able to use some or all of the data produced by such contractors in support of our marketing applications.</w:t>
      </w: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ind w:right="140"/>
        <w:spacing w:after="0" w:line="327" w:lineRule="auto"/>
        <w:rPr>
          <w:sz w:val="20"/>
          <w:szCs w:val="20"/>
          <w:color w:val="auto"/>
        </w:rPr>
      </w:pPr>
      <w:r>
        <w:rPr>
          <w:rFonts w:ascii="Arial" w:cs="Arial" w:eastAsia="Arial" w:hAnsi="Arial"/>
          <w:sz w:val="15"/>
          <w:szCs w:val="15"/>
          <w:b w:val="1"/>
          <w:bCs w:val="1"/>
          <w:i w:val="1"/>
          <w:iCs w:val="1"/>
          <w:color w:val="auto"/>
        </w:rPr>
        <w:t>If our security measures are compromised, or our information technology systems or those of our CROs, CMOs, vendors, contractors, consultants, or other third-party partners fail or suffer security breaches, cyber-attacks, loss or leakage of data or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 parties with whom we work, as we rely on a number of third parties to operate our critical business systems and process confidential, proprietary, and sensitive information.</w:t>
      </w:r>
    </w:p>
    <w:p>
      <w:pPr>
        <w:spacing w:after="0" w:line="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w:t>
      </w:r>
    </w:p>
    <w:p>
      <w:pPr>
        <w:spacing w:after="0" w:line="5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increase of “work from home” in recent years has generally increased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increase of remote work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tovorafenib (DAY101), pimasertib,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as amended by the California Privacy Rights Act, or the CPRA, imposes a private right of action for security breaches that could lead to some form of remedy including regulatory scrutiny, fines, private right of action settlements, and other consequences.</w:t>
      </w:r>
    </w:p>
    <w:p>
      <w:pPr>
        <w:spacing w:after="0" w:line="287"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1" w:name="page72"/>
    <w:bookmarkEnd w:id="71"/>
    <w:p>
      <w:pPr>
        <w:spacing w:after="0" w:line="286"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tovorafenib (DAY101), pimasertib, or any other product candidates could result in delays in our marketing authorization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5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w:t>
      </w:r>
    </w:p>
    <w:p>
      <w:pPr>
        <w:spacing w:after="0" w:line="8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w:t>
      </w:r>
    </w:p>
    <w:p>
      <w:pPr>
        <w:spacing w:after="0" w:line="272" w:lineRule="exact"/>
        <w:rPr>
          <w:sz w:val="20"/>
          <w:szCs w:val="20"/>
          <w:color w:val="auto"/>
        </w:rPr>
      </w:pPr>
    </w:p>
    <w:p>
      <w:pPr>
        <w:ind w:right="260"/>
        <w:spacing w:after="0" w:line="340" w:lineRule="auto"/>
        <w:rPr>
          <w:sz w:val="20"/>
          <w:szCs w:val="20"/>
          <w:color w:val="auto"/>
        </w:rPr>
      </w:pPr>
      <w:r>
        <w:rPr>
          <w:rFonts w:ascii="Arial" w:cs="Arial" w:eastAsia="Arial" w:hAnsi="Arial"/>
          <w:sz w:val="15"/>
          <w:szCs w:val="15"/>
          <w:b w:val="1"/>
          <w:bCs w:val="1"/>
          <w:i w:val="1"/>
          <w:iCs w:val="1"/>
          <w:color w:val="auto"/>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23"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We and third parties who we work with are or may become subject to numerous domestic and foreign data protection laws and regulations (i.e., laws and regulations that address privacy and data security), the scope of which are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60"/>
        <w:spacing w:after="0" w:line="272"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and security laws, federal and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Washington state recently passed the My Health My Data Act, which is focused on the collection of consumer health data. The My Health My Data Act has a broader scope than HIPAA and includes a private right of action. There may be substantial regulatory action and litigation associated with this Act once it becomes effective.</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state of California recently enacted the CCPA, which creates new individual privacy rights for California consumers and places increased privacy and data security obligations on entities handling personal information of consumers or households. The CCPA, in effect since January 1, 2020, and most recently amended by the CPRA, is now in effect as of January 1, 2023 and enforced as of July 1, 2023, subject to the regulations promulgated through a newly created enforcement agency called the California Privacy Protection Agency, or the CPPA. The CCPA gives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The CCPA and CPRA provide for civil penalties and a private right of action for data breaches that is expected to increase data breach litigation. The CCPA and CPRA may increase our compliance costs and potential liability. The CCPA has prompted several proposals for new federal and state-level privacy legislation, such as in Nevada, New Hampshire, Ohio, New York, Washington, Illinois and Nebraska, as well as in Virginia, which passed the Virginia Consumer Data Protection Act, or VCDPA (effective as of January 1, 2023), and Colorado, which enacted the Colorado Privacy Act, or CoPA (effective as of July 1, 2023). The VCDPA, CoPA and other such proposed legislation, if enacted, could increase our potential liability and compliance costs, and adversely affect our business.</w:t>
      </w:r>
    </w:p>
    <w:p>
      <w:pPr>
        <w:spacing w:after="0" w:line="7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Foreign data protection laws, including Regulation 2016/679, known as the General Data Protection Regulation, or GDPR, may apply to personal information (including health-related data) obtained from individuals in the European Economic Area, or the EEA, and Switzerland. The GDPR, and its implementing legislation across the EU,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Additionally, the UK implemented the Data Protection Act effective in May 2018 and statutorily amended in 2019, that substantially implements the GDPR and contains provisions, including UK-specific derogations, for 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spacing w:after="0" w:line="283" w:lineRule="auto"/>
        <w:rPr>
          <w:sz w:val="20"/>
          <w:szCs w:val="20"/>
          <w:color w:val="auto"/>
        </w:rPr>
      </w:pPr>
      <w:r>
        <w:rPr>
          <w:rFonts w:ascii="Arial" w:cs="Arial" w:eastAsia="Arial" w:hAnsi="Arial"/>
          <w:sz w:val="16"/>
          <w:szCs w:val="16"/>
          <w:color w:val="auto"/>
        </w:rPr>
        <w:t>Further, European data protection laws generally prohibit the transfer of personal information to countries outside of the EEA, UK, and Switzerland, such as the United States, which are not considered by the European Commission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Court of Justice of the European Union, or CJEU, 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CJEU did not invalidate the use of other data transfer mechanisms, such as the Standard Contractual Clauses, the decision has led to uncertainty regarding the use of such mechanisms for data transfers to the United States, and the CJEU made clear that reliance on Standard Contractual Clauses alone may not necessarily be sufficient in all circumstances. The European Data Protection Board, or EDPB, issued additional guidance regarding the CJEU’s decision on November 11, 2020 which imposes higher burdens on the use of data transfer mechanisms, such as the Standard Contractual Clauses, for cross-border data transfers. In June 2021, the European Commission adopted new Standard Contractual Clauses under the GDPR for transfers of personal data outside the EU to countries that the European Commission has not deemed to provide an adequate level of protection for such personal data. If we elect to rely on the new Standard Contractual Clauses for personal data transfers out of the EU, and in light of the EDPB recommendations, we may be required to expend significant resources to meet the obligations the new Standard Contractual Clauses impose; for example, we may be required to conduct transfer impact assessments for such cross-border data transfers and implement additional security measures. We will also have to spend resources to ensure that these new Standard Contractual Clauses continue to be incorporated into all contracts governing data processing and cross-border transfer. In addition, it is anticipated that the UK will finalize its new model clauses governing cross-border data transfers, and therefore we will have to spend additional time and resources seeking to comply with the UK’s unique requirements in this area. Due to potential legal challenges, there is uncertainty regarding whether the new EU Standard Contractual Clauses will remain a valid mechanism for transfers of personal information out of the EEA.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To comply with these requirements and as supervisory authorities continue to issue further guidance, we may need to implement additional safeguards to further enhance the security of data transferred out of Europe, we could suffer additional costs, complaints, or regulatory investigations or fines, and if we are otherwise unable to transfer personal information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2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5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spacing w:after="0" w:line="63"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We are or may become subject to the terms of external and internal privacy and security policies, representations, certifications, publications related to privacy and security.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ind w:right="80"/>
        <w:spacing w:after="0" w:line="253" w:lineRule="auto"/>
        <w:rPr>
          <w:sz w:val="20"/>
          <w:szCs w:val="20"/>
          <w:color w:val="auto"/>
        </w:rPr>
      </w:pPr>
      <w:r>
        <w:rPr>
          <w:rFonts w:ascii="Arial" w:cs="Arial" w:eastAsia="Arial" w:hAnsi="Arial"/>
          <w:sz w:val="18"/>
          <w:szCs w:val="18"/>
          <w:color w:val="auto"/>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w:t>
      </w:r>
    </w:p>
    <w:p>
      <w:pPr>
        <w:spacing w:after="0" w:line="3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5" w:name="page76"/>
    <w:bookmarkEnd w:id="75"/>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engaged, and will continue to engage, in strategic transactions that could impact our liquidity, increase our expenses and present significant distractions to our management.</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engaged in strategic transactions, for instance with affiliates of Takeda Pharmaceutical Company Limited, Viracta Therapeutics, Inc. and Merck KGaA, Darmstadt, Germany, and from time to time, we may consider further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69"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520" w:right="520" w:hanging="512"/>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6" w:name="page77"/>
    <w:bookmarkEnd w:id="76"/>
    <w:p>
      <w:pPr>
        <w:ind w:left="520" w:hanging="512"/>
        <w:spacing w:after="0"/>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difficulty and cost in combining the operations, systems and personnel of any acquired businesses with our operations, systems and personnel;</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7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p>
    <w:p>
      <w:pPr>
        <w:spacing w:after="0" w:line="6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8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ind w:right="20"/>
        <w:spacing w:after="0" w:line="271" w:lineRule="auto"/>
        <w:rPr>
          <w:sz w:val="20"/>
          <w:szCs w:val="20"/>
          <w:color w:val="auto"/>
        </w:rPr>
      </w:pPr>
      <w:r>
        <w:rPr>
          <w:rFonts w:ascii="Arial" w:cs="Arial" w:eastAsia="Arial" w:hAnsi="Arial"/>
          <w:sz w:val="17"/>
          <w:szCs w:val="17"/>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spacing w:after="0" w:line="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6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9"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ind w:right="20"/>
        <w:spacing w:after="0" w:line="286"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other similar proceedings challenging our owned patent rights. An adverse determination in any such submission, proceeding or litigation could jeopardize patent term adjustment or otherwise reduce patent term, reduce the scope of, or invalidate or render unenforceable, our patent rights, or allow third parties to commercialize our product candidates and compete directly with us, without payment to us.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Furthermore, the issuance of a patent does not give us the right to practice the patented invention. Third parties may have blocking patents that could prevent us from marketing our own patented product and practicing our own patented technology.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520" w:hanging="512"/>
        <w:spacing w:after="0" w:line="277"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520" w:right="580" w:hanging="512"/>
        <w:spacing w:after="0" w:line="277"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17" w:lineRule="exact"/>
        <w:rPr>
          <w:rFonts w:ascii="Arial" w:cs="Arial" w:eastAsia="Arial" w:hAnsi="Arial"/>
          <w:sz w:val="18"/>
          <w:szCs w:val="18"/>
          <w:color w:val="auto"/>
        </w:rPr>
      </w:pPr>
    </w:p>
    <w:p>
      <w:pPr>
        <w:ind w:left="520" w:right="300" w:hanging="512"/>
        <w:spacing w:after="0" w:line="277"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17"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9" w:name="page80"/>
    <w:bookmarkEnd w:id="79"/>
    <w:p>
      <w:pPr>
        <w:ind w:right="440"/>
        <w:spacing w:after="0" w:line="26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post 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p>
    <w:p>
      <w:pPr>
        <w:spacing w:after="0" w:line="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4"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520" w:right="160" w:hanging="512"/>
        <w:spacing w:after="0" w:line="277"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17" w:lineRule="exact"/>
        <w:rPr>
          <w:rFonts w:ascii="Arial" w:cs="Arial" w:eastAsia="Arial" w:hAnsi="Arial"/>
          <w:sz w:val="18"/>
          <w:szCs w:val="18"/>
          <w:color w:val="auto"/>
        </w:rPr>
      </w:pPr>
    </w:p>
    <w:p>
      <w:pPr>
        <w:ind w:left="520" w:right="160" w:hanging="512"/>
        <w:spacing w:after="0" w:line="258"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spacing w:after="0" w:line="286" w:lineRule="auto"/>
        <w:rPr>
          <w:sz w:val="20"/>
          <w:szCs w:val="20"/>
          <w:color w:val="auto"/>
        </w:rPr>
      </w:pPr>
      <w:r>
        <w:rPr>
          <w:rFonts w:ascii="Arial" w:cs="Arial" w:eastAsia="Arial" w:hAnsi="Arial"/>
          <w:sz w:val="16"/>
          <w:szCs w:val="16"/>
          <w:color w:val="auto"/>
        </w:rPr>
        <w:t>Although no third party has asserted a claim of patent infringement against us as of September 30, 2023, others may hold proprietary rights that could prevent our product candidates from being marketed. It is possible that a third-party may assert a claim of patent infringement directed at any of our product candidates.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66"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Some of our current product candidates and research programs are licensed from third parties. If these license agreements are terminated or interpreted to narrow our rights, our ability to advance our current product candidates or develop new product candidates based on these technologies will be materially adversely affected.</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now depend on, at least in part, Viracta Therapeutics, Inc., Takeda Pharmaceutical Company Limited, Dana Farber Cancer Institute, Millennium Pharmaceuticals, Inc. and Merck KGaA, Darmstadt, Germany, and will continue to depend on Viracta Therapeutics, Inc., Takeda Pharmaceutical Company Limited, Dana Farber Cancer Institute, Millennium Pharmaceuticals, Inc. and Merck KGaA, Darmstadt, Germany and on licenses and sublicenses from other third parties, as well as potentially on other strategic relationships with third parties, for the research, development, manufacturing and commercialization of our current product candidates. If any of our licenses or relationships or any in-licenses on which our licenses are based are terminated or breached, we may:</w:t>
      </w:r>
    </w:p>
    <w:p>
      <w:pPr>
        <w:spacing w:after="0" w:line="84"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lose our rights to develop and market our current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lose patent or trade secret protection for our current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experience significant delays in the development or commercialization of our current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 able to obtain any other licenses on acceptable terms, if at all; 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incur liability for damages.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we experience any of the foregoing, it could have a materially adverse effect on our business and could force us to cease operations which could cause you to lose all of your investment.</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breach our license agreements, it could have a material adverse effect on our commercialization efforts for our product candidates.</w:t>
      </w:r>
    </w:p>
    <w:p>
      <w:pPr>
        <w:spacing w:after="0" w:line="129"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If we breach any of the agreements under which we license the use, development and commercialization rights to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9"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Our current lead product candidates are protected by, among other intellectual property rights, patents and patent applications we co-own and exclusively in-license from Viracta Therapeutics, Inc. (f/k/a Sunesis Pharmaceuticals, Inc.). Our current lead product candidates and pipeline and our anticipated near-term pipeline may include technologies, licensed from other third parties, including, for example, Merck KGaA, Darmstadt, Germany.</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1" w:name="page82"/>
    <w:bookmarkEnd w:id="81"/>
    <w:p>
      <w:pPr>
        <w:spacing w:after="0" w:line="279" w:lineRule="auto"/>
        <w:rPr>
          <w:sz w:val="20"/>
          <w:szCs w:val="20"/>
          <w:color w:val="auto"/>
        </w:rPr>
      </w:pPr>
      <w:r>
        <w:rPr>
          <w:rFonts w:ascii="Arial" w:cs="Arial" w:eastAsia="Arial" w:hAnsi="Arial"/>
          <w:sz w:val="17"/>
          <w:szCs w:val="17"/>
          <w:color w:val="auto"/>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p>
    <w:p>
      <w:pPr>
        <w:spacing w:after="0" w:line="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62"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520" w:right="360" w:hanging="512"/>
        <w:spacing w:after="0" w:line="277"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 and other intellectual property rights to third parties under collaborative development relationships;</w:t>
      </w:r>
    </w:p>
    <w:p>
      <w:pPr>
        <w:spacing w:after="0" w:line="117" w:lineRule="exact"/>
        <w:rPr>
          <w:rFonts w:ascii="Arial" w:cs="Arial" w:eastAsia="Arial" w:hAnsi="Arial"/>
          <w:sz w:val="18"/>
          <w:szCs w:val="18"/>
          <w:color w:val="auto"/>
        </w:rPr>
      </w:pPr>
    </w:p>
    <w:p>
      <w:pPr>
        <w:ind w:left="520" w:right="340" w:hanging="512"/>
        <w:spacing w:after="0" w:line="277"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17"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inventors are able to contest the assignment of their rights to our licensors.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7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addition, the agreements under which we license intellectual property or technology from third parties, including our licenses with Viracta Therapeutics, Inc., Takeda Pharmaceutical Company Limited, Dana Farber Cancer Institute, Millennium Pharmaceuticals, Inc. and Merck KGaA, Darmstadt, Germany,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marketing authorization of, and to market, products identical to ours. This could have a material adverse effect on our competitive position, business, financial conditions, results of operations, and prospects.</w:t>
      </w:r>
    </w:p>
    <w:p>
      <w:pPr>
        <w:spacing w:after="0" w:line="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5"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1"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2" w:name="page83"/>
    <w:bookmarkEnd w:id="82"/>
    <w:p>
      <w:pPr>
        <w:ind w:right="40"/>
        <w:spacing w:after="0" w:line="273" w:lineRule="auto"/>
        <w:rPr>
          <w:sz w:val="20"/>
          <w:szCs w:val="20"/>
          <w:color w:val="auto"/>
        </w:rPr>
      </w:pPr>
      <w:r>
        <w:rPr>
          <w:rFonts w:ascii="Arial" w:cs="Arial" w:eastAsia="Arial" w:hAnsi="Arial"/>
          <w:sz w:val="17"/>
          <w:szCs w:val="17"/>
          <w:color w:val="auto"/>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p>
    <w:p>
      <w:pPr>
        <w:spacing w:after="0" w:line="300" w:lineRule="exact"/>
        <w:rPr>
          <w:sz w:val="20"/>
          <w:szCs w:val="20"/>
          <w:color w:val="auto"/>
        </w:rPr>
      </w:pPr>
    </w:p>
    <w:p>
      <w:pPr>
        <w:ind w:right="700"/>
        <w:spacing w:after="0" w:line="375" w:lineRule="auto"/>
        <w:rPr>
          <w:sz w:val="20"/>
          <w:szCs w:val="20"/>
          <w:color w:val="auto"/>
        </w:rPr>
      </w:pPr>
      <w:r>
        <w:rPr>
          <w:rFonts w:ascii="Arial" w:cs="Arial" w:eastAsia="Arial" w:hAnsi="Arial"/>
          <w:sz w:val="15"/>
          <w:szCs w:val="15"/>
          <w:b w:val="1"/>
          <w:bCs w:val="1"/>
          <w:i w:val="1"/>
          <w:iCs w:val="1"/>
          <w:color w:val="auto"/>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5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Third parties may also raise similar invalidity claims before the USPTO or patent offices abroad, even outside the context of litigation. Such mechanisms include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post grant review proceedings,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p>
    <w:p>
      <w:pPr>
        <w:spacing w:after="0" w:line="5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3" w:name="page84"/>
    <w:bookmarkEnd w:id="83"/>
    <w:p>
      <w:pPr>
        <w:ind w:right="48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our product candidates to market.</w:t>
      </w:r>
    </w:p>
    <w:p>
      <w:pPr>
        <w:spacing w:after="0" w:line="2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and/or those of our licensors and the enforcement or defense of our issued patents and/or those of our licensors.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7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4" w:name="page85"/>
    <w:bookmarkEnd w:id="84"/>
    <w:p>
      <w:pPr>
        <w:ind w:right="20"/>
        <w:spacing w:after="0" w:line="272"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p>
    <w:p>
      <w:pPr>
        <w:spacing w:after="0" w:line="2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For example, the U.S. Supreme Court has ruled on several patent cases in recent years, either narrowing the scope of patent protection available in certain circumstances or weakening the rights of patent owners in certain situations. The Federal Circuit recently issued a decision that involves the interaction of patent term adjustment, or PTA, terminal disclaimers, and obviousness-type double patenting. This decision creates uncertainty to the patent terms of certain U.S. patents that share the same priority claim where one expires later than another due to accrued PTA.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p>
    <w:p>
      <w:pPr>
        <w:spacing w:after="0" w:line="7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Depending upon the timing, duration and specifics of FDA marketing authorization of our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marketing authorization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ind w:right="1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rely in part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we or our employees have wrongfully used or disclosed alleged confidential information or trade secrets.</w:t>
      </w:r>
    </w:p>
    <w:p>
      <w:pPr>
        <w:spacing w:after="0" w:line="14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87" w:name="page88"/>
    <w:bookmarkEnd w:id="87"/>
    <w:p>
      <w:pPr>
        <w:spacing w:after="0" w:line="25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p>
    <w:p>
      <w:pPr>
        <w:spacing w:after="0" w:line="7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Currently, our intellectual property protection includes patents and patent applications that we have in-licensed from Viracta Therapeutics, Inc., Takeda Pharmaceutical Company Limited, and Merck KGaA, Darmstadt, Germany.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8" w:name="page89"/>
    <w:bookmarkEnd w:id="88"/>
    <w:p>
      <w:pPr>
        <w:ind w:right="400"/>
        <w:spacing w:after="0" w:line="26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No earlier than June 1, 2023, European applications will soon have the option, upon grant of a patent, of becoming a Unitary Patent which will be subject to the jurisdiction of the Unitary Patent Court, or UPC.</w:t>
      </w:r>
    </w:p>
    <w:p>
      <w:pPr>
        <w:spacing w:after="0" w:line="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will be a significant change in European patent practice. As the UPC is a new court system, there is no precedent for the court, increasing the uncertainty of any litigation.</w:t>
      </w:r>
    </w:p>
    <w:p>
      <w:pPr>
        <w:spacing w:after="0" w:line="2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7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Additionally, we are closely monitoring the unfolding events of the armed conflict in Israel which began in October 2023. While this conflict is still evolving, to date, the conflict has not had an adverse impact on our business and results of operations. However, should these conflicts worsen or intensify,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ind w:right="120"/>
        <w:spacing w:after="0" w:line="277" w:lineRule="auto"/>
        <w:rPr>
          <w:sz w:val="20"/>
          <w:szCs w:val="20"/>
          <w:color w:val="auto"/>
        </w:rPr>
      </w:pPr>
      <w:r>
        <w:rPr>
          <w:rFonts w:ascii="Arial" w:cs="Arial" w:eastAsia="Arial" w:hAnsi="Arial"/>
          <w:sz w:val="18"/>
          <w:szCs w:val="18"/>
          <w:color w:val="auto"/>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timing and variations in the level of expense related to the current or future development of our programs;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timing and status of enrollment for our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potential future partners;</w:t>
      </w:r>
    </w:p>
    <w:p>
      <w:pPr>
        <w:spacing w:after="0" w:line="117" w:lineRule="exact"/>
        <w:rPr>
          <w:rFonts w:ascii="Arial" w:cs="Arial" w:eastAsia="Arial" w:hAnsi="Arial"/>
          <w:sz w:val="18"/>
          <w:szCs w:val="18"/>
          <w:color w:val="auto"/>
        </w:rPr>
      </w:pPr>
    </w:p>
    <w:p>
      <w:pPr>
        <w:ind w:left="520" w:right="280" w:hanging="512"/>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62" w:lineRule="exact"/>
        <w:rPr>
          <w:rFonts w:ascii="Arial" w:cs="Arial" w:eastAsia="Arial" w:hAnsi="Arial"/>
          <w:sz w:val="18"/>
          <w:szCs w:val="18"/>
          <w:color w:val="auto"/>
        </w:rPr>
      </w:pPr>
    </w:p>
    <w:p>
      <w:pPr>
        <w:ind w:left="520" w:right="40" w:hanging="512"/>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intellectual property infringement, misappropriation or violation lawsuit or opposition, interference or cancellation proceeding in which we may become involved;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any product candidate we may develop receive marketing authorization, the timing and terms of such approval and market acceptance and demand for such product candidates;</w:t>
      </w:r>
    </w:p>
    <w:p>
      <w:pPr>
        <w:spacing w:after="0" w:line="62"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and distribution infrastructure to commercialize any products for which we may obtain marketing authorization and intend to commercialize on our own or jointly with future collaborators;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developments affecting current or future product candidates or those of our competitors;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of expense or gain associated with the change in value of the success payments and contingent consideration;</w:t>
      </w:r>
    </w:p>
    <w:p>
      <w:pPr>
        <w:spacing w:after="0" w:line="117" w:lineRule="exact"/>
        <w:rPr>
          <w:rFonts w:ascii="Arial" w:cs="Arial" w:eastAsia="Arial" w:hAnsi="Arial"/>
          <w:sz w:val="18"/>
          <w:szCs w:val="18"/>
          <w:color w:val="auto"/>
        </w:rPr>
      </w:pPr>
    </w:p>
    <w:p>
      <w:pPr>
        <w:ind w:left="520" w:right="60" w:hanging="512"/>
        <w:spacing w:after="0" w:line="263"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rising interest rates, inflation, recent turmoil in the global banking system, government shutdowns, uncertainty with respect to the federal budget, global regional conflicts and public health epidemics, such as the COVID-19 pandemic;</w:t>
      </w:r>
    </w:p>
    <w:p>
      <w:pPr>
        <w:spacing w:after="0" w:line="75" w:lineRule="exact"/>
        <w:rPr>
          <w:rFonts w:ascii="Arial" w:cs="Arial" w:eastAsia="Arial" w:hAnsi="Arial"/>
          <w:sz w:val="18"/>
          <w:szCs w:val="18"/>
          <w:color w:val="auto"/>
        </w:rPr>
      </w:pPr>
    </w:p>
    <w:p>
      <w:pPr>
        <w:ind w:left="520" w:right="640" w:hanging="512"/>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business development activities, such as additional program in-licensing, which could result in up-front payments or increased development expenses;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cybersecurity incidents.</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is likely to be highly volatile, which could result in substantial losses for purchasers of our common stock.</w:t>
      </w:r>
    </w:p>
    <w:p>
      <w:pPr>
        <w:spacing w:after="0" w:line="14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w:t>
      </w:r>
    </w:p>
    <w:p>
      <w:pPr>
        <w:spacing w:after="0" w:line="41"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results of preclinical studies or clinical trials by us or those of our competitors or by existing or future collaborators or licensing partners;</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and enrollment status of our clinical trials;</w:t>
      </w:r>
    </w:p>
    <w:p>
      <w:pPr>
        <w:spacing w:after="0" w:line="117" w:lineRule="exact"/>
        <w:rPr>
          <w:rFonts w:ascii="Arial" w:cs="Arial" w:eastAsia="Arial" w:hAnsi="Arial"/>
          <w:sz w:val="18"/>
          <w:szCs w:val="18"/>
          <w:color w:val="auto"/>
        </w:rPr>
      </w:pPr>
    </w:p>
    <w:p>
      <w:pPr>
        <w:ind w:left="520" w:right="40" w:hanging="512"/>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 including variations in the level of expense related to the development of our programs or funding support by us or by existing or future collaborators or licensing partners;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 especially changes in laws or regulations applicable to our business;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introductions and announcements of new product candidates by us, our future collaboration partners, or our competitors, and the timing of these introductions or announcements;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140" w:lineRule="exact"/>
        <w:rPr>
          <w:rFonts w:ascii="Arial" w:cs="Arial" w:eastAsia="Arial" w:hAnsi="Arial"/>
          <w:sz w:val="16"/>
          <w:szCs w:val="16"/>
          <w:color w:val="auto"/>
        </w:rPr>
      </w:pPr>
    </w:p>
    <w:p>
      <w:pPr>
        <w:ind w:left="520" w:right="100" w:hanging="512"/>
        <w:spacing w:after="0" w:line="277"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or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announced or completed significant acquisitions, strategic collaborations, joint ventures or capital commitments by us or our competitors;</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and proprietary rights;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520" w:right="620" w:hanging="512"/>
        <w:spacing w:after="0" w:line="277"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interest rate increases on the overall stock market and the market for biopharmaceutical company stocks;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shares of our common stock by us, insiders or our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natural disasters, terrorist acts, acts of war and other calamities;</w:t>
      </w:r>
    </w:p>
    <w:p>
      <w:pPr>
        <w:spacing w:after="0" w:line="117" w:lineRule="exact"/>
        <w:rPr>
          <w:rFonts w:ascii="Arial" w:cs="Arial" w:eastAsia="Arial" w:hAnsi="Arial"/>
          <w:sz w:val="18"/>
          <w:szCs w:val="18"/>
          <w:color w:val="auto"/>
        </w:rPr>
      </w:pPr>
    </w:p>
    <w:p>
      <w:pPr>
        <w:ind w:left="520" w:right="420" w:hanging="512"/>
        <w:spacing w:after="0" w:line="308"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rising interest rates, inflation and the recent turmoil in the global banking system, government shutdowns and uncertainty with respect to the federal budget, many of which are beyond our control;</w:t>
      </w:r>
    </w:p>
    <w:p>
      <w:pPr>
        <w:spacing w:after="0" w:line="38" w:lineRule="exact"/>
        <w:rPr>
          <w:rFonts w:ascii="Arial" w:cs="Arial" w:eastAsia="Arial" w:hAnsi="Arial"/>
          <w:sz w:val="17"/>
          <w:szCs w:val="17"/>
          <w:color w:val="auto"/>
        </w:rPr>
      </w:pPr>
    </w:p>
    <w:p>
      <w:pPr>
        <w:ind w:left="520" w:right="640" w:hanging="512"/>
        <w:spacing w:after="0" w:line="277"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global pandemics, such as the COVID-19 pandemic, or war, incidents of terrorism or responses to these events, including global regional conflicts;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cybersecurity incidents.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including as a result of the COVID-19 pandemic, increase in inflation and changes in interest rates, and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1" w:name="page92"/>
    <w:bookmarkEnd w:id="91"/>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holders of an aggregate of 87,042,933 shares of our outstanding common stock as of September 30, 2023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w:t>
      </w:r>
    </w:p>
    <w:p>
      <w:pPr>
        <w:spacing w:after="0" w:line="79"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5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2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Based on the beneficial ownership of our common stock as of September 30, 2023, our executive officers, directors, holders of 5% or more of our capital stock and their respective affiliates beneficially owned 42%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2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w:t>
      </w:r>
    </w:p>
    <w:p>
      <w:pPr>
        <w:spacing w:after="0" w:line="68"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 xml:space="preserve">We could be an emerging growth company for up to five fiscal years following the completion of the IPO;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certain circumstances could cause us to lose that status earlier, including if we are deemed to be a “large accelerated filer,” which occurs when the market value of our common stock that is held by non-affiliates equals or exceeds $700 million, if we have total annual gross revenue of $1.235 billion or more, or if we issue more than $1.0 billion in non-convertible debt during any three-year period before that time.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2" w:name="page93"/>
    <w:bookmarkEnd w:id="92"/>
    <w:p>
      <w:pPr>
        <w:ind w:right="100"/>
        <w:spacing w:after="0" w:line="296"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the same exemptions from certain disclosure requirements, including not being required to comply with the auditor attestation requirements of Section 404 of the Sarbanes-Oxley Act, reduced disclosure obligations regarding executive compensation and the option to present only the two most recent fiscal years of audited financial statements in our Annual Report on Form 10-K.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5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of December 31, 2023, we will no longer qualify as an emerging growth company or a smaller reporting company and be able to take advantage of the exemptions from various reporting requirements beginning with our Annual Report on Form 10-K for the fiscal year ending December 31, 2023 to be filed in 2024.</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6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Our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57"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ind w:right="120"/>
        <w:spacing w:after="0" w:line="263" w:lineRule="auto"/>
        <w:rPr>
          <w:sz w:val="20"/>
          <w:szCs w:val="20"/>
          <w:color w:val="auto"/>
        </w:rPr>
      </w:pPr>
      <w:r>
        <w:rPr>
          <w:rFonts w:ascii="Arial" w:cs="Arial" w:eastAsia="Arial" w:hAnsi="Arial"/>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 public company, and particularly after we are no longer qualify as an emerging growth company, we will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Pursuant to Section 404 of the Sarbanes-Oxley Act, our management is required to report upon the effectiveness of our internal control over financial reporting. When we are no longer an “emerging growth company”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5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Global Select Market, or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in recent months, the global economy has been impacted by increasing interest rates and inflation, as well as the possibility of a recession or further economic downturn. Moreover, there has been recent turmoil in the global banking system. For example, on March 10, 2023, Silicon Valley Bank, or SVB, one of our banking partners, was closed by the California Department of Financial Protection and Innovation, which appointed the Federal Deposit Insurance Corporation, or the FDIC, as receiver. While we only had a minimal amount of our cash directly at SVB and, since that date, the FDIC has stated that all depositors of SVB will be made whole, there is no guarantee that the federal government would guarantee all depositors as they did with SVB depositors in the event of further bank closures and continued instability in the global banking system may adversely impact our business and financial condition. Likewise, the capital and credit markets may be adversely affected by global regional conflicts, and the possibility of wider or additional global conflicts, global sanctions imposed in response thereto or an energy crisis.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450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24"/>
                <w:szCs w:val="24"/>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24"/>
                <w:szCs w:val="24"/>
                <w:color w:val="auto"/>
              </w:rPr>
            </w:pPr>
          </w:p>
        </w:tc>
        <w:tc>
          <w:tcPr>
            <w:tcW w:w="13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14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Arial" w:cs="Arial" w:eastAsia="Arial" w:hAnsi="Arial"/>
                <w:sz w:val="14"/>
                <w:szCs w:val="14"/>
                <w:b w:val="1"/>
                <w:bCs w:val="1"/>
                <w:color w:val="auto"/>
              </w:rPr>
              <w:t>Filing</w:t>
            </w:r>
          </w:p>
        </w:tc>
        <w:tc>
          <w:tcPr>
            <w:tcW w:w="140" w:type="dxa"/>
            <w:vAlign w:val="bottom"/>
          </w:tcPr>
          <w:p>
            <w:pPr>
              <w:spacing w:after="0"/>
              <w:rPr>
                <w:sz w:val="24"/>
                <w:szCs w:val="24"/>
                <w:color w:val="auto"/>
              </w:rPr>
            </w:pPr>
          </w:p>
        </w:tc>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76"/>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45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20"/>
          </w:cols>
          <w:pgMar w:left="320" w:top="337" w:right="359" w:bottom="1440" w:gutter="0" w:footer="0" w:header="0"/>
        </w:sectPr>
      </w:pPr>
    </w:p>
    <w:tbl>
      <w:tblPr>
        <w:tblLayout w:type="fixed"/>
        <w:tblInd w:w="140" w:type="dxa"/>
        <w:tblCellMar>
          <w:top w:w="0" w:type="dxa"/>
          <w:left w:w="0" w:type="dxa"/>
          <w:bottom w:w="0" w:type="dxa"/>
          <w:right w:w="0" w:type="dxa"/>
        </w:tblCellMar>
      </w:tblPr>
      <w:tr>
        <w:trPr>
          <w:trHeight w:val="207"/>
        </w:trPr>
        <w:tc>
          <w:tcPr>
            <w:tcW w:w="1000" w:type="dxa"/>
            <w:vAlign w:val="bottom"/>
          </w:tcPr>
          <w:p>
            <w:pPr>
              <w:ind w:left="80"/>
              <w:spacing w:after="0"/>
              <w:rPr>
                <w:sz w:val="20"/>
                <w:szCs w:val="20"/>
                <w:color w:val="auto"/>
              </w:rPr>
            </w:pPr>
            <w:r>
              <w:rPr>
                <w:rFonts w:ascii="Arial" w:cs="Arial" w:eastAsia="Arial" w:hAnsi="Arial"/>
                <w:sz w:val="18"/>
                <w:szCs w:val="18"/>
                <w:color w:val="auto"/>
              </w:rPr>
              <w:t>31.1</w:t>
            </w:r>
          </w:p>
        </w:tc>
        <w:tc>
          <w:tcPr>
            <w:tcW w:w="45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3"/>
              </w:rPr>
              <w:t>Certification of Principal Executive Officer Pursuant to Rules</w:t>
            </w: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52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0"/>
              </w:rPr>
              <w:t>13a-14(a) and 15d-14(a) under the Securities Exchange Act of</w:t>
            </w:r>
          </w:p>
        </w:tc>
      </w:tr>
      <w:tr>
        <w:trPr>
          <w:trHeight w:val="196"/>
        </w:trPr>
        <w:tc>
          <w:tcPr>
            <w:tcW w:w="1000" w:type="dxa"/>
            <w:vAlign w:val="bottom"/>
          </w:tcPr>
          <w:p>
            <w:pPr>
              <w:spacing w:after="0"/>
              <w:rPr>
                <w:sz w:val="17"/>
                <w:szCs w:val="17"/>
                <w:color w:val="auto"/>
              </w:rPr>
            </w:pPr>
          </w:p>
        </w:tc>
        <w:tc>
          <w:tcPr>
            <w:tcW w:w="4520" w:type="dxa"/>
            <w:vAlign w:val="bottom"/>
            <w:gridSpan w:val="13"/>
          </w:tcPr>
          <w:p>
            <w:pPr>
              <w:spacing w:after="0" w:line="196" w:lineRule="exact"/>
              <w:rPr>
                <w:sz w:val="20"/>
                <w:szCs w:val="20"/>
                <w:color w:val="auto"/>
              </w:rPr>
            </w:pPr>
            <w:r>
              <w:rPr>
                <w:rFonts w:ascii="Arial" w:cs="Arial" w:eastAsia="Arial" w:hAnsi="Arial"/>
                <w:sz w:val="18"/>
                <w:szCs w:val="18"/>
                <w:color w:val="0000FF"/>
                <w:w w:val="94"/>
              </w:rPr>
              <w:t>1934, as Adopted Pursuant to Section 302 of the Sarbanes-</w:t>
            </w:r>
          </w:p>
        </w:tc>
      </w:tr>
      <w:tr>
        <w:trPr>
          <w:trHeight w:val="196"/>
        </w:trPr>
        <w:tc>
          <w:tcPr>
            <w:tcW w:w="1000" w:type="dxa"/>
            <w:vAlign w:val="bottom"/>
          </w:tcPr>
          <w:p>
            <w:pPr>
              <w:spacing w:after="0"/>
              <w:rPr>
                <w:sz w:val="17"/>
                <w:szCs w:val="17"/>
                <w:color w:val="auto"/>
              </w:rPr>
            </w:pPr>
          </w:p>
        </w:tc>
        <w:tc>
          <w:tcPr>
            <w:tcW w:w="1440" w:type="dxa"/>
            <w:vAlign w:val="bottom"/>
            <w:tcBorders>
              <w:top w:val="single" w:sz="8" w:color="0000FF"/>
              <w:bottom w:val="single" w:sz="8" w:color="0000EE"/>
            </w:tcBorders>
            <w:gridSpan w:val="3"/>
          </w:tcPr>
          <w:p>
            <w:pPr>
              <w:spacing w:after="0" w:line="196" w:lineRule="exact"/>
              <w:rPr>
                <w:sz w:val="20"/>
                <w:szCs w:val="20"/>
                <w:color w:val="auto"/>
              </w:rPr>
            </w:pPr>
            <w:r>
              <w:rPr>
                <w:rFonts w:ascii="Arial" w:cs="Arial" w:eastAsia="Arial" w:hAnsi="Arial"/>
                <w:sz w:val="18"/>
                <w:szCs w:val="18"/>
                <w:color w:val="0000FF"/>
                <w:w w:val="96"/>
              </w:rPr>
              <w:t>Oxley Act of 2002.</w:t>
            </w:r>
          </w:p>
        </w:tc>
        <w:tc>
          <w:tcPr>
            <w:tcW w:w="2800" w:type="dxa"/>
            <w:vAlign w:val="bottom"/>
            <w:tcBorders>
              <w:top w:val="single" w:sz="8" w:color="0000FF"/>
            </w:tcBorders>
            <w:gridSpan w:val="5"/>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331"/>
        </w:trPr>
        <w:tc>
          <w:tcPr>
            <w:tcW w:w="1000" w:type="dxa"/>
            <w:vAlign w:val="bottom"/>
          </w:tcPr>
          <w:p>
            <w:pPr>
              <w:ind w:left="80"/>
              <w:spacing w:after="0"/>
              <w:rPr>
                <w:sz w:val="20"/>
                <w:szCs w:val="20"/>
                <w:color w:val="auto"/>
              </w:rPr>
            </w:pPr>
            <w:r>
              <w:rPr>
                <w:rFonts w:ascii="Arial" w:cs="Arial" w:eastAsia="Arial" w:hAnsi="Arial"/>
                <w:sz w:val="18"/>
                <w:szCs w:val="18"/>
                <w:color w:val="auto"/>
              </w:rPr>
              <w:t>31.2</w:t>
            </w:r>
          </w:p>
        </w:tc>
        <w:tc>
          <w:tcPr>
            <w:tcW w:w="44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3"/>
              </w:rPr>
              <w:t>Certification of Principal Financial Officer Pursuant to Rules</w:t>
            </w:r>
          </w:p>
        </w:tc>
        <w:tc>
          <w:tcPr>
            <w:tcW w:w="8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52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0"/>
              </w:rPr>
              <w:t>13a-14(a) and 15d-14(a) under the Securities Exchange Act of</w:t>
            </w:r>
          </w:p>
        </w:tc>
      </w:tr>
      <w:tr>
        <w:trPr>
          <w:trHeight w:val="196"/>
        </w:trPr>
        <w:tc>
          <w:tcPr>
            <w:tcW w:w="1000" w:type="dxa"/>
            <w:vAlign w:val="bottom"/>
          </w:tcPr>
          <w:p>
            <w:pPr>
              <w:spacing w:after="0"/>
              <w:rPr>
                <w:sz w:val="17"/>
                <w:szCs w:val="17"/>
                <w:color w:val="auto"/>
              </w:rPr>
            </w:pPr>
          </w:p>
        </w:tc>
        <w:tc>
          <w:tcPr>
            <w:tcW w:w="4520" w:type="dxa"/>
            <w:vAlign w:val="bottom"/>
            <w:gridSpan w:val="13"/>
          </w:tcPr>
          <w:p>
            <w:pPr>
              <w:spacing w:after="0" w:line="196" w:lineRule="exact"/>
              <w:rPr>
                <w:sz w:val="20"/>
                <w:szCs w:val="20"/>
                <w:color w:val="auto"/>
              </w:rPr>
            </w:pPr>
            <w:r>
              <w:rPr>
                <w:rFonts w:ascii="Arial" w:cs="Arial" w:eastAsia="Arial" w:hAnsi="Arial"/>
                <w:sz w:val="18"/>
                <w:szCs w:val="18"/>
                <w:color w:val="0000FF"/>
                <w:w w:val="94"/>
              </w:rPr>
              <w:t>1934, as Adopted Pursuant to Section 302 of the Sarbanes-</w:t>
            </w:r>
          </w:p>
        </w:tc>
      </w:tr>
      <w:tr>
        <w:trPr>
          <w:trHeight w:val="196"/>
        </w:trPr>
        <w:tc>
          <w:tcPr>
            <w:tcW w:w="10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3"/>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2820" w:type="dxa"/>
            <w:vAlign w:val="bottom"/>
            <w:tcBorders>
              <w:top w:val="single" w:sz="8" w:color="0000FF"/>
            </w:tcBorders>
            <w:gridSpan w:val="6"/>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331"/>
        </w:trPr>
        <w:tc>
          <w:tcPr>
            <w:tcW w:w="1000" w:type="dxa"/>
            <w:vAlign w:val="bottom"/>
          </w:tcPr>
          <w:p>
            <w:pPr>
              <w:ind w:left="80"/>
              <w:spacing w:after="0"/>
              <w:rPr>
                <w:sz w:val="20"/>
                <w:szCs w:val="20"/>
                <w:color w:val="auto"/>
              </w:rPr>
            </w:pPr>
            <w:r>
              <w:rPr>
                <w:rFonts w:ascii="Arial" w:cs="Arial" w:eastAsia="Arial" w:hAnsi="Arial"/>
                <w:sz w:val="18"/>
                <w:szCs w:val="18"/>
                <w:color w:val="auto"/>
              </w:rPr>
              <w:t>32.1*</w:t>
            </w:r>
          </w:p>
        </w:tc>
        <w:tc>
          <w:tcPr>
            <w:tcW w:w="42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Certification of Principal Executive Officer Pursuant to 18</w:t>
            </w:r>
          </w:p>
        </w:tc>
        <w:tc>
          <w:tcPr>
            <w:tcW w:w="26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38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0"/>
              </w:rPr>
              <w:t>U.S.C. Section 1350, as Adopted Pursuant to Section 906 of</w:t>
            </w:r>
          </w:p>
        </w:tc>
        <w:tc>
          <w:tcPr>
            <w:tcW w:w="14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4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FF"/>
                <w:w w:val="92"/>
              </w:rPr>
              <w:t>the Sarbanes-Oxley Act of 2002.</w:t>
            </w:r>
          </w:p>
        </w:tc>
        <w:tc>
          <w:tcPr>
            <w:tcW w:w="2100" w:type="dxa"/>
            <w:vAlign w:val="bottom"/>
            <w:gridSpan w:val="7"/>
          </w:tcPr>
          <w:p>
            <w:pPr>
              <w:spacing w:after="0"/>
              <w:rPr>
                <w:sz w:val="17"/>
                <w:szCs w:val="17"/>
                <w:color w:val="auto"/>
              </w:rPr>
            </w:pPr>
          </w:p>
        </w:tc>
      </w:tr>
      <w:tr>
        <w:trPr>
          <w:trHeight w:val="331"/>
        </w:trPr>
        <w:tc>
          <w:tcPr>
            <w:tcW w:w="1000" w:type="dxa"/>
            <w:vAlign w:val="bottom"/>
          </w:tcPr>
          <w:p>
            <w:pPr>
              <w:ind w:left="80"/>
              <w:spacing w:after="0"/>
              <w:rPr>
                <w:sz w:val="20"/>
                <w:szCs w:val="20"/>
                <w:color w:val="auto"/>
              </w:rPr>
            </w:pPr>
            <w:r>
              <w:rPr>
                <w:rFonts w:ascii="Arial" w:cs="Arial" w:eastAsia="Arial" w:hAnsi="Arial"/>
                <w:sz w:val="18"/>
                <w:szCs w:val="18"/>
                <w:color w:val="auto"/>
              </w:rPr>
              <w:t>32.2*</w:t>
            </w:r>
          </w:p>
        </w:tc>
        <w:tc>
          <w:tcPr>
            <w:tcW w:w="42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4"/>
              </w:rPr>
              <w:t>Certification of Principal Financial Officer Pursuant to 18</w:t>
            </w:r>
          </w:p>
        </w:tc>
        <w:tc>
          <w:tcPr>
            <w:tcW w:w="300" w:type="dxa"/>
            <w:vAlign w:val="bottom"/>
            <w:gridSpan w:val="6"/>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38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0"/>
              </w:rPr>
              <w:t>U.S.C. Section 1350, as Adopted Pursuant to Section 906 of</w:t>
            </w:r>
          </w:p>
        </w:tc>
        <w:tc>
          <w:tcPr>
            <w:tcW w:w="14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3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the Sarbanes-Oxley Act of 2002.</w:t>
            </w:r>
          </w:p>
        </w:tc>
        <w:tc>
          <w:tcPr>
            <w:tcW w:w="20" w:type="dxa"/>
            <w:vAlign w:val="bottom"/>
            <w:tcBorders>
              <w:bottom w:val="single" w:sz="8" w:color="0000EE"/>
            </w:tcBorders>
          </w:tcPr>
          <w:p>
            <w:pPr>
              <w:spacing w:after="0"/>
              <w:rPr>
                <w:sz w:val="17"/>
                <w:szCs w:val="17"/>
                <w:color w:val="auto"/>
              </w:rPr>
            </w:pPr>
          </w:p>
        </w:tc>
        <w:tc>
          <w:tcPr>
            <w:tcW w:w="2120" w:type="dxa"/>
            <w:vAlign w:val="bottom"/>
            <w:gridSpan w:val="8"/>
          </w:tcPr>
          <w:p>
            <w:pPr>
              <w:spacing w:after="0"/>
              <w:rPr>
                <w:sz w:val="17"/>
                <w:szCs w:val="17"/>
                <w:color w:val="auto"/>
              </w:rPr>
            </w:pPr>
          </w:p>
        </w:tc>
      </w:tr>
      <w:tr>
        <w:trPr>
          <w:trHeight w:val="35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4520" w:type="dxa"/>
            <w:vAlign w:val="bottom"/>
            <w:gridSpan w:val="13"/>
          </w:tcPr>
          <w:p>
            <w:pPr>
              <w:spacing w:after="0"/>
              <w:rPr>
                <w:sz w:val="20"/>
                <w:szCs w:val="20"/>
                <w:color w:val="auto"/>
              </w:rPr>
            </w:pPr>
            <w:r>
              <w:rPr>
                <w:rFonts w:ascii="Arial" w:cs="Arial" w:eastAsia="Arial" w:hAnsi="Arial"/>
                <w:sz w:val="18"/>
                <w:szCs w:val="18"/>
                <w:color w:val="auto"/>
                <w:w w:val="91"/>
              </w:rPr>
              <w:t>Inline XBRL Instance Document (the instance document does</w:t>
            </w:r>
          </w:p>
        </w:tc>
      </w:tr>
      <w:tr>
        <w:trPr>
          <w:trHeight w:val="216"/>
        </w:trPr>
        <w:tc>
          <w:tcPr>
            <w:tcW w:w="1000" w:type="dxa"/>
            <w:vAlign w:val="bottom"/>
          </w:tcPr>
          <w:p>
            <w:pPr>
              <w:spacing w:after="0"/>
              <w:rPr>
                <w:sz w:val="18"/>
                <w:szCs w:val="18"/>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w w:val="92"/>
              </w:rPr>
              <w:t>not appear in the Interactive Data File because its XBRL tags</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351"/>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50"/>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337"/>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337"/>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452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337"/>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4520" w:type="dxa"/>
            <w:vAlign w:val="bottom"/>
            <w:gridSpan w:val="13"/>
          </w:tcPr>
          <w:p>
            <w:pPr>
              <w:spacing w:after="0"/>
              <w:rPr>
                <w:sz w:val="20"/>
                <w:szCs w:val="20"/>
                <w:color w:val="auto"/>
              </w:rPr>
            </w:pPr>
            <w:r>
              <w:rPr>
                <w:rFonts w:ascii="Arial" w:cs="Arial" w:eastAsia="Arial" w:hAnsi="Arial"/>
                <w:sz w:val="18"/>
                <w:szCs w:val="18"/>
                <w:color w:val="auto"/>
                <w:w w:val="99"/>
              </w:rPr>
              <w:t>Inline XBRL Taxonomy Extension Presentation Linkbase</w:t>
            </w:r>
          </w:p>
        </w:tc>
      </w:tr>
      <w:tr>
        <w:trPr>
          <w:trHeight w:val="230"/>
        </w:trPr>
        <w:tc>
          <w:tcPr>
            <w:tcW w:w="100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Arial" w:cs="Arial" w:eastAsia="Arial" w:hAnsi="Arial"/>
                <w:sz w:val="18"/>
                <w:szCs w:val="18"/>
                <w:color w:val="auto"/>
              </w:rPr>
              <w:t>Document.</w:t>
            </w:r>
          </w:p>
        </w:tc>
      </w:tr>
    </w:tbl>
    <w:p>
      <w:pPr>
        <w:spacing w:after="0" w:line="121" w:lineRule="exact"/>
        <w:rPr>
          <w:sz w:val="20"/>
          <w:szCs w:val="20"/>
          <w:color w:val="auto"/>
        </w:rPr>
      </w:pPr>
    </w:p>
    <w:p>
      <w:pPr>
        <w:ind w:left="1140" w:right="4280" w:hanging="1002"/>
        <w:spacing w:after="0" w:line="277"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5" w:lineRule="exact"/>
        <w:rPr>
          <w:sz w:val="20"/>
          <w:szCs w:val="20"/>
          <w:color w:val="auto"/>
        </w:rPr>
      </w:pPr>
    </w:p>
    <w:p>
      <w:pPr>
        <w:sectPr>
          <w:pgSz w:w="11900" w:h="16838" w:orient="portrait"/>
          <w:cols w:equalWidth="0" w:num="2">
            <w:col w:w="9860" w:space="720"/>
            <w:col w:w="640"/>
          </w:cols>
          <w:pgMar w:left="320" w:top="337" w:right="359" w:bottom="1440" w:gutter="0" w:footer="0" w:header="0"/>
          <w:type w:val="continuous"/>
        </w:sectPr>
      </w:pPr>
    </w:p>
    <w:p>
      <w:pPr>
        <w:ind w:right="300" w:firstLine="8"/>
        <w:spacing w:after="0" w:line="258" w:lineRule="auto"/>
        <w:tabs>
          <w:tab w:leader="none" w:pos="1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8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DAY ONE BIOPHARMACEUTICALS, INC.</w:t>
      </w:r>
    </w:p>
    <w:p>
      <w:pPr>
        <w:spacing w:after="0" w:line="252"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Date: November 6, 2023</w:t>
      </w:r>
      <w:r>
        <w:rPr>
          <w:sz w:val="20"/>
          <w:szCs w:val="20"/>
          <w:color w:val="auto"/>
        </w:rPr>
        <w:tab/>
      </w:r>
      <w:r>
        <w:rPr>
          <w:rFonts w:ascii="Arial" w:cs="Arial" w:eastAsia="Arial" w:hAnsi="Arial"/>
          <w:sz w:val="17"/>
          <w:szCs w:val="17"/>
          <w:color w:val="auto"/>
        </w:rPr>
        <w:t>By: /s/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23495</wp:posOffset>
            </wp:positionV>
            <wp:extent cx="38487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Jeremy Bender, Ph.D., M.B.A.</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Date: November 6, 2023</w:t>
      </w:r>
      <w:r>
        <w:rPr>
          <w:sz w:val="20"/>
          <w:szCs w:val="20"/>
          <w:color w:val="auto"/>
        </w:rPr>
        <w:tab/>
      </w:r>
      <w:r>
        <w:rPr>
          <w:rFonts w:ascii="Arial" w:cs="Arial" w:eastAsia="Arial" w:hAnsi="Arial"/>
          <w:sz w:val="17"/>
          <w:szCs w:val="17"/>
          <w:color w:val="auto"/>
        </w:rPr>
        <w:t>By: /s/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23495</wp:posOffset>
            </wp:positionV>
            <wp:extent cx="38487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Charles N. York II, M.B.A.</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Operating Officer and Chief Financial Officer</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Jeremy Bender, certify that:</w:t>
      </w:r>
    </w:p>
    <w:p>
      <w:pPr>
        <w:spacing w:after="0" w:line="198"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Day One Biopharmaceuticals, Inc.;</w:t>
      </w:r>
    </w:p>
    <w:p>
      <w:pPr>
        <w:spacing w:after="0" w:line="184" w:lineRule="exact"/>
        <w:rPr>
          <w:rFonts w:ascii="Arial" w:cs="Arial" w:eastAsia="Arial" w:hAnsi="Arial"/>
          <w:sz w:val="18"/>
          <w:szCs w:val="18"/>
          <w:color w:val="auto"/>
        </w:rPr>
      </w:pPr>
    </w:p>
    <w:p>
      <w:pPr>
        <w:ind w:left="760" w:right="40" w:hanging="752"/>
        <w:spacing w:after="0" w:line="263" w:lineRule="auto"/>
        <w:tabs>
          <w:tab w:leader="none" w:pos="3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760" w:right="360" w:hanging="752"/>
        <w:spacing w:after="0" w:line="342" w:lineRule="auto"/>
        <w:tabs>
          <w:tab w:leader="none" w:pos="371"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760" w:right="20" w:hanging="752"/>
        <w:spacing w:after="0" w:line="263" w:lineRule="auto"/>
        <w:tabs>
          <w:tab w:leader="none" w:pos="3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500" w:right="40" w:hanging="690"/>
        <w:spacing w:after="0" w:line="263" w:lineRule="auto"/>
        <w:tabs>
          <w:tab w:leader="none" w:pos="116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500" w:right="100" w:hanging="690"/>
        <w:spacing w:after="0" w:line="263" w:lineRule="auto"/>
        <w:tabs>
          <w:tab w:leader="none" w:pos="116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500" w:hanging="690"/>
        <w:spacing w:after="0" w:line="342" w:lineRule="auto"/>
        <w:tabs>
          <w:tab w:leader="none" w:pos="1165"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500" w:right="160" w:hanging="690"/>
        <w:spacing w:after="0" w:line="263" w:lineRule="auto"/>
        <w:tabs>
          <w:tab w:leader="none" w:pos="116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760" w:right="300" w:hanging="752"/>
        <w:spacing w:after="0" w:line="342" w:lineRule="auto"/>
        <w:tabs>
          <w:tab w:leader="none" w:pos="371"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jc w:val="right"/>
        <w:ind w:left="1500" w:right="580" w:hanging="690"/>
        <w:spacing w:after="0" w:line="342" w:lineRule="auto"/>
        <w:tabs>
          <w:tab w:leader="none" w:pos="1165"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500" w:right="280" w:hanging="690"/>
        <w:spacing w:after="0" w:line="277" w:lineRule="auto"/>
        <w:tabs>
          <w:tab w:leader="none" w:pos="116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2023</w:t>
      </w:r>
    </w:p>
    <w:p>
      <w:pPr>
        <w:spacing w:after="0" w:line="23" w:lineRule="exact"/>
        <w:rPr>
          <w:sz w:val="20"/>
          <w:szCs w:val="20"/>
          <w:color w:val="auto"/>
        </w:rPr>
      </w:pPr>
    </w:p>
    <w:p>
      <w:pPr>
        <w:ind w:left="5520"/>
        <w:spacing w:after="0"/>
        <w:tabs>
          <w:tab w:leader="none" w:pos="5880" w:val="left"/>
        </w:tabs>
        <w:rPr>
          <w:sz w:val="20"/>
          <w:szCs w:val="20"/>
          <w:color w:val="auto"/>
        </w:rPr>
      </w:pPr>
      <w:r>
        <w:rPr>
          <w:rFonts w:ascii="Arial" w:cs="Arial" w:eastAsia="Arial" w:hAnsi="Arial"/>
          <w:sz w:val="18"/>
          <w:szCs w:val="18"/>
          <w:color w:val="auto"/>
        </w:rPr>
        <w:t>/s/</w:t>
        <w:tab/>
        <w:t>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Jeremy Bender, Ph.D., MBA</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36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Charles N. York II, certify that:</w:t>
      </w:r>
    </w:p>
    <w:p>
      <w:pPr>
        <w:spacing w:after="0" w:line="198"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Day One Biopharmaceuticals, Inc.;</w:t>
      </w:r>
    </w:p>
    <w:p>
      <w:pPr>
        <w:spacing w:after="0" w:line="184" w:lineRule="exact"/>
        <w:rPr>
          <w:rFonts w:ascii="Arial" w:cs="Arial" w:eastAsia="Arial" w:hAnsi="Arial"/>
          <w:sz w:val="18"/>
          <w:szCs w:val="18"/>
          <w:color w:val="auto"/>
        </w:rPr>
      </w:pPr>
    </w:p>
    <w:p>
      <w:pPr>
        <w:ind w:left="760" w:right="40" w:hanging="752"/>
        <w:spacing w:after="0" w:line="263" w:lineRule="auto"/>
        <w:tabs>
          <w:tab w:leader="none" w:pos="3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760" w:right="360" w:hanging="752"/>
        <w:spacing w:after="0" w:line="342" w:lineRule="auto"/>
        <w:tabs>
          <w:tab w:leader="none" w:pos="371"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760" w:right="20" w:hanging="752"/>
        <w:spacing w:after="0" w:line="263" w:lineRule="auto"/>
        <w:tabs>
          <w:tab w:leader="none" w:pos="3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500" w:right="40" w:hanging="690"/>
        <w:spacing w:after="0" w:line="263" w:lineRule="auto"/>
        <w:tabs>
          <w:tab w:leader="none" w:pos="116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500" w:right="100" w:hanging="690"/>
        <w:spacing w:after="0" w:line="263" w:lineRule="auto"/>
        <w:tabs>
          <w:tab w:leader="none" w:pos="116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500" w:hanging="690"/>
        <w:spacing w:after="0" w:line="342" w:lineRule="auto"/>
        <w:tabs>
          <w:tab w:leader="none" w:pos="1165"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500" w:right="160" w:hanging="690"/>
        <w:spacing w:after="0" w:line="263" w:lineRule="auto"/>
        <w:tabs>
          <w:tab w:leader="none" w:pos="116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760" w:right="300" w:hanging="752"/>
        <w:spacing w:after="0" w:line="342" w:lineRule="auto"/>
        <w:tabs>
          <w:tab w:leader="none" w:pos="371"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jc w:val="right"/>
        <w:ind w:left="1500" w:right="580" w:hanging="690"/>
        <w:spacing w:after="0" w:line="342" w:lineRule="auto"/>
        <w:tabs>
          <w:tab w:leader="none" w:pos="1165"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500" w:right="280" w:hanging="690"/>
        <w:spacing w:after="0" w:line="277" w:lineRule="auto"/>
        <w:tabs>
          <w:tab w:leader="none" w:pos="116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2023</w:t>
      </w:r>
    </w:p>
    <w:p>
      <w:pPr>
        <w:spacing w:after="0" w:line="23" w:lineRule="exact"/>
        <w:rPr>
          <w:sz w:val="20"/>
          <w:szCs w:val="20"/>
          <w:color w:val="auto"/>
        </w:rPr>
      </w:pPr>
    </w:p>
    <w:p>
      <w:pPr>
        <w:ind w:left="5080"/>
        <w:spacing w:after="0"/>
        <w:tabs>
          <w:tab w:leader="none" w:pos="59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Charles N. York II, M.B.A.</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Chief Operating Officer and Chief Financial Officer</w:t>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Jeremy Bender, Chief Executive Officer of Day One Biopharmaceuticals, Inc. (the “Company”), do hereby certify, pursuant to 18 U.S.C. Section 1350, as adopted pursuant to Section 906 of the Sarbanes-Oxley Act of 2002, that to the best of my knowledge:</w:t>
      </w:r>
    </w:p>
    <w:p>
      <w:pPr>
        <w:spacing w:after="0" w:line="143" w:lineRule="exact"/>
        <w:rPr>
          <w:sz w:val="20"/>
          <w:szCs w:val="20"/>
          <w:color w:val="auto"/>
        </w:rPr>
      </w:pPr>
    </w:p>
    <w:p>
      <w:pPr>
        <w:ind w:left="760" w:right="840" w:hanging="752"/>
        <w:spacing w:after="0" w:line="277" w:lineRule="auto"/>
        <w:tabs>
          <w:tab w:leader="none" w:pos="37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2023 (the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60" w:hanging="352"/>
        <w:spacing w:after="0"/>
        <w:tabs>
          <w:tab w:leader="none" w:pos="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Dated: November 6, 2023</w:t>
            </w:r>
          </w:p>
        </w:tc>
        <w:tc>
          <w:tcPr>
            <w:tcW w:w="7500" w:type="dxa"/>
            <w:vAlign w:val="bottom"/>
            <w:gridSpan w:val="2"/>
          </w:tcPr>
          <w:p>
            <w:pPr>
              <w:ind w:left="1740"/>
              <w:spacing w:after="0"/>
              <w:rPr>
                <w:sz w:val="20"/>
                <w:szCs w:val="20"/>
                <w:color w:val="auto"/>
              </w:rPr>
            </w:pPr>
            <w:r>
              <w:rPr>
                <w:rFonts w:ascii="Arial" w:cs="Arial" w:eastAsia="Arial" w:hAnsi="Arial"/>
                <w:sz w:val="18"/>
                <w:szCs w:val="18"/>
                <w:color w:val="auto"/>
              </w:rPr>
              <w:t>/s/   Jeremy Bender, Ph.D., M.B.A.</w:t>
            </w:r>
          </w:p>
        </w:tc>
        <w:tc>
          <w:tcPr>
            <w:tcW w:w="120" w:type="dxa"/>
            <w:vAlign w:val="bottom"/>
          </w:tcPr>
          <w:p>
            <w:pPr>
              <w:spacing w:after="0"/>
              <w:rPr>
                <w:sz w:val="20"/>
                <w:szCs w:val="20"/>
                <w:color w:val="auto"/>
              </w:rPr>
            </w:pPr>
          </w:p>
        </w:tc>
      </w:tr>
      <w:tr>
        <w:trPr>
          <w:trHeight w:val="195"/>
        </w:trPr>
        <w:tc>
          <w:tcPr>
            <w:tcW w:w="3620" w:type="dxa"/>
            <w:vAlign w:val="bottom"/>
          </w:tcPr>
          <w:p>
            <w:pPr>
              <w:spacing w:after="0"/>
              <w:rPr>
                <w:sz w:val="16"/>
                <w:szCs w:val="16"/>
                <w:color w:val="auto"/>
              </w:rPr>
            </w:pPr>
          </w:p>
        </w:tc>
        <w:tc>
          <w:tcPr>
            <w:tcW w:w="2160" w:type="dxa"/>
            <w:vAlign w:val="bottom"/>
          </w:tcPr>
          <w:p>
            <w:pPr>
              <w:ind w:left="1740"/>
              <w:spacing w:after="0"/>
              <w:rPr>
                <w:sz w:val="20"/>
                <w:szCs w:val="20"/>
                <w:color w:val="auto"/>
              </w:rPr>
            </w:pPr>
            <w:r>
              <w:rPr>
                <w:rFonts w:ascii="Arial" w:cs="Arial" w:eastAsia="Arial" w:hAnsi="Arial"/>
                <w:sz w:val="17"/>
                <w:szCs w:val="17"/>
                <w:color w:val="auto"/>
                <w:w w:val="71"/>
              </w:rPr>
              <w:t>Jeremy</w:t>
            </w:r>
          </w:p>
        </w:tc>
        <w:tc>
          <w:tcPr>
            <w:tcW w:w="53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Bender, Ph.D., MBA</w:t>
            </w:r>
          </w:p>
        </w:tc>
        <w:tc>
          <w:tcPr>
            <w:tcW w:w="12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7500" w:type="dxa"/>
            <w:vAlign w:val="bottom"/>
            <w:gridSpan w:val="2"/>
          </w:tcPr>
          <w:p>
            <w:pPr>
              <w:ind w:left="1740"/>
              <w:spacing w:after="0"/>
              <w:rPr>
                <w:sz w:val="20"/>
                <w:szCs w:val="20"/>
                <w:color w:val="auto"/>
              </w:rPr>
            </w:pPr>
            <w:r>
              <w:rPr>
                <w:rFonts w:ascii="Arial" w:cs="Arial" w:eastAsia="Arial" w:hAnsi="Arial"/>
                <w:sz w:val="18"/>
                <w:szCs w:val="18"/>
                <w:i w:val="1"/>
                <w:iCs w:val="1"/>
                <w:color w:val="auto"/>
              </w:rPr>
              <w:t>Chief Executive Officer and President</w:t>
            </w:r>
          </w:p>
        </w:tc>
        <w:tc>
          <w:tcPr>
            <w:tcW w:w="12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7500" w:type="dxa"/>
            <w:vAlign w:val="bottom"/>
            <w:gridSpan w:val="2"/>
          </w:tcPr>
          <w:p>
            <w:pPr>
              <w:ind w:left="1740"/>
              <w:spacing w:after="0"/>
              <w:rPr>
                <w:sz w:val="20"/>
                <w:szCs w:val="20"/>
                <w:color w:val="auto"/>
              </w:rPr>
            </w:pPr>
            <w:r>
              <w:rPr>
                <w:rFonts w:ascii="Arial" w:cs="Arial" w:eastAsia="Arial" w:hAnsi="Arial"/>
                <w:sz w:val="18"/>
                <w:szCs w:val="18"/>
                <w:i w:val="1"/>
                <w:iCs w:val="1"/>
                <w:color w:val="auto"/>
              </w:rPr>
              <w:t>(Principal Executive Officer)</w:t>
            </w:r>
          </w:p>
        </w:tc>
        <w:tc>
          <w:tcPr>
            <w:tcW w:w="120" w:type="dxa"/>
            <w:vAlign w:val="bottom"/>
          </w:tcPr>
          <w:p>
            <w:pPr>
              <w:spacing w:after="0"/>
              <w:rPr>
                <w:sz w:val="21"/>
                <w:szCs w:val="21"/>
                <w:color w:val="auto"/>
              </w:rPr>
            </w:pPr>
          </w:p>
        </w:tc>
      </w:tr>
      <w:tr>
        <w:trPr>
          <w:trHeight w:val="216"/>
        </w:trPr>
        <w:tc>
          <w:tcPr>
            <w:tcW w:w="36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568"/>
        </w:trPr>
        <w:tc>
          <w:tcPr>
            <w:tcW w:w="36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Charles N. York II, Chief Financial Officer of Day One Biopharmaceuticals, Inc. (the “Company”), do hereby certify, pursuant to 18 U.S.C. Section 1350, as adopted pursuant to Section 906 of the Sarbanes-Oxley Act of 2002, that to the best of my knowledge:</w:t>
      </w:r>
    </w:p>
    <w:p>
      <w:pPr>
        <w:spacing w:after="0" w:line="143" w:lineRule="exact"/>
        <w:rPr>
          <w:sz w:val="20"/>
          <w:szCs w:val="20"/>
          <w:color w:val="auto"/>
        </w:rPr>
      </w:pPr>
    </w:p>
    <w:p>
      <w:pPr>
        <w:ind w:left="760" w:right="840" w:hanging="752"/>
        <w:spacing w:after="0" w:line="277" w:lineRule="auto"/>
        <w:tabs>
          <w:tab w:leader="none" w:pos="37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2023 (the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60" w:hanging="352"/>
        <w:spacing w:after="0"/>
        <w:tabs>
          <w:tab w:leader="none" w:pos="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Dated: November 6, 2023</w:t>
            </w:r>
          </w:p>
        </w:tc>
        <w:tc>
          <w:tcPr>
            <w:tcW w:w="7440" w:type="dxa"/>
            <w:vAlign w:val="bottom"/>
            <w:gridSpan w:val="2"/>
          </w:tcPr>
          <w:p>
            <w:pPr>
              <w:ind w:left="1800"/>
              <w:spacing w:after="0"/>
              <w:rPr>
                <w:sz w:val="20"/>
                <w:szCs w:val="20"/>
                <w:color w:val="auto"/>
              </w:rPr>
            </w:pPr>
            <w:r>
              <w:rPr>
                <w:rFonts w:ascii="Arial" w:cs="Arial" w:eastAsia="Arial" w:hAnsi="Arial"/>
                <w:sz w:val="18"/>
                <w:szCs w:val="18"/>
                <w:color w:val="auto"/>
              </w:rPr>
              <w:t>/s/ Charles N. York II, M.B.A.</w:t>
            </w:r>
          </w:p>
        </w:tc>
        <w:tc>
          <w:tcPr>
            <w:tcW w:w="120" w:type="dxa"/>
            <w:vAlign w:val="bottom"/>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3680" w:type="dxa"/>
            <w:vAlign w:val="bottom"/>
          </w:tcPr>
          <w:p>
            <w:pPr>
              <w:spacing w:after="0"/>
              <w:rPr>
                <w:sz w:val="19"/>
                <w:szCs w:val="19"/>
                <w:color w:val="auto"/>
              </w:rPr>
            </w:pPr>
          </w:p>
        </w:tc>
        <w:tc>
          <w:tcPr>
            <w:tcW w:w="7440" w:type="dxa"/>
            <w:vAlign w:val="bottom"/>
            <w:gridSpan w:val="2"/>
          </w:tcPr>
          <w:p>
            <w:pPr>
              <w:ind w:left="1800"/>
              <w:spacing w:after="0"/>
              <w:rPr>
                <w:sz w:val="20"/>
                <w:szCs w:val="20"/>
                <w:color w:val="auto"/>
              </w:rPr>
            </w:pPr>
            <w:r>
              <w:rPr>
                <w:rFonts w:ascii="Arial" w:cs="Arial" w:eastAsia="Arial" w:hAnsi="Arial"/>
                <w:sz w:val="18"/>
                <w:szCs w:val="18"/>
                <w:color w:val="auto"/>
              </w:rPr>
              <w:t>Charles N. York II, M.B.A.</w:t>
            </w:r>
          </w:p>
        </w:tc>
        <w:tc>
          <w:tcPr>
            <w:tcW w:w="120" w:type="dxa"/>
            <w:vAlign w:val="bottom"/>
          </w:tcPr>
          <w:p>
            <w:pPr>
              <w:spacing w:after="0"/>
              <w:rPr>
                <w:sz w:val="19"/>
                <w:szCs w:val="19"/>
                <w:color w:val="auto"/>
              </w:rPr>
            </w:pPr>
          </w:p>
        </w:tc>
      </w:tr>
      <w:tr>
        <w:trPr>
          <w:trHeight w:val="323"/>
        </w:trPr>
        <w:tc>
          <w:tcPr>
            <w:tcW w:w="3680" w:type="dxa"/>
            <w:vAlign w:val="bottom"/>
          </w:tcPr>
          <w:p>
            <w:pPr>
              <w:spacing w:after="0"/>
              <w:rPr>
                <w:sz w:val="24"/>
                <w:szCs w:val="24"/>
                <w:color w:val="auto"/>
              </w:rPr>
            </w:pPr>
          </w:p>
        </w:tc>
        <w:tc>
          <w:tcPr>
            <w:tcW w:w="7440" w:type="dxa"/>
            <w:vAlign w:val="bottom"/>
            <w:gridSpan w:val="2"/>
          </w:tcPr>
          <w:p>
            <w:pPr>
              <w:ind w:left="1800"/>
              <w:spacing w:after="0"/>
              <w:rPr>
                <w:sz w:val="20"/>
                <w:szCs w:val="20"/>
                <w:color w:val="auto"/>
              </w:rPr>
            </w:pPr>
            <w:r>
              <w:rPr>
                <w:rFonts w:ascii="Arial" w:cs="Arial" w:eastAsia="Arial" w:hAnsi="Arial"/>
                <w:sz w:val="18"/>
                <w:szCs w:val="18"/>
                <w:i w:val="1"/>
                <w:iCs w:val="1"/>
                <w:color w:val="auto"/>
              </w:rPr>
              <w:t>Chief Operating Officer and Chief Financial Officer</w:t>
            </w:r>
          </w:p>
        </w:tc>
        <w:tc>
          <w:tcPr>
            <w:tcW w:w="120" w:type="dxa"/>
            <w:vAlign w:val="bottom"/>
          </w:tcPr>
          <w:p>
            <w:pPr>
              <w:spacing w:after="0"/>
              <w:rPr>
                <w:sz w:val="24"/>
                <w:szCs w:val="24"/>
                <w:color w:val="auto"/>
              </w:rPr>
            </w:pPr>
          </w:p>
        </w:tc>
      </w:tr>
      <w:tr>
        <w:trPr>
          <w:trHeight w:val="338"/>
        </w:trPr>
        <w:tc>
          <w:tcPr>
            <w:tcW w:w="3680" w:type="dxa"/>
            <w:vAlign w:val="bottom"/>
          </w:tcPr>
          <w:p>
            <w:pPr>
              <w:spacing w:after="0"/>
              <w:rPr>
                <w:sz w:val="24"/>
                <w:szCs w:val="24"/>
                <w:color w:val="auto"/>
              </w:rPr>
            </w:pPr>
          </w:p>
        </w:tc>
        <w:tc>
          <w:tcPr>
            <w:tcW w:w="7440" w:type="dxa"/>
            <w:vAlign w:val="bottom"/>
            <w:gridSpan w:val="2"/>
          </w:tcPr>
          <w:p>
            <w:pPr>
              <w:ind w:left="180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120" w:type="dxa"/>
            <w:vAlign w:val="bottom"/>
          </w:tcPr>
          <w:p>
            <w:pPr>
              <w:spacing w:after="0"/>
              <w:rPr>
                <w:sz w:val="24"/>
                <w:szCs w:val="24"/>
                <w:color w:val="auto"/>
              </w:rPr>
            </w:pPr>
          </w:p>
        </w:tc>
      </w:tr>
      <w:tr>
        <w:trPr>
          <w:trHeight w:val="675"/>
        </w:trPr>
        <w:tc>
          <w:tcPr>
            <w:tcW w:w="3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568"/>
        </w:trPr>
        <w:tc>
          <w:tcPr>
            <w:tcW w:w="36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1."/>
      <w:numFmt w:val="decimal"/>
      <w:start w:val="3"/>
    </w:lvl>
  </w:abstractNum>
  <w:abstractNum w:abstractNumId="5">
    <w:nsid w:val="6CEAF087"/>
    <w:multiLevelType w:val="hybridMultilevel"/>
    <w:lvl w:ilvl="0">
      <w:lvlJc w:val="left"/>
      <w:lvlText w:val="%1."/>
      <w:numFmt w:val="decimal"/>
      <w:start w:val="4"/>
    </w:lvl>
  </w:abstractNum>
  <w:abstractNum w:abstractNumId="6">
    <w:nsid w:val="22221A70"/>
    <w:multiLevelType w:val="hybridMultilevel"/>
    <w:lvl w:ilvl="0">
      <w:lvlJc w:val="left"/>
      <w:lvlText w:val="%1."/>
      <w:numFmt w:val="decimal"/>
      <w:start w:val="5"/>
    </w:lvl>
  </w:abstractNum>
  <w:abstractNum w:abstractNumId="7">
    <w:nsid w:val="4516DDE9"/>
    <w:multiLevelType w:val="hybridMultilevel"/>
    <w:lvl w:ilvl="0">
      <w:lvlJc w:val="left"/>
      <w:lvlText w:val="%1."/>
      <w:numFmt w:val="decimal"/>
      <w:start w:val="6"/>
    </w:lvl>
  </w:abstractNum>
  <w:abstractNum w:abstractNumId="8">
    <w:nsid w:val="3006C83E"/>
    <w:multiLevelType w:val="hybridMultilevel"/>
    <w:lvl w:ilvl="0">
      <w:lvlJc w:val="left"/>
      <w:lvlText w:val="%1."/>
      <w:numFmt w:val="decimal"/>
      <w:start w:val="7"/>
    </w:lvl>
  </w:abstractNum>
  <w:abstractNum w:abstractNumId="9">
    <w:nsid w:val="614FD4A1"/>
    <w:multiLevelType w:val="hybridMultilevel"/>
    <w:lvl w:ilvl="0">
      <w:lvlJc w:val="left"/>
      <w:lvlText w:val="%1."/>
      <w:numFmt w:val="decimal"/>
      <w:start w:val="8"/>
    </w:lvl>
  </w:abstractNum>
  <w:abstractNum w:abstractNumId="10">
    <w:nsid w:val="419AC241"/>
    <w:multiLevelType w:val="hybridMultilevel"/>
    <w:lvl w:ilvl="0">
      <w:lvlJc w:val="left"/>
      <w:lvlText w:val="%1."/>
      <w:numFmt w:val="decimal"/>
      <w:start w:val="9"/>
    </w:lvl>
  </w:abstractNum>
  <w:abstractNum w:abstractNumId="11">
    <w:nsid w:val="5577F8E1"/>
    <w:multiLevelType w:val="hybridMultilevel"/>
    <w:lvl w:ilvl="0">
      <w:lvlJc w:val="left"/>
      <w:lvlText w:val="%1."/>
      <w:numFmt w:val="decimal"/>
      <w:start w:val="10"/>
    </w:lvl>
  </w:abstractNum>
  <w:abstractNum w:abstractNumId="12">
    <w:nsid w:val="440BADFC"/>
    <w:multiLevelType w:val="hybridMultilevel"/>
    <w:lvl w:ilvl="0">
      <w:lvlJc w:val="left"/>
      <w:lvlText w:val="%1."/>
      <w:numFmt w:val="decimal"/>
      <w:start w:val="1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lowerRoman"/>
      <w:start w:val="3"/>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decimal"/>
      <w:start w:val="104"/>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2023-11-06T15:57:04Z</dcterms:created>
  <dcterms:modified xsi:type="dcterms:W3CDTF">2023-11-06T15:57:04Z</dcterms:modified>
</cp:coreProperties>
</file>