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60325</wp:posOffset>
            </wp:positionV>
            <wp:extent cx="1543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06"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88265</wp:posOffset>
            </wp:positionV>
            <wp:extent cx="1543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16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 the quarterly period ended June 30, 2022</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50"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48" w:lineRule="exact"/>
        <w:rPr>
          <w:sz w:val="24"/>
          <w:szCs w:val="24"/>
          <w:color w:val="auto"/>
        </w:rPr>
      </w:pPr>
    </w:p>
    <w:p>
      <w:pPr>
        <w:ind w:left="3660"/>
        <w:spacing w:after="0"/>
        <w:tabs>
          <w:tab w:leader="none" w:pos="66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3678555</wp:posOffset>
            </wp:positionH>
            <wp:positionV relativeFrom="paragraph">
              <wp:posOffset>-12700</wp:posOffset>
            </wp:positionV>
            <wp:extent cx="514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001-40431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80645</wp:posOffset>
            </wp:positionV>
            <wp:extent cx="15430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22" w:lineRule="exact"/>
        <w:rPr>
          <w:sz w:val="24"/>
          <w:szCs w:val="24"/>
          <w:color w:val="auto"/>
        </w:rPr>
      </w:pPr>
    </w:p>
    <w:p>
      <w:pPr>
        <w:jc w:val="center"/>
        <w:ind w:right="100"/>
        <w:spacing w:after="0"/>
        <w:rPr>
          <w:sz w:val="20"/>
          <w:szCs w:val="20"/>
          <w:color w:val="auto"/>
        </w:rPr>
      </w:pPr>
      <w:r>
        <w:rPr>
          <w:rFonts w:ascii="Arial" w:cs="Arial" w:eastAsia="Arial" w:hAnsi="Arial"/>
          <w:sz w:val="41"/>
          <w:szCs w:val="41"/>
          <w:b w:val="1"/>
          <w:bCs w:val="1"/>
          <w:color w:val="auto"/>
        </w:rPr>
        <w:t>DAY ONE BIOPHARMACEUTICALS, INC.</w:t>
      </w:r>
    </w:p>
    <w:p>
      <w:pPr>
        <w:spacing w:after="0" w:line="44" w:lineRule="exact"/>
        <w:rPr>
          <w:sz w:val="24"/>
          <w:szCs w:val="24"/>
          <w:color w:val="auto"/>
        </w:rPr>
      </w:pPr>
    </w:p>
    <w:tbl>
      <w:tblPr>
        <w:tblLayout w:type="fixed"/>
        <w:tblInd w:w="1520" w:type="dxa"/>
        <w:tblCellMar>
          <w:top w:w="0" w:type="dxa"/>
          <w:left w:w="0" w:type="dxa"/>
          <w:bottom w:w="0" w:type="dxa"/>
          <w:right w:w="0" w:type="dxa"/>
        </w:tblCellMar>
      </w:tblPr>
      <w:tr>
        <w:trPr>
          <w:trHeight w:val="210"/>
        </w:trPr>
        <w:tc>
          <w:tcPr>
            <w:tcW w:w="6180" w:type="dxa"/>
            <w:vAlign w:val="bottom"/>
            <w:gridSpan w:val="3"/>
          </w:tcPr>
          <w:p>
            <w:pPr>
              <w:jc w:val="center"/>
              <w:ind w:left="1905"/>
              <w:spacing w:after="0"/>
              <w:rPr>
                <w:sz w:val="20"/>
                <w:szCs w:val="20"/>
                <w:color w:val="auto"/>
              </w:rPr>
            </w:pPr>
            <w:r>
              <w:rPr>
                <w:rFonts w:ascii="Arial" w:cs="Arial" w:eastAsia="Arial" w:hAnsi="Arial"/>
                <w:sz w:val="16"/>
                <w:szCs w:val="16"/>
                <w:b w:val="1"/>
                <w:bCs w:val="1"/>
                <w:color w:val="auto"/>
                <w:w w:val="91"/>
              </w:rPr>
              <w:t>(Exact Name of Registrant as Specified in its Charter)</w:t>
            </w:r>
          </w:p>
        </w:tc>
        <w:tc>
          <w:tcPr>
            <w:tcW w:w="1220" w:type="dxa"/>
            <w:vAlign w:val="bottom"/>
          </w:tcPr>
          <w:p>
            <w:pPr>
              <w:spacing w:after="0"/>
              <w:rPr>
                <w:sz w:val="18"/>
                <w:szCs w:val="18"/>
                <w:color w:val="auto"/>
              </w:rPr>
            </w:pPr>
          </w:p>
        </w:tc>
      </w:tr>
      <w:tr>
        <w:trPr>
          <w:trHeight w:val="82"/>
        </w:trPr>
        <w:tc>
          <w:tcPr>
            <w:tcW w:w="2880" w:type="dxa"/>
            <w:vAlign w:val="bottom"/>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448"/>
        </w:trPr>
        <w:tc>
          <w:tcPr>
            <w:tcW w:w="6180" w:type="dxa"/>
            <w:vAlign w:val="bottom"/>
            <w:gridSpan w:val="3"/>
          </w:tcPr>
          <w:p>
            <w:pPr>
              <w:jc w:val="center"/>
              <w:ind w:right="3600"/>
              <w:spacing w:after="0"/>
              <w:rPr>
                <w:sz w:val="20"/>
                <w:szCs w:val="20"/>
                <w:color w:val="auto"/>
              </w:rPr>
            </w:pPr>
            <w:r>
              <w:rPr>
                <w:rFonts w:ascii="Arial" w:cs="Arial" w:eastAsia="Arial" w:hAnsi="Arial"/>
                <w:sz w:val="16"/>
                <w:szCs w:val="16"/>
                <w:b w:val="1"/>
                <w:bCs w:val="1"/>
                <w:color w:val="auto"/>
                <w:w w:val="93"/>
              </w:rPr>
              <w:t>Delaware</w:t>
            </w:r>
          </w:p>
        </w:tc>
        <w:tc>
          <w:tcPr>
            <w:tcW w:w="1220" w:type="dxa"/>
            <w:vAlign w:val="bottom"/>
          </w:tcPr>
          <w:p>
            <w:pPr>
              <w:jc w:val="right"/>
              <w:ind w:right="30"/>
              <w:spacing w:after="0"/>
              <w:rPr>
                <w:sz w:val="20"/>
                <w:szCs w:val="20"/>
                <w:color w:val="auto"/>
              </w:rPr>
            </w:pPr>
            <w:r>
              <w:rPr>
                <w:rFonts w:ascii="Arial" w:cs="Arial" w:eastAsia="Arial" w:hAnsi="Arial"/>
                <w:sz w:val="16"/>
                <w:szCs w:val="16"/>
                <w:b w:val="1"/>
                <w:bCs w:val="1"/>
                <w:color w:val="auto"/>
              </w:rPr>
              <w:t>83-2415215</w:t>
            </w:r>
          </w:p>
        </w:tc>
      </w:tr>
      <w:tr>
        <w:trPr>
          <w:trHeight w:val="126"/>
        </w:trPr>
        <w:tc>
          <w:tcPr>
            <w:tcW w:w="6180" w:type="dxa"/>
            <w:vAlign w:val="bottom"/>
            <w:gridSpan w:val="3"/>
          </w:tcPr>
          <w:p>
            <w:pPr>
              <w:jc w:val="center"/>
              <w:ind w:right="3600"/>
              <w:spacing w:after="0" w:line="126" w:lineRule="exact"/>
              <w:rPr>
                <w:sz w:val="20"/>
                <w:szCs w:val="20"/>
                <w:color w:val="auto"/>
              </w:rPr>
            </w:pPr>
            <w:r>
              <w:rPr>
                <w:rFonts w:ascii="Arial" w:cs="Arial" w:eastAsia="Arial" w:hAnsi="Arial"/>
                <w:sz w:val="13"/>
                <w:szCs w:val="13"/>
                <w:b w:val="1"/>
                <w:bCs w:val="1"/>
                <w:color w:val="auto"/>
                <w:w w:val="88"/>
              </w:rPr>
              <w:t>(State or other jurisdiction of</w:t>
            </w:r>
          </w:p>
        </w:tc>
        <w:tc>
          <w:tcPr>
            <w:tcW w:w="1220" w:type="dxa"/>
            <w:vAlign w:val="bottom"/>
          </w:tcPr>
          <w:p>
            <w:pPr>
              <w:jc w:val="center"/>
              <w:ind w:left="170"/>
              <w:spacing w:after="0" w:line="126"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6180" w:type="dxa"/>
            <w:vAlign w:val="bottom"/>
            <w:gridSpan w:val="3"/>
          </w:tcPr>
          <w:p>
            <w:pPr>
              <w:jc w:val="center"/>
              <w:ind w:right="3580"/>
              <w:spacing w:after="0"/>
              <w:rPr>
                <w:sz w:val="20"/>
                <w:szCs w:val="20"/>
                <w:color w:val="auto"/>
              </w:rPr>
            </w:pPr>
            <w:r>
              <w:rPr>
                <w:rFonts w:ascii="Arial" w:cs="Arial" w:eastAsia="Arial" w:hAnsi="Arial"/>
                <w:sz w:val="13"/>
                <w:szCs w:val="13"/>
                <w:b w:val="1"/>
                <w:bCs w:val="1"/>
                <w:color w:val="auto"/>
                <w:w w:val="88"/>
              </w:rPr>
              <w:t>incorporation or organization)</w:t>
            </w:r>
          </w:p>
        </w:tc>
        <w:tc>
          <w:tcPr>
            <w:tcW w:w="1220" w:type="dxa"/>
            <w:vAlign w:val="bottom"/>
          </w:tcPr>
          <w:p>
            <w:pPr>
              <w:jc w:val="center"/>
              <w:ind w:left="170"/>
              <w:spacing w:after="0"/>
              <w:rPr>
                <w:sz w:val="20"/>
                <w:szCs w:val="20"/>
                <w:color w:val="auto"/>
              </w:rPr>
            </w:pPr>
            <w:r>
              <w:rPr>
                <w:rFonts w:ascii="Arial" w:cs="Arial" w:eastAsia="Arial" w:hAnsi="Arial"/>
                <w:sz w:val="13"/>
                <w:szCs w:val="13"/>
                <w:b w:val="1"/>
                <w:bCs w:val="1"/>
                <w:color w:val="auto"/>
                <w:w w:val="89"/>
              </w:rPr>
              <w:t>Identification No.)</w:t>
            </w:r>
          </w:p>
        </w:tc>
      </w:tr>
      <w:tr>
        <w:trPr>
          <w:trHeight w:val="376"/>
        </w:trPr>
        <w:tc>
          <w:tcPr>
            <w:tcW w:w="6180" w:type="dxa"/>
            <w:vAlign w:val="bottom"/>
            <w:gridSpan w:val="3"/>
          </w:tcPr>
          <w:p>
            <w:pPr>
              <w:jc w:val="center"/>
              <w:ind w:right="3600"/>
              <w:spacing w:after="0"/>
              <w:rPr>
                <w:sz w:val="20"/>
                <w:szCs w:val="20"/>
                <w:color w:val="auto"/>
              </w:rPr>
            </w:pPr>
            <w:r>
              <w:rPr>
                <w:rFonts w:ascii="Arial" w:cs="Arial" w:eastAsia="Arial" w:hAnsi="Arial"/>
                <w:sz w:val="16"/>
                <w:szCs w:val="16"/>
                <w:b w:val="1"/>
                <w:bCs w:val="1"/>
                <w:color w:val="auto"/>
                <w:w w:val="92"/>
              </w:rPr>
              <w:t>2000 Sierra Point Parkway, Suite 501</w:t>
            </w:r>
          </w:p>
        </w:tc>
        <w:tc>
          <w:tcPr>
            <w:tcW w:w="1220" w:type="dxa"/>
            <w:vAlign w:val="bottom"/>
          </w:tcPr>
          <w:p>
            <w:pPr>
              <w:jc w:val="right"/>
              <w:ind w:right="210"/>
              <w:spacing w:after="0"/>
              <w:rPr>
                <w:sz w:val="20"/>
                <w:szCs w:val="20"/>
                <w:color w:val="auto"/>
              </w:rPr>
            </w:pPr>
            <w:r>
              <w:rPr>
                <w:rFonts w:ascii="Arial" w:cs="Arial" w:eastAsia="Arial" w:hAnsi="Arial"/>
                <w:sz w:val="16"/>
                <w:szCs w:val="16"/>
                <w:b w:val="1"/>
                <w:bCs w:val="1"/>
                <w:color w:val="auto"/>
              </w:rPr>
              <w:t>94005</w:t>
            </w:r>
          </w:p>
        </w:tc>
      </w:tr>
      <w:tr>
        <w:trPr>
          <w:trHeight w:val="198"/>
        </w:trPr>
        <w:tc>
          <w:tcPr>
            <w:tcW w:w="6180" w:type="dxa"/>
            <w:vAlign w:val="bottom"/>
            <w:gridSpan w:val="3"/>
          </w:tcPr>
          <w:p>
            <w:pPr>
              <w:jc w:val="center"/>
              <w:ind w:right="3600"/>
              <w:spacing w:after="0"/>
              <w:rPr>
                <w:sz w:val="20"/>
                <w:szCs w:val="20"/>
                <w:color w:val="auto"/>
              </w:rPr>
            </w:pPr>
            <w:r>
              <w:rPr>
                <w:rFonts w:ascii="Arial" w:cs="Arial" w:eastAsia="Arial" w:hAnsi="Arial"/>
                <w:sz w:val="16"/>
                <w:szCs w:val="16"/>
                <w:b w:val="1"/>
                <w:bCs w:val="1"/>
                <w:color w:val="auto"/>
                <w:w w:val="93"/>
              </w:rPr>
              <w:t>Brisbane, CA</w:t>
            </w:r>
          </w:p>
        </w:tc>
        <w:tc>
          <w:tcPr>
            <w:tcW w:w="1220" w:type="dxa"/>
            <w:vAlign w:val="bottom"/>
          </w:tcPr>
          <w:p>
            <w:pPr>
              <w:spacing w:after="0"/>
              <w:rPr>
                <w:sz w:val="17"/>
                <w:szCs w:val="17"/>
                <w:color w:val="auto"/>
              </w:rPr>
            </w:pPr>
          </w:p>
        </w:tc>
      </w:tr>
      <w:tr>
        <w:trPr>
          <w:trHeight w:val="139"/>
        </w:trPr>
        <w:tc>
          <w:tcPr>
            <w:tcW w:w="6180" w:type="dxa"/>
            <w:vAlign w:val="bottom"/>
            <w:gridSpan w:val="3"/>
          </w:tcPr>
          <w:p>
            <w:pPr>
              <w:jc w:val="center"/>
              <w:ind w:right="3580"/>
              <w:spacing w:after="0" w:line="139" w:lineRule="exact"/>
              <w:rPr>
                <w:sz w:val="20"/>
                <w:szCs w:val="20"/>
                <w:color w:val="auto"/>
              </w:rPr>
            </w:pPr>
            <w:r>
              <w:rPr>
                <w:rFonts w:ascii="Arial" w:cs="Arial" w:eastAsia="Arial" w:hAnsi="Arial"/>
                <w:sz w:val="13"/>
                <w:szCs w:val="13"/>
                <w:b w:val="1"/>
                <w:bCs w:val="1"/>
                <w:color w:val="auto"/>
                <w:w w:val="85"/>
              </w:rPr>
              <w:t>(Address of principal executive offices)</w:t>
            </w:r>
          </w:p>
        </w:tc>
        <w:tc>
          <w:tcPr>
            <w:tcW w:w="1220" w:type="dxa"/>
            <w:vAlign w:val="bottom"/>
          </w:tcPr>
          <w:p>
            <w:pPr>
              <w:jc w:val="center"/>
              <w:ind w:left="170"/>
              <w:spacing w:after="0" w:line="139" w:lineRule="exact"/>
              <w:rPr>
                <w:sz w:val="20"/>
                <w:szCs w:val="20"/>
                <w:color w:val="auto"/>
              </w:rPr>
            </w:pPr>
            <w:r>
              <w:rPr>
                <w:rFonts w:ascii="Arial" w:cs="Arial" w:eastAsia="Arial" w:hAnsi="Arial"/>
                <w:sz w:val="13"/>
                <w:szCs w:val="13"/>
                <w:b w:val="1"/>
                <w:bCs w:val="1"/>
                <w:color w:val="auto"/>
                <w:w w:val="90"/>
              </w:rPr>
              <w:t>(Zip Code)</w:t>
            </w:r>
          </w:p>
        </w:tc>
      </w:tr>
      <w:tr>
        <w:trPr>
          <w:trHeight w:val="175"/>
        </w:trPr>
        <w:tc>
          <w:tcPr>
            <w:tcW w:w="5320" w:type="dxa"/>
            <w:vAlign w:val="bottom"/>
            <w:gridSpan w:val="2"/>
          </w:tcPr>
          <w:p>
            <w:pPr>
              <w:jc w:val="center"/>
              <w:ind w:left="2825"/>
              <w:spacing w:after="0" w:line="175" w:lineRule="exact"/>
              <w:rPr>
                <w:sz w:val="20"/>
                <w:szCs w:val="20"/>
                <w:color w:val="auto"/>
              </w:rPr>
            </w:pPr>
            <w:r>
              <w:rPr>
                <w:rFonts w:ascii="Arial" w:cs="Arial" w:eastAsia="Arial" w:hAnsi="Arial"/>
                <w:sz w:val="16"/>
                <w:szCs w:val="16"/>
                <w:b w:val="1"/>
                <w:bCs w:val="1"/>
                <w:color w:val="auto"/>
                <w:w w:val="93"/>
              </w:rPr>
              <w:t>(650) 484-0899</w:t>
            </w: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0"/>
        </w:trPr>
        <w:tc>
          <w:tcPr>
            <w:tcW w:w="6180" w:type="dxa"/>
            <w:vAlign w:val="bottom"/>
            <w:gridSpan w:val="3"/>
          </w:tcPr>
          <w:p>
            <w:pPr>
              <w:jc w:val="center"/>
              <w:ind w:left="1965"/>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220" w:type="dxa"/>
            <w:vAlign w:val="bottom"/>
          </w:tcPr>
          <w:p>
            <w:pPr>
              <w:spacing w:after="0"/>
              <w:rPr>
                <w:sz w:val="18"/>
                <w:szCs w:val="18"/>
                <w:color w:val="auto"/>
              </w:rPr>
            </w:pPr>
          </w:p>
        </w:tc>
      </w:tr>
    </w:tbl>
    <w:p>
      <w:pPr>
        <w:spacing w:after="0" w:line="168" w:lineRule="exact"/>
        <w:rPr>
          <w:sz w:val="24"/>
          <w:szCs w:val="24"/>
          <w:color w:val="auto"/>
        </w:rPr>
      </w:pPr>
    </w:p>
    <w:p>
      <w:pPr>
        <w:ind w:left="4480"/>
        <w:spacing w:after="0"/>
        <w:rPr>
          <w:sz w:val="20"/>
          <w:szCs w:val="20"/>
          <w:color w:val="auto"/>
        </w:rPr>
      </w:pPr>
      <w:r>
        <w:rPr>
          <w:rFonts w:ascii="Arial" w:cs="Arial" w:eastAsia="Arial" w:hAnsi="Arial"/>
          <w:sz w:val="16"/>
          <w:szCs w:val="16"/>
          <w:b w:val="1"/>
          <w:bCs w:val="1"/>
          <w:color w:val="auto"/>
        </w:rPr>
        <w:t>395 Oyster Point Blvd., Suite 217</w:t>
      </w:r>
    </w:p>
    <w:p>
      <w:pPr>
        <w:spacing w:after="0" w:line="10" w:lineRule="exact"/>
        <w:rPr>
          <w:sz w:val="24"/>
          <w:szCs w:val="24"/>
          <w:color w:val="auto"/>
        </w:rPr>
      </w:pPr>
    </w:p>
    <w:p>
      <w:pPr>
        <w:ind w:left="4760"/>
        <w:spacing w:after="0"/>
        <w:rPr>
          <w:sz w:val="20"/>
          <w:szCs w:val="20"/>
          <w:color w:val="auto"/>
        </w:rPr>
      </w:pPr>
      <w:r>
        <w:rPr>
          <w:rFonts w:ascii="Arial" w:cs="Arial" w:eastAsia="Arial" w:hAnsi="Arial"/>
          <w:sz w:val="16"/>
          <w:szCs w:val="16"/>
          <w:b w:val="1"/>
          <w:bCs w:val="1"/>
          <w:color w:val="auto"/>
        </w:rPr>
        <w:t>South San Francisco, CA</w:t>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45085</wp:posOffset>
            </wp:positionV>
            <wp:extent cx="1543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9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00" w:lineRule="exact"/>
        <w:rPr>
          <w:sz w:val="24"/>
          <w:szCs w:val="24"/>
          <w:color w:val="auto"/>
        </w:rPr>
      </w:pPr>
    </w:p>
    <w:p>
      <w:pPr>
        <w:spacing w:after="0" w:line="233" w:lineRule="exact"/>
        <w:rPr>
          <w:sz w:val="24"/>
          <w:szCs w:val="24"/>
          <w:color w:val="auto"/>
        </w:rPr>
      </w:pPr>
    </w:p>
    <w:tbl>
      <w:tblPr>
        <w:tblLayout w:type="fixed"/>
        <w:tblInd w:w="20" w:type="dxa"/>
        <w:tblCellMar>
          <w:top w:w="0" w:type="dxa"/>
          <w:left w:w="0" w:type="dxa"/>
          <w:bottom w:w="0" w:type="dxa"/>
          <w:right w:w="0" w:type="dxa"/>
        </w:tblCellMar>
      </w:tblPr>
      <w:tr>
        <w:trPr>
          <w:trHeight w:val="16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Title of each class</w:t>
            </w:r>
          </w:p>
        </w:tc>
        <w:tc>
          <w:tcPr>
            <w:tcW w:w="160" w:type="dxa"/>
            <w:vAlign w:val="bottom"/>
          </w:tcPr>
          <w:p>
            <w:pPr>
              <w:spacing w:after="0"/>
              <w:rPr>
                <w:sz w:val="14"/>
                <w:szCs w:val="14"/>
                <w:color w:val="auto"/>
              </w:rPr>
            </w:pPr>
          </w:p>
        </w:tc>
        <w:tc>
          <w:tcPr>
            <w:tcW w:w="3580" w:type="dxa"/>
            <w:vAlign w:val="bottom"/>
            <w:tcBorders>
              <w:bottom w:val="single" w:sz="8" w:color="auto"/>
            </w:tcBorders>
          </w:tcPr>
          <w:p>
            <w:pPr>
              <w:ind w:left="1360"/>
              <w:spacing w:after="0"/>
              <w:rPr>
                <w:sz w:val="20"/>
                <w:szCs w:val="20"/>
                <w:color w:val="auto"/>
              </w:rPr>
            </w:pPr>
            <w:r>
              <w:rPr>
                <w:rFonts w:ascii="Arial" w:cs="Arial" w:eastAsia="Arial" w:hAnsi="Arial"/>
                <w:sz w:val="13"/>
                <w:szCs w:val="13"/>
                <w:b w:val="1"/>
                <w:bCs w:val="1"/>
                <w:color w:val="auto"/>
              </w:rPr>
              <w:t>Trading Symbol</w:t>
            </w:r>
          </w:p>
        </w:tc>
        <w:tc>
          <w:tcPr>
            <w:tcW w:w="160" w:type="dxa"/>
            <w:vAlign w:val="bottom"/>
          </w:tcPr>
          <w:p>
            <w:pPr>
              <w:spacing w:after="0"/>
              <w:rPr>
                <w:sz w:val="14"/>
                <w:szCs w:val="14"/>
                <w:color w:val="auto"/>
              </w:rPr>
            </w:pPr>
          </w:p>
        </w:tc>
        <w:tc>
          <w:tcPr>
            <w:tcW w:w="358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244"/>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1"/>
              </w:rPr>
              <w:t>Common Stock, par value $0.0001 per share</w:t>
            </w:r>
          </w:p>
        </w:tc>
        <w:tc>
          <w:tcPr>
            <w:tcW w:w="160" w:type="dxa"/>
            <w:vAlign w:val="bottom"/>
          </w:tcPr>
          <w:p>
            <w:pPr>
              <w:spacing w:after="0"/>
              <w:rPr>
                <w:sz w:val="21"/>
                <w:szCs w:val="21"/>
                <w:color w:val="auto"/>
              </w:rPr>
            </w:pPr>
          </w:p>
        </w:tc>
        <w:tc>
          <w:tcPr>
            <w:tcW w:w="3580" w:type="dxa"/>
            <w:vAlign w:val="bottom"/>
          </w:tcPr>
          <w:p>
            <w:pPr>
              <w:ind w:left="1480"/>
              <w:spacing w:after="0"/>
              <w:rPr>
                <w:sz w:val="20"/>
                <w:szCs w:val="20"/>
                <w:color w:val="auto"/>
              </w:rPr>
            </w:pPr>
            <w:r>
              <w:rPr>
                <w:rFonts w:ascii="Arial" w:cs="Arial" w:eastAsia="Arial" w:hAnsi="Arial"/>
                <w:sz w:val="16"/>
                <w:szCs w:val="16"/>
                <w:b w:val="1"/>
                <w:bCs w:val="1"/>
                <w:color w:val="auto"/>
              </w:rPr>
              <w:t>DAWN</w:t>
            </w:r>
          </w:p>
        </w:tc>
        <w:tc>
          <w:tcPr>
            <w:tcW w:w="160" w:type="dxa"/>
            <w:vAlign w:val="bottom"/>
          </w:tcPr>
          <w:p>
            <w:pPr>
              <w:spacing w:after="0"/>
              <w:rPr>
                <w:sz w:val="21"/>
                <w:szCs w:val="21"/>
                <w:color w:val="auto"/>
              </w:rPr>
            </w:pPr>
          </w:p>
        </w:tc>
        <w:tc>
          <w:tcPr>
            <w:tcW w:w="3580" w:type="dxa"/>
            <w:vAlign w:val="bottom"/>
          </w:tcPr>
          <w:p>
            <w:pPr>
              <w:ind w:left="720"/>
              <w:spacing w:after="0"/>
              <w:rPr>
                <w:sz w:val="20"/>
                <w:szCs w:val="20"/>
                <w:color w:val="auto"/>
              </w:rPr>
            </w:pPr>
            <w:r>
              <w:rPr>
                <w:rFonts w:ascii="Arial" w:cs="Arial" w:eastAsia="Arial" w:hAnsi="Arial"/>
                <w:sz w:val="16"/>
                <w:szCs w:val="16"/>
                <w:b w:val="1"/>
                <w:bCs w:val="1"/>
                <w:color w:val="auto"/>
              </w:rPr>
              <w:t>Nasdaq Global Select Market</w:t>
            </w:r>
          </w:p>
        </w:tc>
      </w:tr>
    </w:tbl>
    <w:p>
      <w:pPr>
        <w:spacing w:after="0" w:line="37" w:lineRule="exact"/>
        <w:rPr>
          <w:sz w:val="24"/>
          <w:szCs w:val="24"/>
          <w:color w:val="auto"/>
        </w:rPr>
      </w:pPr>
    </w:p>
    <w:p>
      <w:pPr>
        <w:jc w:val="both"/>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 w:lineRule="exact"/>
        <w:rPr>
          <w:sz w:val="24"/>
          <w:szCs w:val="24"/>
          <w:color w:val="auto"/>
        </w:rPr>
      </w:pPr>
    </w:p>
    <w:p>
      <w:pPr>
        <w:ind w:right="400"/>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 w:lineRule="exact"/>
        <w:rPr>
          <w:sz w:val="24"/>
          <w:szCs w:val="24"/>
          <w:color w:val="auto"/>
        </w:rPr>
      </w:pPr>
    </w:p>
    <w:p>
      <w:pPr>
        <w:ind w:right="120"/>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5"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296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34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2960"/>
              <w:spacing w:after="0"/>
              <w:rPr>
                <w:sz w:val="20"/>
                <w:szCs w:val="20"/>
                <w:color w:val="auto"/>
              </w:rPr>
            </w:pPr>
            <w:r>
              <w:rPr>
                <w:rFonts w:ascii="Arial" w:cs="Arial" w:eastAsia="Arial" w:hAnsi="Arial"/>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7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300" w:type="dxa"/>
            <w:vAlign w:val="bottom"/>
          </w:tcPr>
          <w:p>
            <w:pPr>
              <w:ind w:left="2960"/>
              <w:spacing w:after="0"/>
              <w:rPr>
                <w:sz w:val="20"/>
                <w:szCs w:val="20"/>
                <w:color w:val="auto"/>
              </w:rPr>
            </w:pPr>
            <w:r>
              <w:rPr>
                <w:rFonts w:ascii="Arial" w:cs="Arial" w:eastAsia="Arial" w:hAnsi="Arial"/>
                <w:sz w:val="16"/>
                <w:szCs w:val="16"/>
                <w:color w:val="auto"/>
              </w:rPr>
              <w:t>Emerging growth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 w:lineRule="exact"/>
        <w:rPr>
          <w:sz w:val="24"/>
          <w:szCs w:val="24"/>
          <w:color w:val="auto"/>
        </w:rPr>
      </w:pPr>
    </w:p>
    <w:p>
      <w:pPr>
        <w:ind w:right="58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660"/>
        <w:spacing w:after="0" w:line="22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1, 2022, the registrant had 73,461,100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6"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This Quarterly Report contains forward-looking statements within the meaning of Section 21E of the Securities Exchange Act of 1934, as amended, or the Exchange Act, and section 27A of the Securities Act of 1933, as amended, or the Securities Act. All statements contained in this Quarterly Report other than statements of historical fact, including statements regarding our future results of operations and financial position, business strategy, market size, potential growth opportunities, nonclinical and clinical development activities, efficacy and safety profile of our product candidates, potential therapeutic benefits and economic value of our product candidates, use of net proceeds from our public offerings, our ability to maintain and recognize the benefits of certain designations received by product candidates, the timing and results of nonclinical studies and clinical trials, commercial collaboration with third parties, and our ability to recognize milestone and royalty payments from commercialization agreements, the expected impact of the COVID-19 pandemic and other global events, including the recent war in Ukraine, on our operations, and the receipt and timing of potential regulatory designations, approvals and commercialization of product candidates, are forward-looking statements.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These forward-looking statements are subject to a number of risks, uncertainties and assumptions, including those described in Item 1A, “Risk Factors” and elsewhere in this Quarterly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62"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 except as required by law. You should read this Quarterly Report with the understanding that our actual future results, levels of activity, performance and events and circumstances may be materially different from what we expect.</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Unless the context indicates otherwise, as used in this Quarterly Report on Form 10-Q, the terms “Day One,” “the Company,” “we,” “us,” and “our” refer to Day One Biopharmaceuticals, Inc., a Delaware corporation, and its consolidated subsidiaries taken as a whole, unless otherwise noted. “Day One” and all product candidate names are our common law trademarks.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355600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20" w:type="dxa"/>
            <w:vAlign w:val="bottom"/>
            <w:gridSpan w:val="5"/>
          </w:tcPr>
          <w:p>
            <w:pPr>
              <w:ind w:left="60"/>
              <w:spacing w:after="0"/>
              <w:rPr>
                <w:sz w:val="20"/>
                <w:szCs w:val="20"/>
                <w:color w:val="auto"/>
              </w:rPr>
            </w:pPr>
            <w:r>
              <w:rPr>
                <w:rFonts w:ascii="Arial" w:cs="Arial" w:eastAsia="Arial" w:hAnsi="Arial"/>
                <w:sz w:val="18"/>
                <w:szCs w:val="18"/>
                <w:b w:val="1"/>
                <w:bCs w:val="1"/>
                <w:color w:val="auto"/>
              </w:rPr>
              <w:t>Table of Contents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11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1120" w:type="dxa"/>
            <w:vAlign w:val="bottom"/>
            <w:gridSpan w:val="3"/>
            <w:vMerge w:val="continue"/>
          </w:tcPr>
          <w:p>
            <w:pPr>
              <w:spacing w:after="0"/>
              <w:rPr>
                <w:sz w:val="16"/>
                <w:szCs w:val="16"/>
                <w:color w:val="auto"/>
              </w:rPr>
            </w:pPr>
          </w:p>
        </w:tc>
        <w:tc>
          <w:tcPr>
            <w:tcW w:w="8960" w:type="dxa"/>
            <w:vAlign w:val="bottom"/>
            <w:gridSpan w:val="16"/>
          </w:tcPr>
          <w:p>
            <w:pPr>
              <w:spacing w:after="0" w:line="190" w:lineRule="exact"/>
              <w:rPr>
                <w:rFonts w:ascii="Arial" w:cs="Arial" w:eastAsia="Arial" w:hAnsi="Arial"/>
                <w:sz w:val="18"/>
                <w:szCs w:val="18"/>
                <w:color w:val="0000FF"/>
              </w:rPr>
            </w:pPr>
            <w:hyperlink w:anchor="page4">
              <w:r>
                <w:rPr>
                  <w:rFonts w:ascii="Arial" w:cs="Arial" w:eastAsia="Arial" w:hAnsi="Arial"/>
                  <w:sz w:val="18"/>
                  <w:szCs w:val="18"/>
                  <w:color w:val="0000FF"/>
                </w:rPr>
                <w:t>FINANCIAL INFORMATION</w:t>
              </w:r>
            </w:hyperlink>
          </w:p>
        </w:tc>
        <w:tc>
          <w:tcPr>
            <w:tcW w:w="1160" w:type="dxa"/>
            <w:vAlign w:val="bottom"/>
          </w:tcPr>
          <w:p>
            <w:pPr>
              <w:jc w:val="right"/>
              <w:spacing w:after="0" w:line="190"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Item 1.</w:t>
            </w:r>
          </w:p>
        </w:tc>
        <w:tc>
          <w:tcPr>
            <w:tcW w:w="8960" w:type="dxa"/>
            <w:vAlign w:val="bottom"/>
            <w:gridSpan w:val="16"/>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Interim Condensed Consolidated Financial Statements (Unaudited)</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960" w:type="dxa"/>
            <w:vAlign w:val="bottom"/>
            <w:gridSpan w:val="16"/>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960" w:type="dxa"/>
            <w:vAlign w:val="bottom"/>
            <w:gridSpan w:val="16"/>
          </w:tcPr>
          <w:p>
            <w:pPr>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Operations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960" w:type="dxa"/>
            <w:vAlign w:val="bottom"/>
            <w:gridSpan w:val="16"/>
          </w:tcPr>
          <w:p>
            <w:pPr>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Comprehensive Loss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tcBorders>
              <w:left w:val="single" w:sz="8" w:color="0000EE"/>
            </w:tcBorders>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960" w:type="dxa"/>
            <w:vAlign w:val="bottom"/>
            <w:gridSpan w:val="16"/>
          </w:tcPr>
          <w:p>
            <w:pPr>
              <w:spacing w:after="0" w:line="196" w:lineRule="exact"/>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Consolidated Statements of Redeemable Convertible Preferred Shares, Redeemable Noncontrolling Interest and</w:t>
              </w:r>
            </w:hyperlink>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80" w:type="dxa"/>
            <w:vAlign w:val="bottom"/>
            <w:tcBorders>
              <w:top w:val="single" w:sz="8" w:color="0000FF"/>
              <w:bottom w:val="single" w:sz="8" w:color="0000EE"/>
            </w:tcBorders>
            <w:gridSpan w:val="9"/>
          </w:tcPr>
          <w:p>
            <w:pPr>
              <w:spacing w:after="0" w:line="182" w:lineRule="exact"/>
              <w:rPr>
                <w:rFonts w:ascii="Arial" w:cs="Arial" w:eastAsia="Arial" w:hAnsi="Arial"/>
                <w:sz w:val="18"/>
                <w:szCs w:val="18"/>
                <w:color w:val="0000FF"/>
                <w:w w:val="95"/>
              </w:rPr>
            </w:pPr>
            <w:hyperlink w:anchor="page7">
              <w:r>
                <w:rPr>
                  <w:rFonts w:ascii="Arial" w:cs="Arial" w:eastAsia="Arial" w:hAnsi="Arial"/>
                  <w:sz w:val="18"/>
                  <w:szCs w:val="18"/>
                  <w:color w:val="0000FF"/>
                  <w:w w:val="95"/>
                </w:rPr>
                <w:t>Stockholders’ Equity/ Members’ (Deficit)</w:t>
              </w:r>
            </w:hyperlink>
          </w:p>
        </w:tc>
        <w:tc>
          <w:tcPr>
            <w:tcW w:w="5880" w:type="dxa"/>
            <w:vAlign w:val="bottom"/>
            <w:tcBorders>
              <w:top w:val="single" w:sz="8" w:color="0000FF"/>
            </w:tcBorders>
            <w:gridSpan w:val="7"/>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960" w:type="dxa"/>
            <w:vAlign w:val="bottom"/>
            <w:gridSpan w:val="16"/>
          </w:tcPr>
          <w:p>
            <w:pPr>
              <w:spacing w:after="0" w:line="196"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960" w:type="dxa"/>
            <w:vAlign w:val="bottom"/>
            <w:gridSpan w:val="16"/>
          </w:tcPr>
          <w:p>
            <w:pPr>
              <w:spacing w:after="0" w:line="196" w:lineRule="exact"/>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80" w:type="dxa"/>
            <w:vAlign w:val="bottom"/>
            <w:tcBorders>
              <w:right w:val="single" w:sz="8" w:color="0000EE"/>
            </w:tcBorders>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Item 2.</w:t>
            </w:r>
          </w:p>
        </w:tc>
        <w:tc>
          <w:tcPr>
            <w:tcW w:w="8960" w:type="dxa"/>
            <w:vAlign w:val="bottom"/>
            <w:gridSpan w:val="16"/>
          </w:tcPr>
          <w:p>
            <w:pPr>
              <w:spacing w:after="0" w:line="196" w:lineRule="exact"/>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Item 3.</w:t>
            </w:r>
          </w:p>
        </w:tc>
        <w:tc>
          <w:tcPr>
            <w:tcW w:w="8960" w:type="dxa"/>
            <w:vAlign w:val="bottom"/>
            <w:gridSpan w:val="16"/>
          </w:tcPr>
          <w:p>
            <w:pPr>
              <w:spacing w:after="0" w:line="196" w:lineRule="exact"/>
              <w:rPr>
                <w:rFonts w:ascii="Arial" w:cs="Arial" w:eastAsia="Arial" w:hAnsi="Arial"/>
                <w:sz w:val="18"/>
                <w:szCs w:val="18"/>
                <w:color w:val="0000FF"/>
              </w:rPr>
            </w:pPr>
            <w:hyperlink w:anchor="page35">
              <w:r>
                <w:rPr>
                  <w:rFonts w:ascii="Arial" w:cs="Arial" w:eastAsia="Arial" w:hAnsi="Arial"/>
                  <w:sz w:val="18"/>
                  <w:szCs w:val="18"/>
                  <w:color w:val="0000FF"/>
                </w:rPr>
                <w:t>Quantitative and Qualitative Disclosures About Market Risk</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Item 4.</w:t>
            </w:r>
          </w:p>
        </w:tc>
        <w:tc>
          <w:tcPr>
            <w:tcW w:w="8960" w:type="dxa"/>
            <w:vAlign w:val="bottom"/>
            <w:gridSpan w:val="16"/>
          </w:tcPr>
          <w:p>
            <w:pPr>
              <w:spacing w:after="0" w:line="196" w:lineRule="exact"/>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1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3"/>
            <w:vMerge w:val="continue"/>
          </w:tcPr>
          <w:p>
            <w:pPr>
              <w:spacing w:after="0"/>
              <w:rPr>
                <w:sz w:val="17"/>
                <w:szCs w:val="17"/>
                <w:color w:val="auto"/>
              </w:rPr>
            </w:pPr>
          </w:p>
        </w:tc>
        <w:tc>
          <w:tcPr>
            <w:tcW w:w="8960" w:type="dxa"/>
            <w:vAlign w:val="bottom"/>
            <w:gridSpan w:val="16"/>
          </w:tcPr>
          <w:p>
            <w:pPr>
              <w:spacing w:after="0" w:line="196" w:lineRule="exact"/>
              <w:rPr>
                <w:rFonts w:ascii="Arial" w:cs="Arial" w:eastAsia="Arial" w:hAnsi="Arial"/>
                <w:sz w:val="18"/>
                <w:szCs w:val="18"/>
                <w:color w:val="0000FF"/>
              </w:rPr>
            </w:pPr>
            <w:hyperlink w:anchor="page36">
              <w:r>
                <w:rPr>
                  <w:rFonts w:ascii="Arial" w:cs="Arial" w:eastAsia="Arial" w:hAnsi="Arial"/>
                  <w:sz w:val="18"/>
                  <w:szCs w:val="18"/>
                  <w:color w:val="0000FF"/>
                </w:rPr>
                <w:t>OTHER INFORMATION</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Item 1.</w:t>
            </w:r>
          </w:p>
        </w:tc>
        <w:tc>
          <w:tcPr>
            <w:tcW w:w="8960" w:type="dxa"/>
            <w:vAlign w:val="bottom"/>
            <w:gridSpan w:val="16"/>
          </w:tcPr>
          <w:p>
            <w:pPr>
              <w:spacing w:after="0" w:line="196" w:lineRule="exact"/>
              <w:rPr>
                <w:rFonts w:ascii="Arial" w:cs="Arial" w:eastAsia="Arial" w:hAnsi="Arial"/>
                <w:sz w:val="18"/>
                <w:szCs w:val="18"/>
                <w:color w:val="0000FF"/>
              </w:rPr>
            </w:pPr>
            <w:hyperlink w:anchor="page36">
              <w:r>
                <w:rPr>
                  <w:rFonts w:ascii="Arial" w:cs="Arial" w:eastAsia="Arial" w:hAnsi="Arial"/>
                  <w:sz w:val="18"/>
                  <w:szCs w:val="18"/>
                  <w:color w:val="0000FF"/>
                </w:rPr>
                <w:t>Legal Proceedings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Item 1A.</w:t>
            </w:r>
          </w:p>
        </w:tc>
        <w:tc>
          <w:tcPr>
            <w:tcW w:w="8960" w:type="dxa"/>
            <w:vAlign w:val="bottom"/>
            <w:gridSpan w:val="16"/>
          </w:tcPr>
          <w:p>
            <w:pPr>
              <w:spacing w:after="0" w:line="196" w:lineRule="exact"/>
              <w:rPr>
                <w:rFonts w:ascii="Arial" w:cs="Arial" w:eastAsia="Arial" w:hAnsi="Arial"/>
                <w:sz w:val="18"/>
                <w:szCs w:val="18"/>
                <w:color w:val="0000FF"/>
              </w:rPr>
            </w:pPr>
            <w:hyperlink w:anchor="page36">
              <w:r>
                <w:rPr>
                  <w:rFonts w:ascii="Arial" w:cs="Arial" w:eastAsia="Arial" w:hAnsi="Arial"/>
                  <w:sz w:val="18"/>
                  <w:szCs w:val="18"/>
                  <w:color w:val="0000FF"/>
                </w:rPr>
                <w:t>Risk Factors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Item 2.</w:t>
            </w:r>
          </w:p>
        </w:tc>
        <w:tc>
          <w:tcPr>
            <w:tcW w:w="8960" w:type="dxa"/>
            <w:vAlign w:val="bottom"/>
            <w:gridSpan w:val="16"/>
          </w:tcPr>
          <w:p>
            <w:pPr>
              <w:spacing w:after="0" w:line="196" w:lineRule="exact"/>
              <w:rPr>
                <w:rFonts w:ascii="Arial" w:cs="Arial" w:eastAsia="Arial" w:hAnsi="Arial"/>
                <w:sz w:val="18"/>
                <w:szCs w:val="18"/>
                <w:color w:val="0000FF"/>
              </w:rPr>
            </w:pPr>
            <w:hyperlink w:anchor="page97">
              <w:r>
                <w:rPr>
                  <w:rFonts w:ascii="Arial" w:cs="Arial" w:eastAsia="Arial" w:hAnsi="Arial"/>
                  <w:sz w:val="18"/>
                  <w:szCs w:val="18"/>
                  <w:color w:val="0000FF"/>
                </w:rPr>
                <w:t>Unregistered Sales of Equity Securities and Use of Proceeds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Item 3.</w:t>
            </w:r>
          </w:p>
        </w:tc>
        <w:tc>
          <w:tcPr>
            <w:tcW w:w="8960" w:type="dxa"/>
            <w:vAlign w:val="bottom"/>
            <w:gridSpan w:val="16"/>
          </w:tcPr>
          <w:p>
            <w:pPr>
              <w:spacing w:after="0" w:line="196" w:lineRule="exact"/>
              <w:rPr>
                <w:rFonts w:ascii="Arial" w:cs="Arial" w:eastAsia="Arial" w:hAnsi="Arial"/>
                <w:sz w:val="18"/>
                <w:szCs w:val="18"/>
                <w:color w:val="0000FF"/>
              </w:rPr>
            </w:pPr>
            <w:hyperlink w:anchor="page98">
              <w:r>
                <w:rPr>
                  <w:rFonts w:ascii="Arial" w:cs="Arial" w:eastAsia="Arial" w:hAnsi="Arial"/>
                  <w:sz w:val="18"/>
                  <w:szCs w:val="18"/>
                  <w:color w:val="0000FF"/>
                </w:rPr>
                <w:t>Defaults Upon Senior Securities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620" w:type="dxa"/>
            <w:vAlign w:val="bottom"/>
            <w:gridSpan w:val="9"/>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Item 4.</w:t>
            </w:r>
          </w:p>
        </w:tc>
        <w:tc>
          <w:tcPr>
            <w:tcW w:w="8960" w:type="dxa"/>
            <w:vAlign w:val="bottom"/>
            <w:gridSpan w:val="16"/>
          </w:tcPr>
          <w:p>
            <w:pPr>
              <w:spacing w:after="0" w:line="196" w:lineRule="exact"/>
              <w:rPr>
                <w:rFonts w:ascii="Arial" w:cs="Arial" w:eastAsia="Arial" w:hAnsi="Arial"/>
                <w:sz w:val="18"/>
                <w:szCs w:val="18"/>
                <w:color w:val="0000FF"/>
              </w:rPr>
            </w:pPr>
            <w:hyperlink w:anchor="page98">
              <w:r>
                <w:rPr>
                  <w:rFonts w:ascii="Arial" w:cs="Arial" w:eastAsia="Arial" w:hAnsi="Arial"/>
                  <w:sz w:val="18"/>
                  <w:szCs w:val="18"/>
                  <w:color w:val="0000FF"/>
                </w:rPr>
                <w:t>Mine Safety Disclosures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180" w:type="dxa"/>
            <w:vAlign w:val="bottom"/>
            <w:gridSpan w:val="1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Item 5.</w:t>
            </w:r>
          </w:p>
        </w:tc>
        <w:tc>
          <w:tcPr>
            <w:tcW w:w="8960" w:type="dxa"/>
            <w:vAlign w:val="bottom"/>
            <w:gridSpan w:val="16"/>
          </w:tcPr>
          <w:p>
            <w:pPr>
              <w:spacing w:after="0" w:line="196" w:lineRule="exact"/>
              <w:rPr>
                <w:rFonts w:ascii="Arial" w:cs="Arial" w:eastAsia="Arial" w:hAnsi="Arial"/>
                <w:sz w:val="18"/>
                <w:szCs w:val="18"/>
                <w:color w:val="0000FF"/>
              </w:rPr>
            </w:pPr>
            <w:hyperlink w:anchor="page98">
              <w:r>
                <w:rPr>
                  <w:rFonts w:ascii="Arial" w:cs="Arial" w:eastAsia="Arial" w:hAnsi="Arial"/>
                  <w:sz w:val="18"/>
                  <w:szCs w:val="18"/>
                  <w:color w:val="0000FF"/>
                </w:rPr>
                <w:t>Other Information</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640" w:type="dxa"/>
            <w:vAlign w:val="bottom"/>
            <w:gridSpan w:val="1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Item 6.</w:t>
            </w:r>
          </w:p>
        </w:tc>
        <w:tc>
          <w:tcPr>
            <w:tcW w:w="8960" w:type="dxa"/>
            <w:vAlign w:val="bottom"/>
            <w:gridSpan w:val="16"/>
          </w:tcPr>
          <w:p>
            <w:pPr>
              <w:spacing w:after="0" w:line="196" w:lineRule="exact"/>
              <w:rPr>
                <w:rFonts w:ascii="Arial" w:cs="Arial" w:eastAsia="Arial" w:hAnsi="Arial"/>
                <w:sz w:val="18"/>
                <w:szCs w:val="18"/>
                <w:color w:val="0000FF"/>
              </w:rPr>
            </w:pPr>
            <w:hyperlink w:anchor="page99">
              <w:r>
                <w:rPr>
                  <w:rFonts w:ascii="Arial" w:cs="Arial" w:eastAsia="Arial" w:hAnsi="Arial"/>
                  <w:sz w:val="18"/>
                  <w:szCs w:val="18"/>
                  <w:color w:val="0000FF"/>
                </w:rPr>
                <w:t>Exhibits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1120" w:type="dxa"/>
            <w:vAlign w:val="bottom"/>
            <w:gridSpan w:val="3"/>
          </w:tcPr>
          <w:p>
            <w:pPr>
              <w:ind w:left="20"/>
              <w:spacing w:after="0" w:line="196" w:lineRule="exact"/>
              <w:rPr>
                <w:rFonts w:ascii="Arial" w:cs="Arial" w:eastAsia="Arial" w:hAnsi="Arial"/>
                <w:sz w:val="18"/>
                <w:szCs w:val="18"/>
                <w:color w:val="0000FF"/>
              </w:rPr>
            </w:pPr>
            <w:hyperlink w:anchor="page100">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763"/>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4840" w:type="dxa"/>
            <w:vAlign w:val="bottom"/>
            <w:gridSpan w:val="14"/>
          </w:tcPr>
          <w:p>
            <w:pPr>
              <w:ind w:left="4460"/>
              <w:spacing w:after="0"/>
              <w:rPr>
                <w:sz w:val="20"/>
                <w:szCs w:val="20"/>
                <w:color w:val="auto"/>
              </w:rPr>
            </w:pPr>
            <w:r>
              <w:rPr>
                <w:rFonts w:ascii="Arial" w:cs="Arial" w:eastAsia="Arial" w:hAnsi="Arial"/>
                <w:sz w:val="18"/>
                <w:szCs w:val="18"/>
                <w:color w:val="auto"/>
              </w:rPr>
              <w:t>3</w:t>
            </w:r>
          </w:p>
        </w:tc>
        <w:tc>
          <w:tcPr>
            <w:tcW w:w="1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25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PART I-FINANCIAL INFORMATION</w:t>
      </w:r>
    </w:p>
    <w:p>
      <w:pPr>
        <w:spacing w:after="0" w:line="212"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Day One Biopharmaceuticals, Inc.</w:t>
      </w:r>
    </w:p>
    <w:p>
      <w:pPr>
        <w:spacing w:after="0" w:line="1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Condensed Consolidated Balance Sheets</w:t>
      </w:r>
    </w:p>
    <w:p>
      <w:pPr>
        <w:ind w:left="4180"/>
        <w:spacing w:after="0" w:line="234" w:lineRule="auto"/>
        <w:rPr>
          <w:sz w:val="20"/>
          <w:szCs w:val="20"/>
          <w:color w:val="auto"/>
        </w:rPr>
      </w:pPr>
      <w:r>
        <w:rPr>
          <w:rFonts w:ascii="Arial" w:cs="Arial" w:eastAsia="Arial" w:hAnsi="Arial"/>
          <w:sz w:val="18"/>
          <w:szCs w:val="18"/>
          <w:b w:val="1"/>
          <w:bCs w:val="1"/>
          <w:color w:val="auto"/>
        </w:rPr>
        <w:t>(in thousands, except share amounts)</w:t>
      </w:r>
    </w:p>
    <w:p>
      <w:pPr>
        <w:spacing w:after="0" w:line="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40" w:type="dxa"/>
            <w:vAlign w:val="bottom"/>
          </w:tcPr>
          <w:p>
            <w:pPr>
              <w:spacing w:after="0"/>
              <w:rPr>
                <w:sz w:val="16"/>
                <w:szCs w:val="16"/>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0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6"/>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3"/>
        </w:trPr>
        <w:tc>
          <w:tcPr>
            <w:tcW w:w="76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76"/>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1080" w:type="dxa"/>
            <w:vAlign w:val="bottom"/>
            <w:shd w:val="clear" w:color="auto" w:fill="CFF0FC"/>
          </w:tcPr>
          <w:p>
            <w:pPr>
              <w:jc w:val="right"/>
              <w:ind w:right="92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388,877</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284,309</w:t>
            </w:r>
          </w:p>
        </w:tc>
        <w:tc>
          <w:tcPr>
            <w:tcW w:w="100" w:type="dxa"/>
            <w:vAlign w:val="bottom"/>
            <w:shd w:val="clear" w:color="auto" w:fill="CFF0FC"/>
          </w:tcPr>
          <w:p>
            <w:pPr>
              <w:spacing w:after="0"/>
              <w:rPr>
                <w:sz w:val="15"/>
                <w:szCs w:val="15"/>
                <w:color w:val="auto"/>
              </w:rPr>
            </w:pPr>
          </w:p>
        </w:tc>
      </w:tr>
      <w:tr>
        <w:trPr>
          <w:trHeight w:val="175"/>
        </w:trPr>
        <w:tc>
          <w:tcPr>
            <w:tcW w:w="7640" w:type="dxa"/>
            <w:vAlign w:val="bottom"/>
          </w:tcPr>
          <w:p>
            <w:pPr>
              <w:ind w:left="200"/>
              <w:spacing w:after="0"/>
              <w:rPr>
                <w:sz w:val="20"/>
                <w:szCs w:val="20"/>
                <w:color w:val="auto"/>
              </w:rPr>
            </w:pPr>
            <w:r>
              <w:rPr>
                <w:rFonts w:ascii="Arial" w:cs="Arial" w:eastAsia="Arial" w:hAnsi="Arial"/>
                <w:sz w:val="14"/>
                <w:szCs w:val="14"/>
                <w:color w:val="auto"/>
              </w:rPr>
              <w:t>Short-term investments</w:t>
            </w: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5,987</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108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7,639</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5,059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640" w:type="dxa"/>
            <w:vAlign w:val="bottom"/>
          </w:tcPr>
          <w:p>
            <w:pPr>
              <w:ind w:left="200"/>
              <w:spacing w:after="0"/>
              <w:rPr>
                <w:sz w:val="20"/>
                <w:szCs w:val="20"/>
                <w:color w:val="auto"/>
              </w:rPr>
            </w:pPr>
            <w:r>
              <w:rPr>
                <w:rFonts w:ascii="Arial" w:cs="Arial" w:eastAsia="Arial" w:hAnsi="Arial"/>
                <w:sz w:val="14"/>
                <w:szCs w:val="14"/>
                <w:b w:val="1"/>
                <w:bCs w:val="1"/>
                <w:color w:val="auto"/>
              </w:rPr>
              <w:t>Total current assets</w:t>
            </w:r>
          </w:p>
        </w:tc>
        <w:tc>
          <w:tcPr>
            <w:tcW w:w="10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402,503</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289,368</w:t>
            </w:r>
          </w:p>
        </w:tc>
        <w:tc>
          <w:tcPr>
            <w:tcW w:w="100" w:type="dxa"/>
            <w:vAlign w:val="bottom"/>
          </w:tcPr>
          <w:p>
            <w:pPr>
              <w:spacing w:after="0"/>
              <w:rPr>
                <w:sz w:val="14"/>
                <w:szCs w:val="14"/>
                <w:color w:val="auto"/>
              </w:rPr>
            </w:pPr>
          </w:p>
        </w:tc>
      </w:tr>
      <w:tr>
        <w:trPr>
          <w:trHeight w:val="169"/>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Property and equipment, net</w:t>
            </w:r>
          </w:p>
        </w:tc>
        <w:tc>
          <w:tcPr>
            <w:tcW w:w="10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FF0FC"/>
          </w:tcPr>
          <w:p>
            <w:pPr>
              <w:spacing w:after="0"/>
              <w:rPr>
                <w:sz w:val="14"/>
                <w:szCs w:val="14"/>
                <w:color w:val="auto"/>
              </w:rPr>
            </w:pPr>
          </w:p>
        </w:tc>
      </w:tr>
      <w:tr>
        <w:trPr>
          <w:trHeight w:val="176"/>
        </w:trPr>
        <w:tc>
          <w:tcPr>
            <w:tcW w:w="7640" w:type="dxa"/>
            <w:vAlign w:val="bottom"/>
          </w:tcPr>
          <w:p>
            <w:pPr>
              <w:ind w:left="200"/>
              <w:spacing w:after="0"/>
              <w:rPr>
                <w:sz w:val="20"/>
                <w:szCs w:val="20"/>
                <w:color w:val="auto"/>
              </w:rPr>
            </w:pPr>
            <w:r>
              <w:rPr>
                <w:rFonts w:ascii="Arial" w:cs="Arial" w:eastAsia="Arial" w:hAnsi="Arial"/>
                <w:sz w:val="14"/>
                <w:szCs w:val="14"/>
                <w:color w:val="auto"/>
              </w:rPr>
              <w:t>Operating lease right-of-use asset</w:t>
            </w: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993</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5"/>
                <w:szCs w:val="15"/>
                <w:color w:val="auto"/>
              </w:rPr>
            </w:pPr>
          </w:p>
        </w:tc>
      </w:tr>
      <w:tr>
        <w:trPr>
          <w:trHeight w:val="175"/>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Deposits and other long-term assets</w:t>
            </w:r>
          </w:p>
        </w:tc>
        <w:tc>
          <w:tcPr>
            <w:tcW w:w="108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484</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640" w:type="dxa"/>
            <w:vAlign w:val="bottom"/>
          </w:tcPr>
          <w:p>
            <w:pPr>
              <w:ind w:left="200"/>
              <w:spacing w:after="0"/>
              <w:rPr>
                <w:sz w:val="20"/>
                <w:szCs w:val="20"/>
                <w:color w:val="auto"/>
              </w:rPr>
            </w:pPr>
            <w:r>
              <w:rPr>
                <w:rFonts w:ascii="Arial" w:cs="Arial" w:eastAsia="Arial" w:hAnsi="Arial"/>
                <w:sz w:val="14"/>
                <w:szCs w:val="14"/>
                <w:b w:val="1"/>
                <w:bCs w:val="1"/>
                <w:color w:val="auto"/>
              </w:rPr>
              <w:t>Total assets</w:t>
            </w:r>
          </w:p>
        </w:tc>
        <w:tc>
          <w:tcPr>
            <w:tcW w:w="10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404,047</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289,821</w:t>
            </w:r>
          </w:p>
        </w:tc>
        <w:tc>
          <w:tcPr>
            <w:tcW w:w="100" w:type="dxa"/>
            <w:vAlign w:val="bottom"/>
          </w:tcPr>
          <w:p>
            <w:pPr>
              <w:spacing w:after="0"/>
              <w:rPr>
                <w:sz w:val="14"/>
                <w:szCs w:val="14"/>
                <w:color w:val="auto"/>
              </w:rPr>
            </w:pPr>
          </w:p>
        </w:tc>
      </w:tr>
      <w:tr>
        <w:trPr>
          <w:trHeight w:val="20"/>
        </w:trPr>
        <w:tc>
          <w:tcPr>
            <w:tcW w:w="7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64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10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6"/>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1080" w:type="dxa"/>
            <w:vAlign w:val="bottom"/>
            <w:shd w:val="clear" w:color="auto" w:fill="CFF0FC"/>
          </w:tcPr>
          <w:p>
            <w:pPr>
              <w:jc w:val="right"/>
              <w:ind w:right="92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1,744</w:t>
            </w:r>
          </w:p>
        </w:tc>
        <w:tc>
          <w:tcPr>
            <w:tcW w:w="100" w:type="dxa"/>
            <w:vAlign w:val="bottom"/>
            <w:shd w:val="clear" w:color="auto" w:fill="CFF0FC"/>
          </w:tcPr>
          <w:p>
            <w:pPr>
              <w:spacing w:after="0"/>
              <w:rPr>
                <w:sz w:val="15"/>
                <w:szCs w:val="15"/>
                <w:color w:val="auto"/>
              </w:rPr>
            </w:pPr>
          </w:p>
        </w:tc>
      </w:tr>
      <w:tr>
        <w:trPr>
          <w:trHeight w:val="175"/>
        </w:trPr>
        <w:tc>
          <w:tcPr>
            <w:tcW w:w="7640" w:type="dxa"/>
            <w:vAlign w:val="bottom"/>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11,933</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6,709</w:t>
            </w:r>
          </w:p>
        </w:tc>
        <w:tc>
          <w:tcPr>
            <w:tcW w:w="100" w:type="dxa"/>
            <w:vAlign w:val="bottom"/>
          </w:tcPr>
          <w:p>
            <w:pPr>
              <w:spacing w:after="0"/>
              <w:rPr>
                <w:sz w:val="15"/>
                <w:szCs w:val="15"/>
                <w:color w:val="auto"/>
              </w:rPr>
            </w:pPr>
          </w:p>
        </w:tc>
      </w:tr>
      <w:tr>
        <w:trPr>
          <w:trHeight w:val="176"/>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Current portion of operating lease liabilities</w:t>
            </w:r>
          </w:p>
        </w:tc>
        <w:tc>
          <w:tcPr>
            <w:tcW w:w="108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427</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640" w:type="dxa"/>
            <w:vAlign w:val="bottom"/>
          </w:tcPr>
          <w:p>
            <w:pPr>
              <w:ind w:left="200"/>
              <w:spacing w:after="0"/>
              <w:rPr>
                <w:sz w:val="20"/>
                <w:szCs w:val="20"/>
                <w:color w:val="auto"/>
              </w:rPr>
            </w:pPr>
            <w:r>
              <w:rPr>
                <w:rFonts w:ascii="Arial" w:cs="Arial" w:eastAsia="Arial" w:hAnsi="Arial"/>
                <w:sz w:val="14"/>
                <w:szCs w:val="14"/>
                <w:b w:val="1"/>
                <w:bCs w:val="1"/>
                <w:color w:val="auto"/>
              </w:rPr>
              <w:t>Total current liabilities</w:t>
            </w:r>
          </w:p>
        </w:tc>
        <w:tc>
          <w:tcPr>
            <w:tcW w:w="10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12,799</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8,657</w:t>
            </w:r>
          </w:p>
        </w:tc>
        <w:tc>
          <w:tcPr>
            <w:tcW w:w="100" w:type="dxa"/>
            <w:vAlign w:val="bottom"/>
          </w:tcPr>
          <w:p>
            <w:pPr>
              <w:spacing w:after="0"/>
              <w:rPr>
                <w:sz w:val="14"/>
                <w:szCs w:val="14"/>
                <w:color w:val="auto"/>
              </w:rPr>
            </w:pPr>
          </w:p>
        </w:tc>
      </w:tr>
      <w:tr>
        <w:trPr>
          <w:trHeight w:val="169"/>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Long-term portion of lease liabilities</w:t>
            </w:r>
          </w:p>
        </w:tc>
        <w:tc>
          <w:tcPr>
            <w:tcW w:w="108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617</w:t>
            </w:r>
          </w:p>
        </w:tc>
        <w:tc>
          <w:tcPr>
            <w:tcW w:w="2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640" w:type="dxa"/>
            <w:vAlign w:val="bottom"/>
          </w:tcPr>
          <w:p>
            <w:pPr>
              <w:ind w:left="200"/>
              <w:spacing w:after="0"/>
              <w:rPr>
                <w:sz w:val="20"/>
                <w:szCs w:val="20"/>
                <w:color w:val="auto"/>
              </w:rPr>
            </w:pPr>
            <w:r>
              <w:rPr>
                <w:rFonts w:ascii="Arial" w:cs="Arial" w:eastAsia="Arial" w:hAnsi="Arial"/>
                <w:sz w:val="14"/>
                <w:szCs w:val="14"/>
                <w:b w:val="1"/>
                <w:bCs w:val="1"/>
                <w:color w:val="auto"/>
              </w:rPr>
              <w:t>Total liabilities</w:t>
            </w:r>
          </w:p>
        </w:tc>
        <w:tc>
          <w:tcPr>
            <w:tcW w:w="10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13,416</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8,673</w:t>
            </w:r>
          </w:p>
        </w:tc>
        <w:tc>
          <w:tcPr>
            <w:tcW w:w="100" w:type="dxa"/>
            <w:vAlign w:val="bottom"/>
          </w:tcPr>
          <w:p>
            <w:pPr>
              <w:spacing w:after="0"/>
              <w:rPr>
                <w:sz w:val="14"/>
                <w:szCs w:val="14"/>
                <w:color w:val="auto"/>
              </w:rPr>
            </w:pPr>
          </w:p>
        </w:tc>
      </w:tr>
      <w:tr>
        <w:trPr>
          <w:trHeight w:val="169"/>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Commitments and contingencies (Note 6)</w:t>
            </w:r>
          </w:p>
        </w:tc>
        <w:tc>
          <w:tcPr>
            <w:tcW w:w="10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3"/>
        </w:trPr>
        <w:tc>
          <w:tcPr>
            <w:tcW w:w="764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Common stock, $0.0001 par value; 500,000,000 shares authorized as of June 30, 2022 and</w:t>
            </w:r>
          </w:p>
        </w:tc>
        <w:tc>
          <w:tcPr>
            <w:tcW w:w="10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640" w:type="dxa"/>
            <w:vAlign w:val="bottom"/>
            <w:shd w:val="clear" w:color="auto" w:fill="CFF0FC"/>
          </w:tcPr>
          <w:p>
            <w:pPr>
              <w:ind w:left="300"/>
              <w:spacing w:after="0" w:line="149" w:lineRule="exact"/>
              <w:rPr>
                <w:sz w:val="20"/>
                <w:szCs w:val="20"/>
                <w:color w:val="auto"/>
              </w:rPr>
            </w:pPr>
            <w:r>
              <w:rPr>
                <w:rFonts w:ascii="Arial" w:cs="Arial" w:eastAsia="Arial" w:hAnsi="Arial"/>
                <w:sz w:val="14"/>
                <w:szCs w:val="14"/>
                <w:color w:val="auto"/>
              </w:rPr>
              <w:t>December 31, 2021; 73,461,100 and 61,952,292 shares issued and outstanding as of</w:t>
            </w:r>
          </w:p>
        </w:tc>
        <w:tc>
          <w:tcPr>
            <w:tcW w:w="10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76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June 30, 2022 and December 31, 2021, respectively</w:t>
            </w:r>
          </w:p>
        </w:tc>
        <w:tc>
          <w:tcPr>
            <w:tcW w:w="10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FF0FC"/>
          </w:tcPr>
          <w:p>
            <w:pPr>
              <w:spacing w:after="0"/>
              <w:rPr>
                <w:sz w:val="15"/>
                <w:szCs w:val="15"/>
                <w:color w:val="auto"/>
              </w:rPr>
            </w:pPr>
          </w:p>
        </w:tc>
      </w:tr>
      <w:tr>
        <w:trPr>
          <w:trHeight w:val="176"/>
        </w:trPr>
        <w:tc>
          <w:tcPr>
            <w:tcW w:w="7640" w:type="dxa"/>
            <w:vAlign w:val="bottom"/>
          </w:tcPr>
          <w:p>
            <w:pPr>
              <w:ind w:left="200"/>
              <w:spacing w:after="0"/>
              <w:rPr>
                <w:sz w:val="20"/>
                <w:szCs w:val="20"/>
                <w:color w:val="auto"/>
              </w:rPr>
            </w:pPr>
            <w:r>
              <w:rPr>
                <w:rFonts w:ascii="Arial" w:cs="Arial" w:eastAsia="Arial" w:hAnsi="Arial"/>
                <w:sz w:val="14"/>
                <w:szCs w:val="14"/>
                <w:color w:val="auto"/>
              </w:rPr>
              <w:t>Additional paid-in-capital</w:t>
            </w: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582,391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408,629</w:t>
            </w:r>
          </w:p>
        </w:tc>
        <w:tc>
          <w:tcPr>
            <w:tcW w:w="100" w:type="dxa"/>
            <w:vAlign w:val="bottom"/>
          </w:tcPr>
          <w:p>
            <w:pPr>
              <w:spacing w:after="0"/>
              <w:rPr>
                <w:sz w:val="15"/>
                <w:szCs w:val="15"/>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other comprehensive loss</w:t>
            </w:r>
          </w:p>
        </w:tc>
        <w:tc>
          <w:tcPr>
            <w:tcW w:w="10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(3 )</w:t>
            </w:r>
          </w:p>
        </w:tc>
        <w:tc>
          <w:tcPr>
            <w:tcW w:w="24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640" w:type="dxa"/>
            <w:vAlign w:val="bottom"/>
          </w:tcPr>
          <w:p>
            <w:pPr>
              <w:ind w:left="200"/>
              <w:spacing w:after="0"/>
              <w:rPr>
                <w:sz w:val="20"/>
                <w:szCs w:val="20"/>
                <w:color w:val="auto"/>
              </w:rPr>
            </w:pPr>
            <w:r>
              <w:rPr>
                <w:rFonts w:ascii="Arial" w:cs="Arial" w:eastAsia="Arial" w:hAnsi="Arial"/>
                <w:sz w:val="14"/>
                <w:szCs w:val="14"/>
                <w:color w:val="auto"/>
              </w:rPr>
              <w:t>Accumulated deficit</w:t>
            </w:r>
          </w:p>
        </w:tc>
        <w:tc>
          <w:tcPr>
            <w:tcW w:w="10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w w:val="90"/>
              </w:rPr>
              <w:t>(191,764 )</w:t>
            </w:r>
          </w:p>
        </w:tc>
        <w:tc>
          <w:tcPr>
            <w:tcW w:w="240" w:type="dxa"/>
            <w:vAlign w:val="bottom"/>
          </w:tcPr>
          <w:p>
            <w:pPr>
              <w:spacing w:after="0"/>
              <w:rPr>
                <w:sz w:val="15"/>
                <w:szCs w:val="15"/>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(127,487 )</w:t>
            </w:r>
          </w:p>
        </w:tc>
      </w:tr>
      <w:tr>
        <w:trPr>
          <w:trHeight w:val="169"/>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Total stockholders’ equity</w:t>
            </w:r>
          </w:p>
        </w:tc>
        <w:tc>
          <w:tcPr>
            <w:tcW w:w="1080" w:type="dxa"/>
            <w:vAlign w:val="bottom"/>
            <w:tcBorders>
              <w:top w:val="single" w:sz="8" w:color="auto"/>
              <w:bottom w:val="single" w:sz="8" w:color="auto"/>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8"/>
              </w:rPr>
              <w:t>390,631</w:t>
            </w:r>
          </w:p>
        </w:tc>
        <w:tc>
          <w:tcPr>
            <w:tcW w:w="2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281,148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108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404,047</w:t>
            </w:r>
          </w:p>
        </w:tc>
        <w:tc>
          <w:tcPr>
            <w:tcW w:w="28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289,821</w:t>
            </w:r>
          </w:p>
        </w:tc>
        <w:tc>
          <w:tcPr>
            <w:tcW w:w="100" w:type="dxa"/>
            <w:vAlign w:val="bottom"/>
          </w:tcPr>
          <w:p>
            <w:pPr>
              <w:spacing w:after="0"/>
              <w:rPr>
                <w:sz w:val="14"/>
                <w:szCs w:val="14"/>
                <w:color w:val="auto"/>
              </w:rPr>
            </w:pPr>
          </w:p>
        </w:tc>
      </w:tr>
      <w:tr>
        <w:trPr>
          <w:trHeight w:val="20"/>
        </w:trPr>
        <w:tc>
          <w:tcPr>
            <w:tcW w:w="7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-2653665</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-2653665</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-2190750</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-2190750</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-1487805</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-1487805</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-1247775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-1247775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-142240</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wp:posOffset>
            </wp:positionV>
            <wp:extent cx="685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Day One Biopharmaceuticals, Inc.</w:t>
      </w:r>
    </w:p>
    <w:p>
      <w:pPr>
        <w:spacing w:after="0" w:line="1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Operations</w:t>
      </w:r>
    </w:p>
    <w:p>
      <w:pPr>
        <w:ind w:left="364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jc w:val="right"/>
              <w:ind w:right="821"/>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40" w:type="dxa"/>
            <w:vAlign w:val="bottom"/>
            <w:gridSpan w:val="5"/>
          </w:tcPr>
          <w:p>
            <w:pPr>
              <w:jc w:val="right"/>
              <w:ind w:right="72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22,560</w:t>
            </w:r>
          </w:p>
        </w:tc>
        <w:tc>
          <w:tcPr>
            <w:tcW w:w="26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9,914</w:t>
            </w:r>
          </w:p>
        </w:tc>
        <w:tc>
          <w:tcPr>
            <w:tcW w:w="24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37,563</w:t>
            </w:r>
          </w:p>
        </w:tc>
        <w:tc>
          <w:tcPr>
            <w:tcW w:w="24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22,547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14,159</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5,525</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26,904</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8,990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tcPr>
          <w:p>
            <w:pPr>
              <w:ind w:left="380"/>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36,719</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15,439</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64,467</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31,537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Loss from operations</w:t>
            </w: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(36,719</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(15,439</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(64,467</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(31,537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color w:val="auto"/>
              </w:rPr>
              <w:t>Interest income (expense), net</w:t>
            </w:r>
          </w:p>
        </w:tc>
        <w:tc>
          <w:tcPr>
            <w:tcW w:w="2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189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(7 )</w:t>
            </w: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191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(27 )</w:t>
            </w:r>
          </w:p>
        </w:tc>
        <w:tc>
          <w:tcPr>
            <w:tcW w:w="2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(1 )</w:t>
            </w: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
        </w:trPr>
        <w:tc>
          <w:tcPr>
            <w:tcW w:w="57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loss</w:t>
            </w:r>
          </w:p>
        </w:tc>
        <w:tc>
          <w:tcPr>
            <w:tcW w:w="220" w:type="dxa"/>
            <w:vAlign w:val="bottom"/>
          </w:tcPr>
          <w:p>
            <w:pPr>
              <w:spacing w:after="0"/>
              <w:rPr>
                <w:sz w:val="17"/>
                <w:szCs w:val="17"/>
                <w:color w:val="auto"/>
              </w:rPr>
            </w:pPr>
          </w:p>
        </w:tc>
        <w:tc>
          <w:tcPr>
            <w:tcW w:w="122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(36,530 )</w:t>
            </w:r>
          </w:p>
        </w:tc>
        <w:tc>
          <w:tcPr>
            <w:tcW w:w="220" w:type="dxa"/>
            <w:vAlign w:val="bottom"/>
          </w:tcPr>
          <w:p>
            <w:pPr>
              <w:spacing w:after="0"/>
              <w:rPr>
                <w:sz w:val="17"/>
                <w:szCs w:val="17"/>
                <w:color w:val="auto"/>
              </w:rPr>
            </w:pPr>
          </w:p>
        </w:tc>
        <w:tc>
          <w:tcPr>
            <w:tcW w:w="118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(15,473 )</w:t>
            </w:r>
          </w:p>
        </w:tc>
        <w:tc>
          <w:tcPr>
            <w:tcW w:w="200" w:type="dxa"/>
            <w:vAlign w:val="bottom"/>
          </w:tcPr>
          <w:p>
            <w:pPr>
              <w:spacing w:after="0"/>
              <w:rPr>
                <w:sz w:val="17"/>
                <w:szCs w:val="17"/>
                <w:color w:val="auto"/>
              </w:rPr>
            </w:pPr>
          </w:p>
        </w:tc>
        <w:tc>
          <w:tcPr>
            <w:tcW w:w="11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(64,277 )</w:t>
            </w:r>
          </w:p>
        </w:tc>
        <w:tc>
          <w:tcPr>
            <w:tcW w:w="240" w:type="dxa"/>
            <w:vAlign w:val="bottom"/>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(31,575 )</w:t>
            </w:r>
          </w:p>
        </w:tc>
        <w:tc>
          <w:tcPr>
            <w:tcW w:w="0" w:type="dxa"/>
            <w:vAlign w:val="bottom"/>
          </w:tcPr>
          <w:p>
            <w:pPr>
              <w:spacing w:after="0"/>
              <w:rPr>
                <w:sz w:val="1"/>
                <w:szCs w:val="1"/>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attributable to redeemable convertible noncontrolling interest</w:t>
            </w:r>
          </w:p>
        </w:tc>
        <w:tc>
          <w:tcPr>
            <w:tcW w:w="2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(1,191</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w w:val="95"/>
              </w:rPr>
              <w:t>Exchange of redeemable noncontrolling interest shares – deemed dividend</w:t>
            </w:r>
          </w:p>
        </w:tc>
        <w:tc>
          <w:tcPr>
            <w:tcW w:w="220" w:type="dxa"/>
            <w:vAlign w:val="bottom"/>
          </w:tcPr>
          <w:p>
            <w:pPr>
              <w:spacing w:after="0"/>
              <w:rPr>
                <w:sz w:val="17"/>
                <w:szCs w:val="17"/>
                <w:color w:val="auto"/>
              </w:rPr>
            </w:pPr>
          </w:p>
        </w:tc>
        <w:tc>
          <w:tcPr>
            <w:tcW w:w="122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(99,994 )</w:t>
            </w:r>
          </w:p>
        </w:tc>
        <w:tc>
          <w:tcPr>
            <w:tcW w:w="200" w:type="dxa"/>
            <w:vAlign w:val="bottom"/>
          </w:tcPr>
          <w:p>
            <w:pPr>
              <w:spacing w:after="0"/>
              <w:rPr>
                <w:sz w:val="17"/>
                <w:szCs w:val="17"/>
                <w:color w:val="auto"/>
              </w:rPr>
            </w:pPr>
          </w:p>
        </w:tc>
        <w:tc>
          <w:tcPr>
            <w:tcW w:w="11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(99,994 )</w:t>
            </w:r>
          </w:p>
        </w:tc>
        <w:tc>
          <w:tcPr>
            <w:tcW w:w="0" w:type="dxa"/>
            <w:vAlign w:val="bottom"/>
          </w:tcPr>
          <w:p>
            <w:pPr>
              <w:spacing w:after="0"/>
              <w:rPr>
                <w:sz w:val="1"/>
                <w:szCs w:val="1"/>
                <w:color w:val="auto"/>
              </w:rPr>
            </w:pPr>
          </w:p>
        </w:tc>
      </w:tr>
      <w:tr>
        <w:trPr>
          <w:trHeight w:val="236"/>
        </w:trPr>
        <w:tc>
          <w:tcPr>
            <w:tcW w:w="57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attributable to common stockholders/members</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(36,530</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(114,276</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(64,277</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(129,460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5760" w:type="dxa"/>
            <w:vAlign w:val="bottom"/>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220" w:type="dxa"/>
            <w:vAlign w:val="bottom"/>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1"/>
              <w:spacing w:after="0" w:line="183" w:lineRule="exact"/>
              <w:rPr>
                <w:sz w:val="20"/>
                <w:szCs w:val="20"/>
                <w:color w:val="auto"/>
              </w:rPr>
            </w:pPr>
            <w:r>
              <w:rPr>
                <w:rFonts w:ascii="Arial" w:cs="Arial" w:eastAsia="Arial" w:hAnsi="Arial"/>
                <w:sz w:val="18"/>
                <w:szCs w:val="18"/>
                <w:color w:val="auto"/>
              </w:rPr>
              <w:t>(0.60 )</w:t>
            </w:r>
          </w:p>
        </w:tc>
        <w:tc>
          <w:tcPr>
            <w:tcW w:w="220" w:type="dxa"/>
            <w:vAlign w:val="bottom"/>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1"/>
              <w:spacing w:after="0" w:line="183" w:lineRule="exact"/>
              <w:rPr>
                <w:sz w:val="20"/>
                <w:szCs w:val="20"/>
                <w:color w:val="auto"/>
              </w:rPr>
            </w:pPr>
            <w:r>
              <w:rPr>
                <w:rFonts w:ascii="Arial" w:cs="Arial" w:eastAsia="Arial" w:hAnsi="Arial"/>
                <w:sz w:val="18"/>
                <w:szCs w:val="18"/>
                <w:color w:val="auto"/>
              </w:rPr>
              <w:t>(5.04 )</w:t>
            </w:r>
          </w:p>
        </w:tc>
        <w:tc>
          <w:tcPr>
            <w:tcW w:w="200" w:type="dxa"/>
            <w:vAlign w:val="bottom"/>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0"/>
              <w:spacing w:after="0" w:line="183" w:lineRule="exact"/>
              <w:rPr>
                <w:sz w:val="20"/>
                <w:szCs w:val="20"/>
                <w:color w:val="auto"/>
              </w:rPr>
            </w:pPr>
            <w:r>
              <w:rPr>
                <w:rFonts w:ascii="Arial" w:cs="Arial" w:eastAsia="Arial" w:hAnsi="Arial"/>
                <w:sz w:val="18"/>
                <w:szCs w:val="18"/>
                <w:color w:val="auto"/>
              </w:rPr>
              <w:t>(1.08 )</w:t>
            </w:r>
          </w:p>
        </w:tc>
        <w:tc>
          <w:tcPr>
            <w:tcW w:w="240" w:type="dxa"/>
            <w:vAlign w:val="bottom"/>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(10.81 )</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6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Weighted-average number of common shares used in computing net loss per</w:t>
            </w:r>
          </w:p>
        </w:tc>
        <w:tc>
          <w:tcPr>
            <w:tcW w:w="22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60,760,527</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22,661,889</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59,586,529</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7"/>
              </w:rPr>
              <w:t>11,976,577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576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8"/>
                <w:szCs w:val="18"/>
                <w:color w:val="auto"/>
              </w:rPr>
              <w:t>share, basic and diluted</w:t>
            </w: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-1496695</wp:posOffset>
            </wp:positionV>
            <wp:extent cx="7747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-1496695</wp:posOffset>
            </wp:positionV>
            <wp:extent cx="685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-1496695</wp:posOffset>
            </wp:positionV>
            <wp:extent cx="6858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-1496695</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-1222375</wp:posOffset>
            </wp:positionV>
            <wp:extent cx="7747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-1222375</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-1222375</wp:posOffset>
            </wp:positionV>
            <wp:extent cx="6858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-1222375</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-956310</wp:posOffset>
            </wp:positionV>
            <wp:extent cx="7747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-956310</wp:posOffset>
            </wp:positionV>
            <wp:extent cx="6858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-956310</wp:posOffset>
            </wp:positionV>
            <wp:extent cx="6858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-956310</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-419735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-402590</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-419735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-402590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-419735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-402590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-419735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-25400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ind w:left="4300"/>
        <w:spacing w:after="0"/>
        <w:rPr>
          <w:sz w:val="20"/>
          <w:szCs w:val="20"/>
          <w:color w:val="auto"/>
        </w:rPr>
      </w:pPr>
      <w:r>
        <w:rPr>
          <w:rFonts w:ascii="Arial" w:cs="Arial" w:eastAsia="Arial" w:hAnsi="Arial"/>
          <w:sz w:val="18"/>
          <w:szCs w:val="18"/>
          <w:b w:val="1"/>
          <w:bCs w:val="1"/>
          <w:color w:val="auto"/>
        </w:rPr>
        <w:t>Day One Biopharmaceuticals, Inc.</w:t>
      </w:r>
    </w:p>
    <w:p>
      <w:pPr>
        <w:spacing w:after="0" w:line="1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Condensed Consolidated Statements of Comprehensive Loss</w:t>
      </w:r>
    </w:p>
    <w:p>
      <w:pPr>
        <w:ind w:left="506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 thousands)</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5"/>
          </w:tcPr>
          <w:p>
            <w:pPr>
              <w:jc w:val="right"/>
              <w:ind w:right="821"/>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80" w:type="dxa"/>
            <w:vAlign w:val="bottom"/>
            <w:gridSpan w:val="5"/>
          </w:tcPr>
          <w:p>
            <w:pPr>
              <w:jc w:val="right"/>
              <w:ind w:right="72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vMerge w:val="restart"/>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260" w:type="dxa"/>
            <w:vAlign w:val="bottom"/>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40" w:type="dxa"/>
            <w:vAlign w:val="bottom"/>
            <w:vMerge w:val="restart"/>
          </w:tcPr>
          <w:p>
            <w:pPr>
              <w:jc w:val="right"/>
              <w:ind w:right="10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24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576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(36,530</w:t>
            </w:r>
          </w:p>
        </w:tc>
        <w:tc>
          <w:tcPr>
            <w:tcW w:w="26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(15,473</w:t>
            </w:r>
          </w:p>
        </w:tc>
        <w:tc>
          <w:tcPr>
            <w:tcW w:w="24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(64,277</w:t>
            </w:r>
          </w:p>
        </w:tc>
        <w:tc>
          <w:tcPr>
            <w:tcW w:w="24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(31,575</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120"/>
              <w:spacing w:after="0" w:line="202" w:lineRule="exact"/>
              <w:rPr>
                <w:sz w:val="20"/>
                <w:szCs w:val="20"/>
                <w:color w:val="auto"/>
              </w:rPr>
            </w:pPr>
            <w:r>
              <w:rPr>
                <w:rFonts w:ascii="Arial" w:cs="Arial" w:eastAsia="Arial" w:hAnsi="Arial"/>
                <w:sz w:val="18"/>
                <w:szCs w:val="18"/>
                <w:color w:val="auto"/>
              </w:rPr>
              <w:t>Unrealized loss on available-for-sale securities</w:t>
            </w:r>
          </w:p>
        </w:tc>
        <w:tc>
          <w:tcPr>
            <w:tcW w:w="280" w:type="dxa"/>
            <w:vAlign w:val="bottom"/>
          </w:tcPr>
          <w:p>
            <w:pPr>
              <w:spacing w:after="0"/>
              <w:rPr>
                <w:sz w:val="17"/>
                <w:szCs w:val="17"/>
                <w:color w:val="auto"/>
              </w:rPr>
            </w:pPr>
          </w:p>
        </w:tc>
        <w:tc>
          <w:tcPr>
            <w:tcW w:w="116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(3 )</w:t>
            </w:r>
          </w:p>
        </w:tc>
        <w:tc>
          <w:tcPr>
            <w:tcW w:w="280" w:type="dxa"/>
            <w:vAlign w:val="bottom"/>
          </w:tcPr>
          <w:p>
            <w:pPr>
              <w:spacing w:after="0"/>
              <w:rPr>
                <w:sz w:val="17"/>
                <w:szCs w:val="17"/>
                <w:color w:val="auto"/>
              </w:rPr>
            </w:pPr>
          </w:p>
        </w:tc>
        <w:tc>
          <w:tcPr>
            <w:tcW w:w="1120" w:type="dxa"/>
            <w:vAlign w:val="bottom"/>
            <w:gridSpan w:val="2"/>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(3 )</w:t>
            </w:r>
          </w:p>
        </w:tc>
        <w:tc>
          <w:tcPr>
            <w:tcW w:w="280" w:type="dxa"/>
            <w:vAlign w:val="bottom"/>
          </w:tcPr>
          <w:p>
            <w:pPr>
              <w:spacing w:after="0"/>
              <w:rPr>
                <w:sz w:val="17"/>
                <w:szCs w:val="17"/>
                <w:color w:val="auto"/>
              </w:rPr>
            </w:pPr>
          </w:p>
        </w:tc>
        <w:tc>
          <w:tcPr>
            <w:tcW w:w="98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7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comprehensive loss</w:t>
            </w: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(36,533</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(15,473</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(64,280</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(31,575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-25400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Day One Biopharmaceuticals, Inc.</w:t>
      </w:r>
    </w:p>
    <w:p>
      <w:pPr>
        <w:spacing w:after="0" w:line="16" w:lineRule="exact"/>
        <w:rPr>
          <w:sz w:val="20"/>
          <w:szCs w:val="20"/>
          <w:color w:val="auto"/>
        </w:rPr>
      </w:pPr>
    </w:p>
    <w:p>
      <w:pPr>
        <w:jc w:val="center"/>
        <w:ind w:right="40"/>
        <w:spacing w:after="0" w:line="234" w:lineRule="auto"/>
        <w:rPr>
          <w:sz w:val="20"/>
          <w:szCs w:val="20"/>
          <w:color w:val="auto"/>
        </w:rPr>
      </w:pPr>
      <w:r>
        <w:rPr>
          <w:rFonts w:ascii="Arial" w:cs="Arial" w:eastAsia="Arial" w:hAnsi="Arial"/>
          <w:sz w:val="18"/>
          <w:szCs w:val="18"/>
          <w:b w:val="1"/>
          <w:bCs w:val="1"/>
          <w:color w:val="auto"/>
        </w:rPr>
        <w:t>Condensed Consolidated Statements of Redeemable Convertible Preferred Shares, Redeemable Noncontrolling Interest and Stockholders’ Equity/ Members’ (Deficit) (in thousands, except share amounts)</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5"/>
            <w:vMerge w:val="restart"/>
          </w:tcPr>
          <w:p>
            <w:pPr>
              <w:jc w:val="right"/>
              <w:ind w:right="20"/>
              <w:spacing w:after="0"/>
              <w:rPr>
                <w:sz w:val="20"/>
                <w:szCs w:val="20"/>
                <w:color w:val="auto"/>
              </w:rPr>
            </w:pPr>
            <w:r>
              <w:rPr>
                <w:rFonts w:ascii="Arial" w:cs="Arial" w:eastAsia="Arial" w:hAnsi="Arial"/>
                <w:sz w:val="11"/>
                <w:szCs w:val="11"/>
                <w:b w:val="1"/>
                <w:bCs w:val="1"/>
                <w:color w:val="auto"/>
              </w:rPr>
              <w:t>Common Shares</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4"/>
          </w:tcPr>
          <w:p>
            <w:pPr>
              <w:jc w:val="right"/>
              <w:ind w:right="460"/>
              <w:spacing w:after="0"/>
              <w:rPr>
                <w:sz w:val="20"/>
                <w:szCs w:val="20"/>
                <w:color w:val="auto"/>
              </w:rPr>
            </w:pPr>
            <w:r>
              <w:rPr>
                <w:rFonts w:ascii="Arial" w:cs="Arial" w:eastAsia="Arial" w:hAnsi="Arial"/>
                <w:sz w:val="11"/>
                <w:szCs w:val="11"/>
                <w:b w:val="1"/>
                <w:bCs w:val="1"/>
                <w:color w:val="auto"/>
              </w:rPr>
              <w:t>Additional</w:t>
            </w:r>
          </w:p>
        </w:tc>
        <w:tc>
          <w:tcPr>
            <w:tcW w:w="60" w:type="dxa"/>
            <w:vAlign w:val="bottom"/>
          </w:tcPr>
          <w:p>
            <w:pPr>
              <w:spacing w:after="0"/>
              <w:rPr>
                <w:sz w:val="10"/>
                <w:szCs w:val="10"/>
                <w:color w:val="auto"/>
              </w:rPr>
            </w:pPr>
          </w:p>
        </w:tc>
        <w:tc>
          <w:tcPr>
            <w:tcW w:w="1240" w:type="dxa"/>
            <w:vAlign w:val="bottom"/>
            <w:gridSpan w:val="4"/>
            <w:vMerge w:val="restart"/>
          </w:tcPr>
          <w:p>
            <w:pPr>
              <w:jc w:val="right"/>
              <w:ind w:right="40"/>
              <w:spacing w:after="0"/>
              <w:rPr>
                <w:sz w:val="20"/>
                <w:szCs w:val="20"/>
                <w:color w:val="auto"/>
              </w:rPr>
            </w:pPr>
            <w:r>
              <w:rPr>
                <w:rFonts w:ascii="Arial" w:cs="Arial" w:eastAsia="Arial" w:hAnsi="Arial"/>
                <w:sz w:val="11"/>
                <w:szCs w:val="11"/>
                <w:b w:val="1"/>
                <w:bCs w:val="1"/>
                <w:color w:val="auto"/>
              </w:rPr>
              <w:t>Accumulated Other</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4"/>
            <w:vMerge w:val="restart"/>
          </w:tcPr>
          <w:p>
            <w:pPr>
              <w:jc w:val="right"/>
              <w:ind w:right="382"/>
              <w:spacing w:after="0"/>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10"/>
                <w:szCs w:val="10"/>
                <w:color w:val="auto"/>
              </w:rPr>
            </w:pPr>
          </w:p>
        </w:tc>
        <w:tc>
          <w:tcPr>
            <w:tcW w:w="1260" w:type="dxa"/>
            <w:vAlign w:val="bottom"/>
            <w:gridSpan w:val="5"/>
            <w:vMerge w:val="restart"/>
          </w:tcPr>
          <w:p>
            <w:pPr>
              <w:jc w:val="right"/>
              <w:ind w:right="240"/>
              <w:spacing w:after="0"/>
              <w:rPr>
                <w:sz w:val="20"/>
                <w:szCs w:val="20"/>
                <w:color w:val="auto"/>
              </w:rPr>
            </w:pPr>
            <w:r>
              <w:rPr>
                <w:rFonts w:ascii="Arial" w:cs="Arial" w:eastAsia="Arial" w:hAnsi="Arial"/>
                <w:sz w:val="11"/>
                <w:szCs w:val="11"/>
                <w:b w:val="1"/>
                <w:bCs w:val="1"/>
                <w:color w:val="auto"/>
                <w:w w:val="98"/>
              </w:rPr>
              <w:t>Total Stockholders'</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5"/>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3"/>
          </w:tcPr>
          <w:p>
            <w:pPr>
              <w:jc w:val="right"/>
              <w:ind w:right="540"/>
              <w:spacing w:after="0"/>
              <w:rPr>
                <w:sz w:val="20"/>
                <w:szCs w:val="20"/>
                <w:color w:val="auto"/>
              </w:rPr>
            </w:pPr>
            <w:r>
              <w:rPr>
                <w:rFonts w:ascii="Arial" w:cs="Arial" w:eastAsia="Arial" w:hAnsi="Arial"/>
                <w:sz w:val="11"/>
                <w:szCs w:val="11"/>
                <w:b w:val="1"/>
                <w:bCs w:val="1"/>
                <w:color w:val="auto"/>
                <w:w w:val="87"/>
              </w:rPr>
              <w:t>Paid-In</w:t>
            </w:r>
          </w:p>
        </w:tc>
        <w:tc>
          <w:tcPr>
            <w:tcW w:w="60" w:type="dxa"/>
            <w:vAlign w:val="bottom"/>
          </w:tcPr>
          <w:p>
            <w:pPr>
              <w:spacing w:after="0"/>
              <w:rPr>
                <w:sz w:val="11"/>
                <w:szCs w:val="11"/>
                <w:color w:val="auto"/>
              </w:rPr>
            </w:pPr>
          </w:p>
        </w:tc>
        <w:tc>
          <w:tcPr>
            <w:tcW w:w="124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auto"/>
                <w:w w:val="86"/>
              </w:rPr>
              <w:t>Amount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3"/>
          </w:tcPr>
          <w:p>
            <w:pPr>
              <w:jc w:val="right"/>
              <w:ind w:right="540"/>
              <w:spacing w:after="0" w:line="121" w:lineRule="exact"/>
              <w:rPr>
                <w:sz w:val="20"/>
                <w:szCs w:val="20"/>
                <w:color w:val="auto"/>
              </w:rPr>
            </w:pPr>
            <w:r>
              <w:rPr>
                <w:rFonts w:ascii="Arial" w:cs="Arial" w:eastAsia="Arial" w:hAnsi="Arial"/>
                <w:sz w:val="11"/>
                <w:szCs w:val="11"/>
                <w:b w:val="1"/>
                <w:bCs w:val="1"/>
                <w:color w:val="auto"/>
                <w:w w:val="87"/>
              </w:rPr>
              <w:t>Capital</w:t>
            </w:r>
          </w:p>
        </w:tc>
        <w:tc>
          <w:tcPr>
            <w:tcW w:w="60" w:type="dxa"/>
            <w:vAlign w:val="bottom"/>
          </w:tcPr>
          <w:p>
            <w:pPr>
              <w:spacing w:after="0"/>
              <w:rPr>
                <w:sz w:val="11"/>
                <w:szCs w:val="11"/>
                <w:color w:val="auto"/>
              </w:rPr>
            </w:pPr>
          </w:p>
        </w:tc>
        <w:tc>
          <w:tcPr>
            <w:tcW w:w="1240" w:type="dxa"/>
            <w:vAlign w:val="bottom"/>
            <w:gridSpan w:val="4"/>
          </w:tcPr>
          <w:p>
            <w:pPr>
              <w:jc w:val="right"/>
              <w:ind w:right="20"/>
              <w:spacing w:after="0" w:line="121" w:lineRule="exact"/>
              <w:rPr>
                <w:sz w:val="20"/>
                <w:szCs w:val="20"/>
                <w:color w:val="auto"/>
              </w:rPr>
            </w:pPr>
            <w:r>
              <w:rPr>
                <w:rFonts w:ascii="Arial" w:cs="Arial" w:eastAsia="Arial" w:hAnsi="Arial"/>
                <w:sz w:val="11"/>
                <w:szCs w:val="11"/>
                <w:b w:val="1"/>
                <w:bCs w:val="1"/>
                <w:color w:val="auto"/>
              </w:rPr>
              <w:t>Comprehensive Loss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Deficit</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3"/>
          </w:tcPr>
          <w:p>
            <w:pPr>
              <w:jc w:val="right"/>
              <w:ind w:right="540"/>
              <w:spacing w:after="0" w:line="121"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28"/>
        </w:trPr>
        <w:tc>
          <w:tcPr>
            <w:tcW w:w="1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at December 31, 2021</w:t>
            </w:r>
          </w:p>
        </w:tc>
        <w:tc>
          <w:tcPr>
            <w:tcW w:w="52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61,952,292</w:t>
            </w:r>
          </w:p>
        </w:tc>
        <w:tc>
          <w:tcPr>
            <w:tcW w:w="6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FF0FC"/>
          </w:tcPr>
          <w:p>
            <w:pPr>
              <w:spacing w:after="0"/>
              <w:rPr>
                <w:sz w:val="11"/>
                <w:szCs w:val="11"/>
                <w:color w:val="auto"/>
              </w:rPr>
            </w:pPr>
          </w:p>
        </w:tc>
        <w:tc>
          <w:tcPr>
            <w:tcW w:w="680" w:type="dxa"/>
            <w:vAlign w:val="bottom"/>
            <w:tcBorders>
              <w:top w:val="single" w:sz="8" w:color="auto"/>
              <w:left w:val="single" w:sz="8" w:color="CFF0FC"/>
              <w:bottom w:val="single" w:sz="8" w:color="auto"/>
            </w:tcBorders>
            <w:gridSpan w:val="3"/>
            <w:shd w:val="clear" w:color="auto" w:fill="CFF0FC"/>
          </w:tcPr>
          <w:p>
            <w:pPr>
              <w:jc w:val="right"/>
              <w:spacing w:after="0"/>
              <w:rPr>
                <w:sz w:val="20"/>
                <w:szCs w:val="20"/>
                <w:color w:val="auto"/>
              </w:rPr>
            </w:pPr>
            <w:r>
              <w:rPr>
                <w:rFonts w:ascii="Arial" w:cs="Arial" w:eastAsia="Arial" w:hAnsi="Arial"/>
                <w:sz w:val="11"/>
                <w:szCs w:val="11"/>
                <w:color w:val="auto"/>
              </w:rPr>
              <w:t>6</w:t>
            </w:r>
          </w:p>
        </w:tc>
        <w:tc>
          <w:tcPr>
            <w:tcW w:w="18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top w:val="single" w:sz="8" w:color="auto"/>
              <w:bottom w:val="single" w:sz="8" w:color="auto"/>
            </w:tcBorders>
            <w:shd w:val="clear" w:color="auto" w:fill="CFF0FC"/>
          </w:tcPr>
          <w:p>
            <w:pPr>
              <w:jc w:val="right"/>
              <w:ind w:right="254"/>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408,629</w:t>
            </w:r>
          </w:p>
        </w:tc>
        <w:tc>
          <w:tcPr>
            <w:tcW w:w="200" w:type="dxa"/>
            <w:vAlign w:val="bottom"/>
            <w:tcBorders>
              <w:left w:val="single" w:sz="8" w:color="CFF0FC"/>
              <w:bottom w:val="single" w:sz="8" w:color="CFF0FC"/>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360" w:type="dxa"/>
            <w:vAlign w:val="bottom"/>
            <w:tcBorders>
              <w:top w:val="single" w:sz="8" w:color="auto"/>
              <w:bottom w:val="single" w:sz="8" w:color="auto"/>
            </w:tcBorders>
            <w:shd w:val="clear" w:color="auto" w:fill="CFF0FC"/>
          </w:tcPr>
          <w:p>
            <w:pPr>
              <w:jc w:val="right"/>
              <w:ind w:right="254"/>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FF0FC"/>
          </w:tcPr>
          <w:p>
            <w:pPr>
              <w:spacing w:after="0"/>
              <w:rPr>
                <w:sz w:val="11"/>
                <w:szCs w:val="11"/>
                <w:color w:val="auto"/>
              </w:rPr>
            </w:pPr>
          </w:p>
        </w:tc>
        <w:tc>
          <w:tcPr>
            <w:tcW w:w="480" w:type="dxa"/>
            <w:vAlign w:val="bottom"/>
            <w:tcBorders>
              <w:top w:val="single" w:sz="8" w:color="auto"/>
              <w:bottom w:val="single" w:sz="8" w:color="auto"/>
            </w:tcBorders>
            <w:shd w:val="clear" w:color="auto" w:fill="CFF0FC"/>
          </w:tcPr>
          <w:p>
            <w:pPr>
              <w:spacing w:after="0"/>
              <w:rPr>
                <w:sz w:val="11"/>
                <w:szCs w:val="11"/>
                <w:color w:val="auto"/>
              </w:rPr>
            </w:pPr>
          </w:p>
        </w:tc>
        <w:tc>
          <w:tcPr>
            <w:tcW w:w="200" w:type="dxa"/>
            <w:vAlign w:val="bottom"/>
            <w:tcBorders>
              <w:top w:val="single" w:sz="8" w:color="auto"/>
              <w:bottom w:val="single" w:sz="8" w:color="auto"/>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top w:val="single" w:sz="8" w:color="auto"/>
              <w:left w:val="single" w:sz="8" w:color="CFF0FC"/>
              <w:bottom w:val="single" w:sz="8" w:color="auto"/>
            </w:tcBorders>
            <w:shd w:val="clear" w:color="auto" w:fill="CFF0FC"/>
          </w:tcPr>
          <w:p>
            <w:pPr>
              <w:jc w:val="right"/>
              <w:ind w:right="29"/>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spacing w:after="0"/>
              <w:rPr>
                <w:sz w:val="11"/>
                <w:szCs w:val="11"/>
                <w:color w:val="auto"/>
              </w:rPr>
            </w:pPr>
          </w:p>
        </w:tc>
        <w:tc>
          <w:tcPr>
            <w:tcW w:w="500" w:type="dxa"/>
            <w:vAlign w:val="bottom"/>
            <w:tcBorders>
              <w:top w:val="single" w:sz="8" w:color="auto"/>
              <w:left w:val="single" w:sz="8" w:color="CFF0FC"/>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(127,487</w:t>
            </w:r>
          </w:p>
        </w:tc>
        <w:tc>
          <w:tcPr>
            <w:tcW w:w="8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8"/>
                <w:szCs w:val="8"/>
                <w:color w:val="auto"/>
                <w:w w:val="73"/>
              </w:rPr>
              <w:t>)</w:t>
            </w:r>
          </w:p>
        </w:tc>
        <w:tc>
          <w:tcPr>
            <w:tcW w:w="14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top w:val="single" w:sz="8" w:color="auto"/>
              <w:bottom w:val="single" w:sz="8" w:color="auto"/>
            </w:tcBorders>
            <w:shd w:val="clear" w:color="auto" w:fill="CFF0FC"/>
          </w:tcPr>
          <w:p>
            <w:pPr>
              <w:jc w:val="right"/>
              <w:ind w:right="74"/>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281,148</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20" w:type="dxa"/>
            <w:vAlign w:val="bottom"/>
          </w:tcPr>
          <w:p>
            <w:pPr>
              <w:ind w:left="20"/>
              <w:spacing w:after="0"/>
              <w:rPr>
                <w:sz w:val="20"/>
                <w:szCs w:val="20"/>
                <w:color w:val="auto"/>
              </w:rPr>
            </w:pPr>
            <w:r>
              <w:rPr>
                <w:rFonts w:ascii="Arial" w:cs="Arial" w:eastAsia="Arial" w:hAnsi="Arial"/>
                <w:sz w:val="11"/>
                <w:szCs w:val="11"/>
                <w:color w:val="auto"/>
                <w:w w:val="96"/>
              </w:rPr>
              <w:t>Share-based compensation expenses</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6,202</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gridSpan w:val="2"/>
          </w:tcPr>
          <w:p>
            <w:pPr>
              <w:jc w:val="right"/>
              <w:ind w:right="13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tcPr>
          <w:p>
            <w:pPr>
              <w:jc w:val="right"/>
              <w:ind w:right="62"/>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6,202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FF0FC"/>
          </w:tcPr>
          <w:p>
            <w:pPr>
              <w:ind w:left="20"/>
              <w:spacing w:after="0"/>
              <w:rPr>
                <w:sz w:val="20"/>
                <w:szCs w:val="20"/>
                <w:color w:val="auto"/>
              </w:rPr>
            </w:pPr>
            <w:r>
              <w:rPr>
                <w:rFonts w:ascii="Arial" w:cs="Arial" w:eastAsia="Arial" w:hAnsi="Arial"/>
                <w:sz w:val="11"/>
                <w:szCs w:val="11"/>
                <w:color w:val="auto"/>
              </w:rPr>
              <w:t>Unvested common stock forfeiture</w:t>
            </w: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(40,363 )</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136"/>
              <w:spacing w:after="0"/>
              <w:rPr>
                <w:sz w:val="20"/>
                <w:szCs w:val="20"/>
                <w:color w:val="auto"/>
              </w:rPr>
            </w:pPr>
            <w:r>
              <w:rPr>
                <w:rFonts w:ascii="Arial" w:cs="Arial" w:eastAsia="Arial" w:hAnsi="Arial"/>
                <w:sz w:val="11"/>
                <w:szCs w:val="11"/>
                <w:color w:val="auto"/>
              </w:rPr>
              <w:t>—</w:t>
            </w:r>
          </w:p>
        </w:tc>
        <w:tc>
          <w:tcPr>
            <w:tcW w:w="20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tcBorders>
              <w:left w:val="single" w:sz="8" w:color="CFF0FC"/>
            </w:tcBorders>
            <w:shd w:val="clear" w:color="auto" w:fill="CFF0FC"/>
          </w:tcPr>
          <w:p>
            <w:pPr>
              <w:spacing w:after="0"/>
              <w:rPr>
                <w:sz w:val="11"/>
                <w:szCs w:val="11"/>
                <w:color w:val="auto"/>
              </w:rPr>
            </w:pPr>
          </w:p>
        </w:tc>
        <w:tc>
          <w:tcPr>
            <w:tcW w:w="380" w:type="dxa"/>
            <w:vAlign w:val="bottom"/>
            <w:gridSpan w:val="2"/>
            <w:shd w:val="clear" w:color="auto" w:fill="CFF0FC"/>
          </w:tcPr>
          <w:p>
            <w:pPr>
              <w:jc w:val="right"/>
              <w:ind w:right="62"/>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580" w:type="dxa"/>
            <w:vAlign w:val="bottom"/>
            <w:gridSpan w:val="3"/>
          </w:tcPr>
          <w:p>
            <w:pPr>
              <w:ind w:left="20"/>
              <w:spacing w:after="0"/>
              <w:rPr>
                <w:sz w:val="20"/>
                <w:szCs w:val="20"/>
                <w:color w:val="auto"/>
              </w:rPr>
            </w:pPr>
            <w:r>
              <w:rPr>
                <w:rFonts w:ascii="Arial" w:cs="Arial" w:eastAsia="Arial" w:hAnsi="Arial"/>
                <w:sz w:val="11"/>
                <w:szCs w:val="11"/>
                <w:color w:val="auto"/>
              </w:rPr>
              <w:t>Net loss attributable to common stockholders</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gridSpan w:val="2"/>
          </w:tcPr>
          <w:p>
            <w:pPr>
              <w:jc w:val="right"/>
              <w:ind w:right="13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3"/>
          </w:tcPr>
          <w:p>
            <w:pPr>
              <w:jc w:val="right"/>
              <w:ind w:right="2"/>
              <w:spacing w:after="0"/>
              <w:rPr>
                <w:sz w:val="20"/>
                <w:szCs w:val="20"/>
                <w:color w:val="auto"/>
              </w:rPr>
            </w:pPr>
            <w:r>
              <w:rPr>
                <w:rFonts w:ascii="Arial" w:cs="Arial" w:eastAsia="Arial" w:hAnsi="Arial"/>
                <w:sz w:val="11"/>
                <w:szCs w:val="11"/>
                <w:color w:val="auto"/>
              </w:rPr>
              <w:t>(27,747 )</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1"/>
                <w:szCs w:val="11"/>
                <w:color w:val="auto"/>
              </w:rPr>
              <w:t>(27,747 )</w:t>
            </w:r>
          </w:p>
        </w:tc>
        <w:tc>
          <w:tcPr>
            <w:tcW w:w="0" w:type="dxa"/>
            <w:vAlign w:val="bottom"/>
          </w:tcPr>
          <w:p>
            <w:pPr>
              <w:spacing w:after="0"/>
              <w:rPr>
                <w:sz w:val="1"/>
                <w:szCs w:val="1"/>
                <w:color w:val="auto"/>
              </w:rPr>
            </w:pPr>
          </w:p>
        </w:tc>
      </w:tr>
      <w:tr>
        <w:trPr>
          <w:trHeight w:val="168"/>
        </w:trPr>
        <w:tc>
          <w:tcPr>
            <w:tcW w:w="1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at March 31, 2022</w:t>
            </w:r>
          </w:p>
        </w:tc>
        <w:tc>
          <w:tcPr>
            <w:tcW w:w="5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61,911,929</w:t>
            </w:r>
          </w:p>
        </w:tc>
        <w:tc>
          <w:tcPr>
            <w:tcW w:w="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left w:val="single" w:sz="8" w:color="CFF0FC"/>
              <w:bottom w:val="single" w:sz="8" w:color="auto"/>
            </w:tcBorders>
            <w:gridSpan w:val="3"/>
            <w:shd w:val="clear" w:color="auto" w:fill="CFF0FC"/>
          </w:tcPr>
          <w:p>
            <w:pPr>
              <w:jc w:val="right"/>
              <w:spacing w:after="0"/>
              <w:rPr>
                <w:sz w:val="20"/>
                <w:szCs w:val="20"/>
                <w:color w:val="auto"/>
              </w:rPr>
            </w:pPr>
            <w:r>
              <w:rPr>
                <w:rFonts w:ascii="Arial" w:cs="Arial" w:eastAsia="Arial" w:hAnsi="Arial"/>
                <w:sz w:val="11"/>
                <w:szCs w:val="11"/>
                <w:color w:val="auto"/>
              </w:rPr>
              <w:t>6</w:t>
            </w:r>
          </w:p>
        </w:tc>
        <w:tc>
          <w:tcPr>
            <w:tcW w:w="1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414,831</w:t>
            </w:r>
          </w:p>
        </w:tc>
        <w:tc>
          <w:tcPr>
            <w:tcW w:w="200" w:type="dxa"/>
            <w:vAlign w:val="bottom"/>
            <w:tcBorders>
              <w:left w:val="single" w:sz="8" w:color="CFF0FC"/>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480" w:type="dxa"/>
            <w:vAlign w:val="bottom"/>
            <w:tcBorders>
              <w:top w:val="single" w:sz="8" w:color="auto"/>
              <w:bottom w:val="single" w:sz="8" w:color="auto"/>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top w:val="single" w:sz="8" w:color="auto"/>
              <w:left w:val="single" w:sz="8" w:color="CFF0FC"/>
              <w:bottom w:val="single" w:sz="8" w:color="auto"/>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spacing w:after="0"/>
              <w:rPr>
                <w:sz w:val="14"/>
                <w:szCs w:val="14"/>
                <w:color w:val="auto"/>
              </w:rPr>
            </w:pPr>
          </w:p>
        </w:tc>
        <w:tc>
          <w:tcPr>
            <w:tcW w:w="500" w:type="dxa"/>
            <w:vAlign w:val="bottom"/>
            <w:tcBorders>
              <w:top w:val="single" w:sz="8" w:color="auto"/>
              <w:left w:val="single" w:sz="8" w:color="CFF0FC"/>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(155,234</w:t>
            </w:r>
          </w:p>
        </w:tc>
        <w:tc>
          <w:tcPr>
            <w:tcW w:w="8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8"/>
                <w:szCs w:val="8"/>
                <w:color w:val="auto"/>
                <w:w w:val="73"/>
              </w:rPr>
              <w:t>)</w:t>
            </w:r>
          </w:p>
        </w:tc>
        <w:tc>
          <w:tcPr>
            <w:tcW w:w="1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259,603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580" w:type="dxa"/>
            <w:vAlign w:val="bottom"/>
            <w:gridSpan w:val="3"/>
          </w:tcPr>
          <w:p>
            <w:pPr>
              <w:ind w:left="20"/>
              <w:spacing w:after="0" w:line="79" w:lineRule="exact"/>
              <w:rPr>
                <w:sz w:val="20"/>
                <w:szCs w:val="20"/>
                <w:color w:val="auto"/>
              </w:rPr>
            </w:pPr>
            <w:r>
              <w:rPr>
                <w:rFonts w:ascii="Arial" w:cs="Arial" w:eastAsia="Arial" w:hAnsi="Arial"/>
                <w:sz w:val="9"/>
                <w:szCs w:val="9"/>
                <w:color w:val="auto"/>
              </w:rPr>
              <w:t>Issuance of common stock pursuant to follow-on offering,</w:t>
            </w: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1"/>
                <w:szCs w:val="11"/>
                <w:color w:val="auto"/>
              </w:rPr>
              <w:t>11,500,000</w:t>
            </w: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1"/>
                <w:szCs w:val="11"/>
                <w:color w:val="auto"/>
              </w:rPr>
              <w:t>161,609</w:t>
            </w: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gridSpan w:val="2"/>
            <w:vMerge w:val="restart"/>
          </w:tcPr>
          <w:p>
            <w:pPr>
              <w:jc w:val="right"/>
              <w:ind w:right="13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gridSpan w:val="2"/>
            <w:vMerge w:val="restart"/>
          </w:tcPr>
          <w:p>
            <w:pPr>
              <w:jc w:val="right"/>
              <w:ind w:right="62"/>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161,610</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820" w:type="dxa"/>
            <w:vAlign w:val="bottom"/>
          </w:tcPr>
          <w:p>
            <w:pPr>
              <w:ind w:left="100"/>
              <w:spacing w:after="0"/>
              <w:rPr>
                <w:sz w:val="20"/>
                <w:szCs w:val="20"/>
                <w:color w:val="auto"/>
              </w:rPr>
            </w:pPr>
            <w:r>
              <w:rPr>
                <w:rFonts w:ascii="Arial" w:cs="Arial" w:eastAsia="Arial" w:hAnsi="Arial"/>
                <w:sz w:val="11"/>
                <w:szCs w:val="11"/>
                <w:color w:val="auto"/>
              </w:rPr>
              <w:t>net of issuance costs of $10,864</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580" w:type="dxa"/>
            <w:vAlign w:val="bottom"/>
            <w:gridSpan w:val="3"/>
            <w:shd w:val="clear" w:color="auto" w:fill="CFF0FC"/>
          </w:tcPr>
          <w:p>
            <w:pPr>
              <w:ind w:left="20"/>
              <w:spacing w:after="0" w:line="103" w:lineRule="exact"/>
              <w:rPr>
                <w:sz w:val="20"/>
                <w:szCs w:val="20"/>
                <w:color w:val="auto"/>
              </w:rPr>
            </w:pPr>
            <w:r>
              <w:rPr>
                <w:rFonts w:ascii="Arial" w:cs="Arial" w:eastAsia="Arial" w:hAnsi="Arial"/>
                <w:sz w:val="11"/>
                <w:szCs w:val="11"/>
                <w:color w:val="auto"/>
              </w:rPr>
              <w:t>Issuance of shares pursuant to Employee Stock</w:t>
            </w:r>
          </w:p>
        </w:tc>
        <w:tc>
          <w:tcPr>
            <w:tcW w:w="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2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49,171</w:t>
            </w:r>
          </w:p>
        </w:tc>
        <w:tc>
          <w:tcPr>
            <w:tcW w:w="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0" w:type="dxa"/>
            <w:vAlign w:val="bottom"/>
            <w:tcBorders>
              <w:left w:val="single" w:sz="8" w:color="CFF0FC"/>
            </w:tcBorders>
            <w:shd w:val="clear" w:color="auto" w:fill="CFF0FC"/>
          </w:tcPr>
          <w:p>
            <w:pPr>
              <w:spacing w:after="0"/>
              <w:rPr>
                <w:sz w:val="8"/>
                <w:szCs w:val="8"/>
                <w:color w:val="auto"/>
              </w:rPr>
            </w:pPr>
          </w:p>
        </w:tc>
        <w:tc>
          <w:tcPr>
            <w:tcW w:w="54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68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320</w:t>
            </w:r>
          </w:p>
        </w:tc>
        <w:tc>
          <w:tcPr>
            <w:tcW w:w="200" w:type="dxa"/>
            <w:vAlign w:val="bottom"/>
            <w:tcBorders>
              <w:lef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0" w:type="dxa"/>
            <w:vAlign w:val="bottom"/>
            <w:gridSpan w:val="2"/>
            <w:vMerge w:val="restart"/>
            <w:shd w:val="clear" w:color="auto" w:fill="CFF0FC"/>
          </w:tcPr>
          <w:p>
            <w:pPr>
              <w:jc w:val="right"/>
              <w:ind w:right="136"/>
              <w:spacing w:after="0"/>
              <w:rPr>
                <w:sz w:val="20"/>
                <w:szCs w:val="20"/>
                <w:color w:val="auto"/>
              </w:rPr>
            </w:pPr>
            <w:r>
              <w:rPr>
                <w:rFonts w:ascii="Arial" w:cs="Arial" w:eastAsia="Arial" w:hAnsi="Arial"/>
                <w:sz w:val="11"/>
                <w:szCs w:val="11"/>
                <w:color w:val="auto"/>
              </w:rPr>
              <w:t>—</w:t>
            </w:r>
          </w:p>
        </w:tc>
        <w:tc>
          <w:tcPr>
            <w:tcW w:w="200" w:type="dxa"/>
            <w:vAlign w:val="bottom"/>
            <w:tcBorders>
              <w:lef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00" w:type="dxa"/>
            <w:vAlign w:val="bottom"/>
            <w:tcBorders>
              <w:left w:val="single" w:sz="8" w:color="CFF0FC"/>
            </w:tcBorders>
            <w:shd w:val="clear" w:color="auto" w:fill="CFF0FC"/>
          </w:tcPr>
          <w:p>
            <w:pPr>
              <w:spacing w:after="0"/>
              <w:rPr>
                <w:sz w:val="8"/>
                <w:szCs w:val="8"/>
                <w:color w:val="auto"/>
              </w:rPr>
            </w:pPr>
          </w:p>
        </w:tc>
        <w:tc>
          <w:tcPr>
            <w:tcW w:w="380" w:type="dxa"/>
            <w:vAlign w:val="bottom"/>
            <w:gridSpan w:val="2"/>
            <w:vMerge w:val="restart"/>
            <w:shd w:val="clear" w:color="auto" w:fill="CFF0FC"/>
          </w:tcPr>
          <w:p>
            <w:pPr>
              <w:jc w:val="right"/>
              <w:ind w:right="62"/>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320</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820" w:type="dxa"/>
            <w:vAlign w:val="bottom"/>
            <w:shd w:val="clear" w:color="auto" w:fill="CFF0FC"/>
          </w:tcPr>
          <w:p>
            <w:pPr>
              <w:ind w:left="100"/>
              <w:spacing w:after="0"/>
              <w:rPr>
                <w:sz w:val="20"/>
                <w:szCs w:val="20"/>
                <w:color w:val="auto"/>
              </w:rPr>
            </w:pPr>
            <w:r>
              <w:rPr>
                <w:rFonts w:ascii="Arial" w:cs="Arial" w:eastAsia="Arial" w:hAnsi="Arial"/>
                <w:sz w:val="11"/>
                <w:szCs w:val="11"/>
                <w:color w:val="auto"/>
              </w:rPr>
              <w:t>Purchase Plan</w:t>
            </w: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54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200" w:type="dxa"/>
            <w:vAlign w:val="bottom"/>
            <w:tcBorders>
              <w:lef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gridSpan w:val="2"/>
            <w:vMerge w:val="continue"/>
            <w:shd w:val="clear" w:color="auto" w:fill="CFF0FC"/>
          </w:tcPr>
          <w:p>
            <w:pPr>
              <w:spacing w:after="0"/>
              <w:rPr>
                <w:sz w:val="12"/>
                <w:szCs w:val="12"/>
                <w:color w:val="auto"/>
              </w:rPr>
            </w:pPr>
          </w:p>
        </w:tc>
        <w:tc>
          <w:tcPr>
            <w:tcW w:w="200" w:type="dxa"/>
            <w:vAlign w:val="bottom"/>
            <w:tcBorders>
              <w:lef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tcBorders>
              <w:left w:val="single" w:sz="8" w:color="CFF0FC"/>
            </w:tcBorders>
            <w:shd w:val="clear" w:color="auto" w:fill="CFF0FC"/>
          </w:tcPr>
          <w:p>
            <w:pPr>
              <w:spacing w:after="0"/>
              <w:rPr>
                <w:sz w:val="12"/>
                <w:szCs w:val="12"/>
                <w:color w:val="auto"/>
              </w:rPr>
            </w:pPr>
          </w:p>
        </w:tc>
        <w:tc>
          <w:tcPr>
            <w:tcW w:w="38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20" w:type="dxa"/>
            <w:vAlign w:val="bottom"/>
          </w:tcPr>
          <w:p>
            <w:pPr>
              <w:ind w:left="20"/>
              <w:spacing w:after="0"/>
              <w:rPr>
                <w:sz w:val="20"/>
                <w:szCs w:val="20"/>
                <w:color w:val="auto"/>
              </w:rPr>
            </w:pPr>
            <w:r>
              <w:rPr>
                <w:rFonts w:ascii="Arial" w:cs="Arial" w:eastAsia="Arial" w:hAnsi="Arial"/>
                <w:sz w:val="11"/>
                <w:szCs w:val="11"/>
                <w:color w:val="auto"/>
                <w:w w:val="96"/>
              </w:rPr>
              <w:t>Share-based compensation expenses</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5,631</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gridSpan w:val="2"/>
          </w:tcPr>
          <w:p>
            <w:pPr>
              <w:jc w:val="right"/>
              <w:ind w:right="13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tcPr>
          <w:p>
            <w:pPr>
              <w:jc w:val="right"/>
              <w:ind w:right="62"/>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5,631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gridSpan w:val="3"/>
            <w:shd w:val="clear" w:color="auto" w:fill="CFF0FC"/>
          </w:tcPr>
          <w:p>
            <w:pPr>
              <w:ind w:left="20"/>
              <w:spacing w:after="0"/>
              <w:rPr>
                <w:sz w:val="20"/>
                <w:szCs w:val="20"/>
                <w:color w:val="auto"/>
              </w:rPr>
            </w:pPr>
            <w:r>
              <w:rPr>
                <w:rFonts w:ascii="Arial" w:cs="Arial" w:eastAsia="Arial" w:hAnsi="Arial"/>
                <w:sz w:val="11"/>
                <w:szCs w:val="11"/>
                <w:color w:val="auto"/>
              </w:rPr>
              <w:t>Unrealized loss on available-for-sale securities</w:t>
            </w: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76"/>
              <w:spacing w:after="0"/>
              <w:rPr>
                <w:sz w:val="20"/>
                <w:szCs w:val="20"/>
                <w:color w:val="auto"/>
              </w:rPr>
            </w:pPr>
            <w:r>
              <w:rPr>
                <w:rFonts w:ascii="Arial" w:cs="Arial" w:eastAsia="Arial" w:hAnsi="Arial"/>
                <w:sz w:val="11"/>
                <w:szCs w:val="11"/>
                <w:color w:val="auto"/>
              </w:rPr>
              <w:t>(3 )</w:t>
            </w:r>
          </w:p>
        </w:tc>
        <w:tc>
          <w:tcPr>
            <w:tcW w:w="20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tcBorders>
              <w:left w:val="single" w:sz="8" w:color="CFF0FC"/>
            </w:tcBorders>
            <w:shd w:val="clear" w:color="auto" w:fill="CFF0FC"/>
          </w:tcPr>
          <w:p>
            <w:pPr>
              <w:spacing w:after="0"/>
              <w:rPr>
                <w:sz w:val="11"/>
                <w:szCs w:val="11"/>
                <w:color w:val="auto"/>
              </w:rPr>
            </w:pPr>
          </w:p>
        </w:tc>
        <w:tc>
          <w:tcPr>
            <w:tcW w:w="380" w:type="dxa"/>
            <w:vAlign w:val="bottom"/>
            <w:gridSpan w:val="2"/>
            <w:shd w:val="clear" w:color="auto" w:fill="CFF0FC"/>
          </w:tcPr>
          <w:p>
            <w:pPr>
              <w:jc w:val="right"/>
              <w:ind w:right="62"/>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(3 )</w:t>
            </w:r>
          </w:p>
        </w:tc>
        <w:tc>
          <w:tcPr>
            <w:tcW w:w="0" w:type="dxa"/>
            <w:vAlign w:val="bottom"/>
          </w:tcPr>
          <w:p>
            <w:pPr>
              <w:spacing w:after="0"/>
              <w:rPr>
                <w:sz w:val="1"/>
                <w:szCs w:val="1"/>
                <w:color w:val="auto"/>
              </w:rPr>
            </w:pPr>
          </w:p>
        </w:tc>
      </w:tr>
      <w:tr>
        <w:trPr>
          <w:trHeight w:val="135"/>
        </w:trPr>
        <w:tc>
          <w:tcPr>
            <w:tcW w:w="2580" w:type="dxa"/>
            <w:vAlign w:val="bottom"/>
            <w:gridSpan w:val="3"/>
          </w:tcPr>
          <w:p>
            <w:pPr>
              <w:ind w:left="20"/>
              <w:spacing w:after="0"/>
              <w:rPr>
                <w:sz w:val="20"/>
                <w:szCs w:val="20"/>
                <w:color w:val="auto"/>
              </w:rPr>
            </w:pPr>
            <w:r>
              <w:rPr>
                <w:rFonts w:ascii="Arial" w:cs="Arial" w:eastAsia="Arial" w:hAnsi="Arial"/>
                <w:sz w:val="11"/>
                <w:szCs w:val="11"/>
                <w:color w:val="auto"/>
                <w:w w:val="93"/>
              </w:rPr>
              <w:t>Net loss attributable to common stockholders/members'</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gridSpan w:val="2"/>
          </w:tcPr>
          <w:p>
            <w:pPr>
              <w:jc w:val="right"/>
              <w:ind w:right="13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3"/>
          </w:tcPr>
          <w:p>
            <w:pPr>
              <w:jc w:val="right"/>
              <w:ind w:right="2"/>
              <w:spacing w:after="0"/>
              <w:rPr>
                <w:sz w:val="20"/>
                <w:szCs w:val="20"/>
                <w:color w:val="auto"/>
              </w:rPr>
            </w:pPr>
            <w:r>
              <w:rPr>
                <w:rFonts w:ascii="Arial" w:cs="Arial" w:eastAsia="Arial" w:hAnsi="Arial"/>
                <w:sz w:val="11"/>
                <w:szCs w:val="11"/>
                <w:color w:val="auto"/>
              </w:rPr>
              <w:t>(36,530 )</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1"/>
                <w:szCs w:val="11"/>
                <w:color w:val="auto"/>
              </w:rPr>
              <w:t>(36,530 )</w:t>
            </w:r>
          </w:p>
        </w:tc>
        <w:tc>
          <w:tcPr>
            <w:tcW w:w="0" w:type="dxa"/>
            <w:vAlign w:val="bottom"/>
          </w:tcPr>
          <w:p>
            <w:pPr>
              <w:spacing w:after="0"/>
              <w:rPr>
                <w:sz w:val="1"/>
                <w:szCs w:val="1"/>
                <w:color w:val="auto"/>
              </w:rPr>
            </w:pPr>
          </w:p>
        </w:tc>
      </w:tr>
      <w:tr>
        <w:trPr>
          <w:trHeight w:val="168"/>
        </w:trPr>
        <w:tc>
          <w:tcPr>
            <w:tcW w:w="1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at June 30, 2022</w:t>
            </w:r>
          </w:p>
        </w:tc>
        <w:tc>
          <w:tcPr>
            <w:tcW w:w="5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73,461,100</w:t>
            </w:r>
          </w:p>
        </w:tc>
        <w:tc>
          <w:tcPr>
            <w:tcW w:w="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left w:val="single" w:sz="8" w:color="CFF0FC"/>
              <w:bottom w:val="single" w:sz="8" w:color="auto"/>
            </w:tcBorders>
            <w:gridSpan w:val="3"/>
            <w:shd w:val="clear" w:color="auto" w:fill="CFF0FC"/>
          </w:tcPr>
          <w:p>
            <w:pPr>
              <w:jc w:val="right"/>
              <w:spacing w:after="0"/>
              <w:rPr>
                <w:sz w:val="20"/>
                <w:szCs w:val="20"/>
                <w:color w:val="auto"/>
              </w:rPr>
            </w:pPr>
            <w:r>
              <w:rPr>
                <w:rFonts w:ascii="Arial" w:cs="Arial" w:eastAsia="Arial" w:hAnsi="Arial"/>
                <w:sz w:val="11"/>
                <w:szCs w:val="11"/>
                <w:color w:val="auto"/>
              </w:rPr>
              <w:t>7</w:t>
            </w:r>
          </w:p>
        </w:tc>
        <w:tc>
          <w:tcPr>
            <w:tcW w:w="1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top w:val="single" w:sz="8" w:color="auto"/>
              <w:bottom w:val="single" w:sz="8" w:color="auto"/>
            </w:tcBorders>
            <w:shd w:val="clear" w:color="auto" w:fill="CFF0FC"/>
          </w:tcPr>
          <w:p>
            <w:pPr>
              <w:jc w:val="right"/>
              <w:ind w:right="254"/>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582,391</w:t>
            </w:r>
          </w:p>
        </w:tc>
        <w:tc>
          <w:tcPr>
            <w:tcW w:w="200" w:type="dxa"/>
            <w:vAlign w:val="bottom"/>
            <w:tcBorders>
              <w:left w:val="single" w:sz="8" w:color="CFF0FC"/>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jc w:val="right"/>
              <w:ind w:right="254"/>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480" w:type="dxa"/>
            <w:vAlign w:val="bottom"/>
            <w:tcBorders>
              <w:top w:val="single" w:sz="8" w:color="auto"/>
              <w:bottom w:val="single" w:sz="8" w:color="auto"/>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160" w:type="dxa"/>
            <w:vAlign w:val="bottom"/>
            <w:tcBorders>
              <w:bottom w:val="single" w:sz="8" w:color="CFF0FC"/>
            </w:tcBorders>
            <w:shd w:val="clear" w:color="auto" w:fill="CFF0FC"/>
          </w:tcPr>
          <w:p>
            <w:pPr>
              <w:jc w:val="right"/>
              <w:ind w:right="76"/>
              <w:spacing w:after="0"/>
              <w:rPr>
                <w:sz w:val="20"/>
                <w:szCs w:val="20"/>
                <w:color w:val="auto"/>
              </w:rPr>
            </w:pPr>
            <w:r>
              <w:rPr>
                <w:rFonts w:ascii="Arial" w:cs="Arial" w:eastAsia="Arial" w:hAnsi="Arial"/>
                <w:sz w:val="8"/>
                <w:szCs w:val="8"/>
                <w:color w:val="auto"/>
                <w:w w:val="73"/>
              </w:rPr>
              <w:t>)</w:t>
            </w:r>
          </w:p>
        </w:tc>
        <w:tc>
          <w:tcPr>
            <w:tcW w:w="200" w:type="dxa"/>
            <w:vAlign w:val="bottom"/>
            <w:tcBorders>
              <w:top w:val="single" w:sz="8" w:color="auto"/>
              <w:left w:val="single" w:sz="8" w:color="CFF0FC"/>
              <w:bottom w:val="single" w:sz="8" w:color="auto"/>
            </w:tcBorders>
            <w:shd w:val="clear" w:color="auto" w:fill="CFF0FC"/>
          </w:tcPr>
          <w:p>
            <w:pPr>
              <w:jc w:val="right"/>
              <w:ind w:right="29"/>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spacing w:after="0"/>
              <w:rPr>
                <w:sz w:val="14"/>
                <w:szCs w:val="14"/>
                <w:color w:val="auto"/>
              </w:rPr>
            </w:pPr>
          </w:p>
        </w:tc>
        <w:tc>
          <w:tcPr>
            <w:tcW w:w="500" w:type="dxa"/>
            <w:vAlign w:val="bottom"/>
            <w:tcBorders>
              <w:top w:val="single" w:sz="8" w:color="auto"/>
              <w:left w:val="single" w:sz="8" w:color="CFF0FC"/>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(191,764</w:t>
            </w:r>
          </w:p>
        </w:tc>
        <w:tc>
          <w:tcPr>
            <w:tcW w:w="8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8"/>
                <w:szCs w:val="8"/>
                <w:color w:val="auto"/>
                <w:w w:val="73"/>
              </w:rPr>
              <w:t>)</w:t>
            </w:r>
          </w:p>
        </w:tc>
        <w:tc>
          <w:tcPr>
            <w:tcW w:w="1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74"/>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390,631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1460" w:type="dxa"/>
            <w:vAlign w:val="bottom"/>
            <w:gridSpan w:val="6"/>
            <w:vMerge w:val="restart"/>
          </w:tcPr>
          <w:p>
            <w:pPr>
              <w:jc w:val="right"/>
              <w:ind w:right="320"/>
              <w:spacing w:after="0"/>
              <w:rPr>
                <w:sz w:val="20"/>
                <w:szCs w:val="20"/>
                <w:color w:val="auto"/>
              </w:rPr>
            </w:pPr>
            <w:r>
              <w:rPr>
                <w:rFonts w:ascii="Arial" w:cs="Arial" w:eastAsia="Arial" w:hAnsi="Arial"/>
                <w:sz w:val="9"/>
                <w:szCs w:val="9"/>
                <w:b w:val="1"/>
                <w:bCs w:val="1"/>
                <w:color w:val="auto"/>
              </w:rPr>
              <w:t>Redeemable Convertible</w:t>
            </w:r>
          </w:p>
        </w:tc>
        <w:tc>
          <w:tcPr>
            <w:tcW w:w="80" w:type="dxa"/>
            <w:vAlign w:val="bottom"/>
          </w:tcPr>
          <w:p>
            <w:pPr>
              <w:spacing w:after="0"/>
              <w:rPr>
                <w:sz w:val="15"/>
                <w:szCs w:val="15"/>
                <w:color w:val="auto"/>
              </w:rPr>
            </w:pPr>
          </w:p>
        </w:tc>
        <w:tc>
          <w:tcPr>
            <w:tcW w:w="1160" w:type="dxa"/>
            <w:vAlign w:val="bottom"/>
            <w:gridSpan w:val="5"/>
            <w:vMerge w:val="restart"/>
          </w:tcPr>
          <w:p>
            <w:pPr>
              <w:jc w:val="center"/>
              <w:ind w:right="200"/>
              <w:spacing w:after="0"/>
              <w:rPr>
                <w:sz w:val="20"/>
                <w:szCs w:val="20"/>
                <w:color w:val="auto"/>
              </w:rPr>
            </w:pPr>
            <w:r>
              <w:rPr>
                <w:rFonts w:ascii="Arial" w:cs="Arial" w:eastAsia="Arial" w:hAnsi="Arial"/>
                <w:sz w:val="9"/>
                <w:szCs w:val="9"/>
                <w:b w:val="1"/>
                <w:bCs w:val="1"/>
                <w:color w:val="auto"/>
                <w:w w:val="90"/>
              </w:rPr>
              <w:t>Redeemable</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restart"/>
          </w:tcPr>
          <w:p>
            <w:pPr>
              <w:jc w:val="right"/>
              <w:ind w:right="74"/>
              <w:spacing w:after="0"/>
              <w:rPr>
                <w:sz w:val="20"/>
                <w:szCs w:val="20"/>
                <w:color w:val="auto"/>
              </w:rPr>
            </w:pPr>
            <w:r>
              <w:rPr>
                <w:rFonts w:ascii="Arial" w:cs="Arial" w:eastAsia="Arial" w:hAnsi="Arial"/>
                <w:sz w:val="9"/>
                <w:szCs w:val="9"/>
                <w:b w:val="1"/>
                <w:bCs w:val="1"/>
                <w:color w:val="auto"/>
                <w:w w:val="95"/>
              </w:rPr>
              <w:t>Additional</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87"/>
              </w:rPr>
              <w:t>Stockholders'</w:t>
            </w:r>
          </w:p>
        </w:tc>
        <w:tc>
          <w:tcPr>
            <w:tcW w:w="0" w:type="dxa"/>
            <w:vAlign w:val="bottom"/>
          </w:tcPr>
          <w:p>
            <w:pPr>
              <w:spacing w:after="0"/>
              <w:rPr>
                <w:sz w:val="1"/>
                <w:szCs w:val="1"/>
                <w:color w:val="auto"/>
              </w:rPr>
            </w:pPr>
          </w:p>
        </w:tc>
      </w:tr>
      <w:tr>
        <w:trPr>
          <w:trHeight w:val="81"/>
        </w:trPr>
        <w:tc>
          <w:tcPr>
            <w:tcW w:w="1820" w:type="dxa"/>
            <w:vAlign w:val="bottom"/>
          </w:tcPr>
          <w:p>
            <w:pPr>
              <w:spacing w:after="0"/>
              <w:rPr>
                <w:sz w:val="7"/>
                <w:szCs w:val="7"/>
                <w:color w:val="auto"/>
              </w:rPr>
            </w:pPr>
          </w:p>
        </w:tc>
        <w:tc>
          <w:tcPr>
            <w:tcW w:w="14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5"/>
            <w:vMerge w:val="continue"/>
          </w:tcPr>
          <w:p>
            <w:pPr>
              <w:spacing w:after="0"/>
              <w:rPr>
                <w:sz w:val="7"/>
                <w:szCs w:val="7"/>
                <w:color w:val="auto"/>
              </w:rPr>
            </w:pPr>
          </w:p>
        </w:tc>
        <w:tc>
          <w:tcPr>
            <w:tcW w:w="140" w:type="dxa"/>
            <w:vAlign w:val="bottom"/>
            <w:tcBorders>
              <w:lef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820" w:type="dxa"/>
            <w:vAlign w:val="bottom"/>
          </w:tcPr>
          <w:p>
            <w:pPr>
              <w:spacing w:after="0"/>
              <w:rPr>
                <w:sz w:val="7"/>
                <w:szCs w:val="7"/>
                <w:color w:val="auto"/>
              </w:rPr>
            </w:pPr>
          </w:p>
        </w:tc>
        <w:tc>
          <w:tcPr>
            <w:tcW w:w="14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5"/>
            <w:vMerge w:val="continue"/>
          </w:tcPr>
          <w:p>
            <w:pPr>
              <w:spacing w:after="0"/>
              <w:rPr>
                <w:sz w:val="7"/>
                <w:szCs w:val="7"/>
                <w:color w:val="auto"/>
              </w:rPr>
            </w:pPr>
          </w:p>
        </w:tc>
        <w:tc>
          <w:tcPr>
            <w:tcW w:w="140" w:type="dxa"/>
            <w:vAlign w:val="bottom"/>
            <w:tcBorders>
              <w:left w:val="single" w:sz="8" w:color="auto"/>
            </w:tcBorders>
          </w:tcPr>
          <w:p>
            <w:pPr>
              <w:spacing w:after="0"/>
              <w:rPr>
                <w:sz w:val="7"/>
                <w:szCs w:val="7"/>
                <w:color w:val="auto"/>
              </w:rPr>
            </w:pPr>
          </w:p>
        </w:tc>
        <w:tc>
          <w:tcPr>
            <w:tcW w:w="1160" w:type="dxa"/>
            <w:vAlign w:val="bottom"/>
            <w:gridSpan w:val="5"/>
            <w:vMerge w:val="restart"/>
          </w:tcPr>
          <w:p>
            <w:pPr>
              <w:jc w:val="right"/>
              <w:ind w:right="234"/>
              <w:spacing w:after="0"/>
              <w:rPr>
                <w:sz w:val="20"/>
                <w:szCs w:val="20"/>
                <w:color w:val="auto"/>
              </w:rPr>
            </w:pPr>
            <w:r>
              <w:rPr>
                <w:rFonts w:ascii="Arial" w:cs="Arial" w:eastAsia="Arial" w:hAnsi="Arial"/>
                <w:sz w:val="9"/>
                <w:szCs w:val="9"/>
                <w:b w:val="1"/>
                <w:bCs w:val="1"/>
                <w:color w:val="auto"/>
              </w:rPr>
              <w:t>Common Stock</w:t>
            </w:r>
          </w:p>
        </w:tc>
        <w:tc>
          <w:tcPr>
            <w:tcW w:w="200" w:type="dxa"/>
            <w:vAlign w:val="bottom"/>
          </w:tcPr>
          <w:p>
            <w:pPr>
              <w:spacing w:after="0"/>
              <w:rPr>
                <w:sz w:val="7"/>
                <w:szCs w:val="7"/>
                <w:color w:val="auto"/>
              </w:rPr>
            </w:pPr>
          </w:p>
        </w:tc>
        <w:tc>
          <w:tcPr>
            <w:tcW w:w="1300" w:type="dxa"/>
            <w:vAlign w:val="bottom"/>
            <w:gridSpan w:val="5"/>
            <w:vMerge w:val="restart"/>
          </w:tcPr>
          <w:p>
            <w:pPr>
              <w:jc w:val="right"/>
              <w:ind w:right="420"/>
              <w:spacing w:after="0"/>
              <w:rPr>
                <w:sz w:val="20"/>
                <w:szCs w:val="20"/>
                <w:color w:val="auto"/>
              </w:rPr>
            </w:pPr>
            <w:r>
              <w:rPr>
                <w:rFonts w:ascii="Arial" w:cs="Arial" w:eastAsia="Arial" w:hAnsi="Arial"/>
                <w:sz w:val="9"/>
                <w:szCs w:val="9"/>
                <w:b w:val="1"/>
                <w:bCs w:val="1"/>
                <w:color w:val="auto"/>
              </w:rPr>
              <w:t>Common Shares</w:t>
            </w:r>
          </w:p>
        </w:tc>
        <w:tc>
          <w:tcPr>
            <w:tcW w:w="1100" w:type="dxa"/>
            <w:vAlign w:val="bottom"/>
            <w:gridSpan w:val="5"/>
            <w:vMerge w:val="restart"/>
          </w:tcPr>
          <w:p>
            <w:pPr>
              <w:jc w:val="right"/>
              <w:ind w:right="196"/>
              <w:spacing w:after="0"/>
              <w:rPr>
                <w:sz w:val="20"/>
                <w:szCs w:val="20"/>
                <w:color w:val="auto"/>
              </w:rPr>
            </w:pPr>
            <w:r>
              <w:rPr>
                <w:rFonts w:ascii="Arial" w:cs="Arial" w:eastAsia="Arial" w:hAnsi="Arial"/>
                <w:sz w:val="9"/>
                <w:szCs w:val="9"/>
                <w:b w:val="1"/>
                <w:bCs w:val="1"/>
                <w:color w:val="auto"/>
              </w:rPr>
              <w:t>Incentive Shares</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gridSpan w:val="5"/>
            <w:vMerge w:val="restart"/>
          </w:tcPr>
          <w:p>
            <w:pPr>
              <w:jc w:val="right"/>
              <w:ind w:right="300"/>
              <w:spacing w:after="0"/>
              <w:rPr>
                <w:sz w:val="20"/>
                <w:szCs w:val="20"/>
                <w:color w:val="auto"/>
              </w:rPr>
            </w:pPr>
            <w:r>
              <w:rPr>
                <w:rFonts w:ascii="Arial" w:cs="Arial" w:eastAsia="Arial" w:hAnsi="Arial"/>
                <w:sz w:val="9"/>
                <w:szCs w:val="9"/>
                <w:b w:val="1"/>
                <w:bCs w:val="1"/>
                <w:color w:val="auto"/>
              </w:rPr>
              <w:t>Accumulated</w:t>
            </w:r>
          </w:p>
        </w:tc>
        <w:tc>
          <w:tcPr>
            <w:tcW w:w="80" w:type="dxa"/>
            <w:vAlign w:val="bottom"/>
          </w:tcPr>
          <w:p>
            <w:pPr>
              <w:spacing w:after="0"/>
              <w:rPr>
                <w:sz w:val="7"/>
                <w:szCs w:val="7"/>
                <w:color w:val="auto"/>
              </w:rPr>
            </w:pPr>
          </w:p>
        </w:tc>
        <w:tc>
          <w:tcPr>
            <w:tcW w:w="80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w w:val="93"/>
              </w:rPr>
              <w:t>Equity/</w:t>
            </w:r>
          </w:p>
        </w:tc>
        <w:tc>
          <w:tcPr>
            <w:tcW w:w="0" w:type="dxa"/>
            <w:vAlign w:val="bottom"/>
          </w:tcPr>
          <w:p>
            <w:pPr>
              <w:spacing w:after="0"/>
              <w:rPr>
                <w:sz w:val="1"/>
                <w:szCs w:val="1"/>
                <w:color w:val="auto"/>
              </w:rPr>
            </w:pPr>
          </w:p>
        </w:tc>
      </w:tr>
      <w:tr>
        <w:trPr>
          <w:trHeight w:val="95"/>
        </w:trPr>
        <w:tc>
          <w:tcPr>
            <w:tcW w:w="1820" w:type="dxa"/>
            <w:vAlign w:val="bottom"/>
          </w:tcPr>
          <w:p>
            <w:pPr>
              <w:spacing w:after="0"/>
              <w:rPr>
                <w:sz w:val="8"/>
                <w:szCs w:val="8"/>
                <w:color w:val="auto"/>
              </w:rPr>
            </w:pPr>
          </w:p>
        </w:tc>
        <w:tc>
          <w:tcPr>
            <w:tcW w:w="1460" w:type="dxa"/>
            <w:vAlign w:val="bottom"/>
            <w:gridSpan w:val="6"/>
          </w:tcPr>
          <w:p>
            <w:pPr>
              <w:jc w:val="right"/>
              <w:ind w:right="480"/>
              <w:spacing w:after="0" w:line="95" w:lineRule="exact"/>
              <w:rPr>
                <w:sz w:val="20"/>
                <w:szCs w:val="20"/>
                <w:color w:val="auto"/>
              </w:rPr>
            </w:pPr>
            <w:r>
              <w:rPr>
                <w:rFonts w:ascii="Arial" w:cs="Arial" w:eastAsia="Arial" w:hAnsi="Arial"/>
                <w:sz w:val="9"/>
                <w:szCs w:val="9"/>
                <w:b w:val="1"/>
                <w:bCs w:val="1"/>
                <w:color w:val="auto"/>
              </w:rPr>
              <w:t>Preferred Shares</w:t>
            </w:r>
          </w:p>
        </w:tc>
        <w:tc>
          <w:tcPr>
            <w:tcW w:w="80" w:type="dxa"/>
            <w:vAlign w:val="bottom"/>
          </w:tcPr>
          <w:p>
            <w:pPr>
              <w:spacing w:after="0"/>
              <w:rPr>
                <w:sz w:val="8"/>
                <w:szCs w:val="8"/>
                <w:color w:val="auto"/>
              </w:rPr>
            </w:pPr>
          </w:p>
        </w:tc>
        <w:tc>
          <w:tcPr>
            <w:tcW w:w="1160" w:type="dxa"/>
            <w:vAlign w:val="bottom"/>
            <w:gridSpan w:val="5"/>
          </w:tcPr>
          <w:p>
            <w:pPr>
              <w:jc w:val="center"/>
              <w:ind w:right="180"/>
              <w:spacing w:after="0" w:line="95" w:lineRule="exact"/>
              <w:rPr>
                <w:sz w:val="20"/>
                <w:szCs w:val="20"/>
                <w:color w:val="auto"/>
              </w:rPr>
            </w:pPr>
            <w:r>
              <w:rPr>
                <w:rFonts w:ascii="Arial" w:cs="Arial" w:eastAsia="Arial" w:hAnsi="Arial"/>
                <w:sz w:val="9"/>
                <w:szCs w:val="9"/>
                <w:b w:val="1"/>
                <w:bCs w:val="1"/>
                <w:color w:val="auto"/>
                <w:w w:val="90"/>
              </w:rPr>
              <w:t>Noncontrolling</w:t>
            </w:r>
          </w:p>
        </w:tc>
        <w:tc>
          <w:tcPr>
            <w:tcW w:w="140" w:type="dxa"/>
            <w:vAlign w:val="bottom"/>
            <w:tcBorders>
              <w:left w:val="single" w:sz="8" w:color="auto"/>
            </w:tcBorders>
          </w:tcPr>
          <w:p>
            <w:pPr>
              <w:spacing w:after="0"/>
              <w:rPr>
                <w:sz w:val="8"/>
                <w:szCs w:val="8"/>
                <w:color w:val="auto"/>
              </w:rPr>
            </w:pPr>
          </w:p>
        </w:tc>
        <w:tc>
          <w:tcPr>
            <w:tcW w:w="116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gridSpan w:val="5"/>
            <w:vMerge w:val="continue"/>
          </w:tcPr>
          <w:p>
            <w:pPr>
              <w:spacing w:after="0"/>
              <w:rPr>
                <w:sz w:val="8"/>
                <w:szCs w:val="8"/>
                <w:color w:val="auto"/>
              </w:rPr>
            </w:pPr>
          </w:p>
        </w:tc>
        <w:tc>
          <w:tcPr>
            <w:tcW w:w="110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ind w:right="134"/>
              <w:spacing w:after="0" w:line="95" w:lineRule="exact"/>
              <w:rPr>
                <w:sz w:val="20"/>
                <w:szCs w:val="20"/>
                <w:color w:val="auto"/>
              </w:rPr>
            </w:pPr>
            <w:r>
              <w:rPr>
                <w:rFonts w:ascii="Arial" w:cs="Arial" w:eastAsia="Arial" w:hAnsi="Arial"/>
                <w:sz w:val="9"/>
                <w:szCs w:val="9"/>
                <w:b w:val="1"/>
                <w:bCs w:val="1"/>
                <w:color w:val="auto"/>
              </w:rPr>
              <w:t>Paid-In</w:t>
            </w:r>
          </w:p>
        </w:tc>
        <w:tc>
          <w:tcPr>
            <w:tcW w:w="200" w:type="dxa"/>
            <w:vAlign w:val="bottom"/>
          </w:tcPr>
          <w:p>
            <w:pPr>
              <w:spacing w:after="0"/>
              <w:rPr>
                <w:sz w:val="8"/>
                <w:szCs w:val="8"/>
                <w:color w:val="auto"/>
              </w:rPr>
            </w:pPr>
          </w:p>
        </w:tc>
        <w:tc>
          <w:tcPr>
            <w:tcW w:w="90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180"/>
              <w:spacing w:after="0" w:line="95" w:lineRule="exact"/>
              <w:rPr>
                <w:sz w:val="20"/>
                <w:szCs w:val="20"/>
                <w:color w:val="auto"/>
              </w:rPr>
            </w:pPr>
            <w:r>
              <w:rPr>
                <w:rFonts w:ascii="Arial" w:cs="Arial" w:eastAsia="Arial" w:hAnsi="Arial"/>
                <w:sz w:val="9"/>
                <w:szCs w:val="9"/>
                <w:b w:val="1"/>
                <w:bCs w:val="1"/>
                <w:color w:val="auto"/>
                <w:w w:val="91"/>
              </w:rPr>
              <w:t>Members'</w:t>
            </w: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520" w:type="dxa"/>
            <w:vAlign w:val="bottom"/>
            <w:tcBorders>
              <w:top w:val="single" w:sz="8" w:color="auto"/>
              <w:bottom w:val="single" w:sz="8" w:color="auto"/>
            </w:tcBorders>
          </w:tcPr>
          <w:p>
            <w:pPr>
              <w:jc w:val="right"/>
              <w:ind w:right="96"/>
              <w:spacing w:after="0" w:line="102" w:lineRule="exact"/>
              <w:rPr>
                <w:sz w:val="20"/>
                <w:szCs w:val="20"/>
                <w:color w:val="auto"/>
              </w:rPr>
            </w:pPr>
            <w:r>
              <w:rPr>
                <w:rFonts w:ascii="Arial" w:cs="Arial" w:eastAsia="Arial" w:hAnsi="Arial"/>
                <w:sz w:val="9"/>
                <w:szCs w:val="9"/>
                <w:b w:val="1"/>
                <w:bCs w:val="1"/>
                <w:color w:val="auto"/>
              </w:rPr>
              <w:t>Shares</w:t>
            </w:r>
          </w:p>
        </w:tc>
        <w:tc>
          <w:tcPr>
            <w:tcW w:w="24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gridSpan w:val="2"/>
          </w:tcPr>
          <w:p>
            <w:pPr>
              <w:jc w:val="right"/>
              <w:ind w:right="81"/>
              <w:spacing w:after="0" w:line="102" w:lineRule="exact"/>
              <w:rPr>
                <w:sz w:val="20"/>
                <w:szCs w:val="20"/>
                <w:color w:val="auto"/>
              </w:rPr>
            </w:pPr>
            <w:r>
              <w:rPr>
                <w:rFonts w:ascii="Arial" w:cs="Arial" w:eastAsia="Arial" w:hAnsi="Arial"/>
                <w:sz w:val="9"/>
                <w:szCs w:val="9"/>
                <w:b w:val="1"/>
                <w:bCs w:val="1"/>
                <w:color w:val="auto"/>
                <w:w w:val="99"/>
              </w:rPr>
              <w:t>Amount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bottom w:val="single" w:sz="8" w:color="auto"/>
            </w:tcBorders>
            <w:gridSpan w:val="2"/>
          </w:tcPr>
          <w:p>
            <w:pPr>
              <w:jc w:val="center"/>
              <w:ind w:left="230"/>
              <w:spacing w:after="0" w:line="101" w:lineRule="exact"/>
              <w:rPr>
                <w:sz w:val="20"/>
                <w:szCs w:val="20"/>
                <w:color w:val="auto"/>
              </w:rPr>
            </w:pPr>
            <w:r>
              <w:rPr>
                <w:rFonts w:ascii="Arial" w:cs="Arial" w:eastAsia="Arial" w:hAnsi="Arial"/>
                <w:sz w:val="9"/>
                <w:szCs w:val="9"/>
                <w:b w:val="1"/>
                <w:bCs w:val="1"/>
                <w:color w:val="auto"/>
                <w:w w:val="92"/>
              </w:rPr>
              <w:t>Interest</w:t>
            </w: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left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72"/>
              <w:spacing w:after="0" w:line="102" w:lineRule="exact"/>
              <w:rPr>
                <w:sz w:val="20"/>
                <w:szCs w:val="20"/>
                <w:color w:val="auto"/>
              </w:rPr>
            </w:pPr>
            <w:r>
              <w:rPr>
                <w:rFonts w:ascii="Arial" w:cs="Arial" w:eastAsia="Arial" w:hAnsi="Arial"/>
                <w:sz w:val="9"/>
                <w:szCs w:val="9"/>
                <w:b w:val="1"/>
                <w:bCs w:val="1"/>
                <w:color w:val="auto"/>
              </w:rPr>
              <w:t>Shares</w:t>
            </w:r>
          </w:p>
        </w:tc>
        <w:tc>
          <w:tcPr>
            <w:tcW w:w="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14"/>
              <w:spacing w:after="0" w:line="102" w:lineRule="exact"/>
              <w:rPr>
                <w:sz w:val="20"/>
                <w:szCs w:val="20"/>
                <w:color w:val="auto"/>
              </w:rPr>
            </w:pPr>
            <w:r>
              <w:rPr>
                <w:rFonts w:ascii="Arial" w:cs="Arial" w:eastAsia="Arial" w:hAnsi="Arial"/>
                <w:sz w:val="9"/>
                <w:szCs w:val="9"/>
                <w:b w:val="1"/>
                <w:bCs w:val="1"/>
                <w:color w:val="auto"/>
                <w:w w:val="88"/>
              </w:rPr>
              <w:t>Amount</w:t>
            </w:r>
          </w:p>
        </w:tc>
        <w:tc>
          <w:tcPr>
            <w:tcW w:w="200" w:type="dxa"/>
            <w:vAlign w:val="bottom"/>
          </w:tcPr>
          <w:p>
            <w:pPr>
              <w:spacing w:after="0"/>
              <w:rPr>
                <w:sz w:val="8"/>
                <w:szCs w:val="8"/>
                <w:color w:val="auto"/>
              </w:rPr>
            </w:pPr>
          </w:p>
        </w:tc>
        <w:tc>
          <w:tcPr>
            <w:tcW w:w="480" w:type="dxa"/>
            <w:vAlign w:val="bottom"/>
            <w:tcBorders>
              <w:top w:val="single" w:sz="8" w:color="auto"/>
              <w:bottom w:val="single" w:sz="8" w:color="auto"/>
            </w:tcBorders>
          </w:tcPr>
          <w:p>
            <w:pPr>
              <w:jc w:val="right"/>
              <w:ind w:right="54"/>
              <w:spacing w:after="0" w:line="102" w:lineRule="exact"/>
              <w:rPr>
                <w:sz w:val="20"/>
                <w:szCs w:val="20"/>
                <w:color w:val="auto"/>
              </w:rPr>
            </w:pPr>
            <w:r>
              <w:rPr>
                <w:rFonts w:ascii="Arial" w:cs="Arial" w:eastAsia="Arial" w:hAnsi="Arial"/>
                <w:sz w:val="9"/>
                <w:szCs w:val="9"/>
                <w:b w:val="1"/>
                <w:bCs w:val="1"/>
                <w:color w:val="auto"/>
              </w:rPr>
              <w:t>Shares</w:t>
            </w:r>
          </w:p>
        </w:tc>
        <w:tc>
          <w:tcPr>
            <w:tcW w:w="200" w:type="dxa"/>
            <w:vAlign w:val="bottom"/>
            <w:tcBorders>
              <w:top w:val="single" w:sz="8" w:color="auto"/>
            </w:tcBorders>
          </w:tcPr>
          <w:p>
            <w:pPr>
              <w:spacing w:after="0"/>
              <w:rPr>
                <w:sz w:val="8"/>
                <w:szCs w:val="8"/>
                <w:color w:val="auto"/>
              </w:rPr>
            </w:pPr>
          </w:p>
        </w:tc>
        <w:tc>
          <w:tcPr>
            <w:tcW w:w="420" w:type="dxa"/>
            <w:vAlign w:val="bottom"/>
            <w:tcBorders>
              <w:top w:val="single" w:sz="8" w:color="auto"/>
              <w:bottom w:val="single" w:sz="8" w:color="auto"/>
            </w:tcBorders>
            <w:gridSpan w:val="2"/>
          </w:tcPr>
          <w:p>
            <w:pPr>
              <w:jc w:val="right"/>
              <w:spacing w:after="0" w:line="102" w:lineRule="exact"/>
              <w:rPr>
                <w:sz w:val="20"/>
                <w:szCs w:val="20"/>
                <w:color w:val="auto"/>
              </w:rPr>
            </w:pPr>
            <w:r>
              <w:rPr>
                <w:rFonts w:ascii="Arial" w:cs="Arial" w:eastAsia="Arial" w:hAnsi="Arial"/>
                <w:sz w:val="9"/>
                <w:szCs w:val="9"/>
                <w:b w:val="1"/>
                <w:bCs w:val="1"/>
                <w:color w:val="auto"/>
              </w:rPr>
              <w:t>Amount</w:t>
            </w:r>
          </w:p>
        </w:tc>
        <w:tc>
          <w:tcPr>
            <w:tcW w:w="200" w:type="dxa"/>
            <w:vAlign w:val="bottom"/>
          </w:tcPr>
          <w:p>
            <w:pPr>
              <w:spacing w:after="0"/>
              <w:rPr>
                <w:sz w:val="8"/>
                <w:szCs w:val="8"/>
                <w:color w:val="auto"/>
              </w:rPr>
            </w:pPr>
          </w:p>
        </w:tc>
        <w:tc>
          <w:tcPr>
            <w:tcW w:w="480" w:type="dxa"/>
            <w:vAlign w:val="bottom"/>
            <w:tcBorders>
              <w:top w:val="single" w:sz="8" w:color="auto"/>
              <w:bottom w:val="single" w:sz="8" w:color="auto"/>
            </w:tcBorders>
          </w:tcPr>
          <w:p>
            <w:pPr>
              <w:jc w:val="right"/>
              <w:ind w:right="56"/>
              <w:spacing w:after="0" w:line="102" w:lineRule="exact"/>
              <w:rPr>
                <w:sz w:val="20"/>
                <w:szCs w:val="20"/>
                <w:color w:val="auto"/>
              </w:rPr>
            </w:pPr>
            <w:r>
              <w:rPr>
                <w:rFonts w:ascii="Arial" w:cs="Arial" w:eastAsia="Arial" w:hAnsi="Arial"/>
                <w:sz w:val="9"/>
                <w:szCs w:val="9"/>
                <w:b w:val="1"/>
                <w:bCs w:val="1"/>
                <w:color w:val="auto"/>
              </w:rPr>
              <w:t>Shares</w:t>
            </w:r>
          </w:p>
        </w:tc>
        <w:tc>
          <w:tcPr>
            <w:tcW w:w="200" w:type="dxa"/>
            <w:vAlign w:val="bottom"/>
            <w:tcBorders>
              <w:top w:val="single" w:sz="8" w:color="auto"/>
            </w:tcBorders>
          </w:tcPr>
          <w:p>
            <w:pPr>
              <w:spacing w:after="0"/>
              <w:rPr>
                <w:sz w:val="8"/>
                <w:szCs w:val="8"/>
                <w:color w:val="auto"/>
              </w:rPr>
            </w:pPr>
          </w:p>
        </w:tc>
        <w:tc>
          <w:tcPr>
            <w:tcW w:w="420" w:type="dxa"/>
            <w:vAlign w:val="bottom"/>
            <w:tcBorders>
              <w:top w:val="single" w:sz="8" w:color="auto"/>
              <w:bottom w:val="single" w:sz="8" w:color="auto"/>
            </w:tcBorders>
            <w:gridSpan w:val="3"/>
          </w:tcPr>
          <w:p>
            <w:pPr>
              <w:jc w:val="right"/>
              <w:ind w:right="16"/>
              <w:spacing w:after="0" w:line="102" w:lineRule="exact"/>
              <w:rPr>
                <w:sz w:val="20"/>
                <w:szCs w:val="20"/>
                <w:color w:val="auto"/>
              </w:rPr>
            </w:pPr>
            <w:r>
              <w:rPr>
                <w:rFonts w:ascii="Arial" w:cs="Arial" w:eastAsia="Arial" w:hAnsi="Arial"/>
                <w:sz w:val="9"/>
                <w:szCs w:val="9"/>
                <w:b w:val="1"/>
                <w:bCs w:val="1"/>
                <w:color w:val="auto"/>
                <w:w w:val="99"/>
              </w:rPr>
              <w:t>Amount</w:t>
            </w: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34"/>
              <w:spacing w:after="0" w:line="101" w:lineRule="exact"/>
              <w:rPr>
                <w:sz w:val="20"/>
                <w:szCs w:val="20"/>
                <w:color w:val="auto"/>
              </w:rPr>
            </w:pPr>
            <w:r>
              <w:rPr>
                <w:rFonts w:ascii="Arial" w:cs="Arial" w:eastAsia="Arial" w:hAnsi="Arial"/>
                <w:sz w:val="9"/>
                <w:szCs w:val="9"/>
                <w:b w:val="1"/>
                <w:bCs w:val="1"/>
                <w:color w:val="auto"/>
              </w:rPr>
              <w:t>Capital</w:t>
            </w:r>
          </w:p>
        </w:tc>
        <w:tc>
          <w:tcPr>
            <w:tcW w:w="200" w:type="dxa"/>
            <w:vAlign w:val="bottom"/>
          </w:tcPr>
          <w:p>
            <w:pPr>
              <w:spacing w:after="0"/>
              <w:rPr>
                <w:sz w:val="8"/>
                <w:szCs w:val="8"/>
                <w:color w:val="auto"/>
              </w:rPr>
            </w:pPr>
          </w:p>
        </w:tc>
        <w:tc>
          <w:tcPr>
            <w:tcW w:w="700" w:type="dxa"/>
            <w:vAlign w:val="bottom"/>
            <w:tcBorders>
              <w:bottom w:val="single" w:sz="8" w:color="auto"/>
            </w:tcBorders>
            <w:gridSpan w:val="4"/>
          </w:tcPr>
          <w:p>
            <w:pPr>
              <w:jc w:val="right"/>
              <w:ind w:right="174"/>
              <w:spacing w:after="0" w:line="101" w:lineRule="exact"/>
              <w:rPr>
                <w:sz w:val="20"/>
                <w:szCs w:val="20"/>
                <w:color w:val="auto"/>
              </w:rPr>
            </w:pPr>
            <w:r>
              <w:rPr>
                <w:rFonts w:ascii="Arial" w:cs="Arial" w:eastAsia="Arial" w:hAnsi="Arial"/>
                <w:sz w:val="9"/>
                <w:szCs w:val="9"/>
                <w:b w:val="1"/>
                <w:bCs w:val="1"/>
                <w:color w:val="auto"/>
              </w:rPr>
              <w:t>Deficit</w:t>
            </w: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center"/>
              <w:ind w:right="32"/>
              <w:spacing w:after="0" w:line="101" w:lineRule="exact"/>
              <w:rPr>
                <w:sz w:val="20"/>
                <w:szCs w:val="20"/>
                <w:color w:val="auto"/>
              </w:rPr>
            </w:pPr>
            <w:r>
              <w:rPr>
                <w:rFonts w:ascii="Arial" w:cs="Arial" w:eastAsia="Arial" w:hAnsi="Arial"/>
                <w:sz w:val="9"/>
                <w:szCs w:val="9"/>
                <w:b w:val="1"/>
                <w:bCs w:val="1"/>
                <w:color w:val="auto"/>
                <w:w w:val="89"/>
              </w:rPr>
              <w:t>(Deficit)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820" w:type="dxa"/>
            <w:vAlign w:val="bottom"/>
            <w:shd w:val="clear" w:color="auto" w:fill="CFF0FC"/>
          </w:tcPr>
          <w:p>
            <w:pPr>
              <w:ind w:left="20"/>
              <w:spacing w:after="0" w:line="75" w:lineRule="exact"/>
              <w:rPr>
                <w:sz w:val="20"/>
                <w:szCs w:val="20"/>
                <w:color w:val="auto"/>
              </w:rPr>
            </w:pPr>
            <w:r>
              <w:rPr>
                <w:rFonts w:ascii="Arial" w:cs="Arial" w:eastAsia="Arial" w:hAnsi="Arial"/>
                <w:sz w:val="8"/>
                <w:szCs w:val="8"/>
                <w:b w:val="1"/>
                <w:bCs w:val="1"/>
                <w:color w:val="auto"/>
              </w:rPr>
              <w:t>Balance at December 31, 2020</w:t>
            </w:r>
          </w:p>
        </w:tc>
        <w:tc>
          <w:tcPr>
            <w:tcW w:w="520" w:type="dxa"/>
            <w:vAlign w:val="bottom"/>
            <w:shd w:val="clear" w:color="auto" w:fill="CFF0FC"/>
          </w:tcPr>
          <w:p>
            <w:pPr>
              <w:jc w:val="right"/>
              <w:spacing w:after="0" w:line="75" w:lineRule="exact"/>
              <w:rPr>
                <w:sz w:val="20"/>
                <w:szCs w:val="20"/>
                <w:color w:val="auto"/>
              </w:rPr>
            </w:pPr>
            <w:r>
              <w:rPr>
                <w:rFonts w:ascii="Arial" w:cs="Arial" w:eastAsia="Arial" w:hAnsi="Arial"/>
                <w:sz w:val="8"/>
                <w:szCs w:val="8"/>
                <w:color w:val="auto"/>
              </w:rPr>
              <w:t>22,851,25</w:t>
            </w:r>
          </w:p>
        </w:tc>
        <w:tc>
          <w:tcPr>
            <w:tcW w:w="240" w:type="dxa"/>
            <w:vAlign w:val="bottom"/>
            <w:shd w:val="clear" w:color="auto" w:fill="CFF0FC"/>
          </w:tcPr>
          <w:p>
            <w:pPr>
              <w:spacing w:after="0"/>
              <w:rPr>
                <w:sz w:val="6"/>
                <w:szCs w:val="6"/>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vMerge w:val="restart"/>
            <w:shd w:val="clear" w:color="auto" w:fill="CFF0FC"/>
          </w:tcPr>
          <w:p>
            <w:pPr>
              <w:jc w:val="right"/>
              <w:spacing w:after="0"/>
              <w:rPr>
                <w:sz w:val="20"/>
                <w:szCs w:val="20"/>
                <w:color w:val="auto"/>
              </w:rPr>
            </w:pPr>
            <w:r>
              <w:rPr>
                <w:rFonts w:ascii="Arial" w:cs="Arial" w:eastAsia="Arial" w:hAnsi="Arial"/>
                <w:sz w:val="9"/>
                <w:szCs w:val="9"/>
                <w:color w:val="auto"/>
              </w:rPr>
              <w:t>91,964</w:t>
            </w:r>
          </w:p>
        </w:tc>
        <w:tc>
          <w:tcPr>
            <w:tcW w:w="140" w:type="dxa"/>
            <w:vAlign w:val="bottom"/>
            <w:shd w:val="clear" w:color="auto" w:fill="CFF0FC"/>
          </w:tcPr>
          <w:p>
            <w:pPr>
              <w:spacing w:after="0"/>
              <w:rPr>
                <w:sz w:val="6"/>
                <w:szCs w:val="6"/>
                <w:color w:val="auto"/>
              </w:rPr>
            </w:pPr>
          </w:p>
        </w:tc>
        <w:tc>
          <w:tcPr>
            <w:tcW w:w="720" w:type="dxa"/>
            <w:vAlign w:val="bottom"/>
            <w:gridSpan w:val="2"/>
            <w:vMerge w:val="restart"/>
            <w:shd w:val="clear" w:color="auto" w:fill="CFF0FC"/>
          </w:tcPr>
          <w:p>
            <w:pPr>
              <w:jc w:val="right"/>
              <w:ind w:right="530"/>
              <w:spacing w:after="0"/>
              <w:rPr>
                <w:sz w:val="20"/>
                <w:szCs w:val="20"/>
                <w:color w:val="auto"/>
              </w:rPr>
            </w:pPr>
            <w:r>
              <w:rPr>
                <w:rFonts w:ascii="Arial" w:cs="Arial" w:eastAsia="Arial" w:hAnsi="Arial"/>
                <w:sz w:val="9"/>
                <w:szCs w:val="9"/>
                <w:color w:val="auto"/>
              </w:rPr>
              <w:t>$</w:t>
            </w:r>
          </w:p>
        </w:tc>
        <w:tc>
          <w:tcPr>
            <w:tcW w:w="60" w:type="dxa"/>
            <w:vAlign w:val="bottom"/>
            <w:shd w:val="clear" w:color="auto" w:fill="CFF0FC"/>
          </w:tcPr>
          <w:p>
            <w:pPr>
              <w:spacing w:after="0"/>
              <w:rPr>
                <w:sz w:val="6"/>
                <w:szCs w:val="6"/>
                <w:color w:val="auto"/>
              </w:rPr>
            </w:pP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9"/>
                <w:szCs w:val="9"/>
                <w:color w:val="auto"/>
                <w:w w:val="97"/>
              </w:rPr>
              <w:t>5,702</w:t>
            </w:r>
          </w:p>
        </w:tc>
        <w:tc>
          <w:tcPr>
            <w:tcW w:w="200" w:type="dxa"/>
            <w:vAlign w:val="bottom"/>
            <w:shd w:val="clear" w:color="auto" w:fill="CFF0FC"/>
          </w:tcPr>
          <w:p>
            <w:pPr>
              <w:spacing w:after="0"/>
              <w:rPr>
                <w:sz w:val="6"/>
                <w:szCs w:val="6"/>
                <w:color w:val="auto"/>
              </w:rPr>
            </w:pPr>
          </w:p>
        </w:tc>
        <w:tc>
          <w:tcPr>
            <w:tcW w:w="140" w:type="dxa"/>
            <w:vAlign w:val="bottom"/>
            <w:tcBorders>
              <w:left w:val="single" w:sz="8" w:color="auto"/>
            </w:tcBorders>
            <w:shd w:val="clear" w:color="auto" w:fill="CFF0FC"/>
          </w:tcPr>
          <w:p>
            <w:pPr>
              <w:spacing w:after="0"/>
              <w:rPr>
                <w:sz w:val="6"/>
                <w:szCs w:val="6"/>
                <w:color w:val="auto"/>
              </w:rPr>
            </w:pPr>
          </w:p>
        </w:tc>
        <w:tc>
          <w:tcPr>
            <w:tcW w:w="5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9"/>
                <w:szCs w:val="9"/>
                <w:color w:val="auto"/>
              </w:rPr>
              <w:t>—</w:t>
            </w:r>
          </w:p>
        </w:tc>
        <w:tc>
          <w:tcPr>
            <w:tcW w:w="240" w:type="dxa"/>
            <w:vAlign w:val="bottom"/>
            <w:gridSpan w:val="2"/>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200" w:type="dxa"/>
            <w:vAlign w:val="bottom"/>
            <w:shd w:val="clear" w:color="auto" w:fill="CFF0FC"/>
          </w:tcPr>
          <w:p>
            <w:pPr>
              <w:spacing w:after="0"/>
              <w:rPr>
                <w:sz w:val="6"/>
                <w:szCs w:val="6"/>
                <w:color w:val="auto"/>
              </w:rPr>
            </w:pPr>
          </w:p>
        </w:tc>
        <w:tc>
          <w:tcPr>
            <w:tcW w:w="480" w:type="dxa"/>
            <w:vAlign w:val="bottom"/>
            <w:shd w:val="clear" w:color="auto" w:fill="CFF0FC"/>
          </w:tcPr>
          <w:p>
            <w:pPr>
              <w:jc w:val="right"/>
              <w:spacing w:after="0" w:line="75" w:lineRule="exact"/>
              <w:rPr>
                <w:sz w:val="20"/>
                <w:szCs w:val="20"/>
                <w:color w:val="auto"/>
              </w:rPr>
            </w:pPr>
            <w:r>
              <w:rPr>
                <w:rFonts w:ascii="Arial" w:cs="Arial" w:eastAsia="Arial" w:hAnsi="Arial"/>
                <w:sz w:val="8"/>
                <w:szCs w:val="8"/>
                <w:color w:val="auto"/>
              </w:rPr>
              <w:t>6,035,86</w:t>
            </w:r>
          </w:p>
        </w:tc>
        <w:tc>
          <w:tcPr>
            <w:tcW w:w="200" w:type="dxa"/>
            <w:vAlign w:val="bottom"/>
            <w:tcBorders>
              <w:left w:val="single" w:sz="8" w:color="CFF0FC"/>
            </w:tcBorders>
            <w:shd w:val="clear" w:color="auto" w:fill="CFF0FC"/>
          </w:tcPr>
          <w:p>
            <w:pPr>
              <w:spacing w:after="0"/>
              <w:rPr>
                <w:sz w:val="6"/>
                <w:szCs w:val="6"/>
                <w:color w:val="auto"/>
              </w:rPr>
            </w:pPr>
          </w:p>
        </w:tc>
        <w:tc>
          <w:tcPr>
            <w:tcW w:w="6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2,000</w:t>
            </w:r>
          </w:p>
        </w:tc>
        <w:tc>
          <w:tcPr>
            <w:tcW w:w="200" w:type="dxa"/>
            <w:vAlign w:val="bottom"/>
            <w:shd w:val="clear" w:color="auto" w:fill="CFF0FC"/>
          </w:tcPr>
          <w:p>
            <w:pPr>
              <w:spacing w:after="0"/>
              <w:rPr>
                <w:sz w:val="6"/>
                <w:szCs w:val="6"/>
                <w:color w:val="auto"/>
              </w:rPr>
            </w:pPr>
          </w:p>
        </w:tc>
        <w:tc>
          <w:tcPr>
            <w:tcW w:w="480" w:type="dxa"/>
            <w:vAlign w:val="bottom"/>
            <w:shd w:val="clear" w:color="auto" w:fill="CFF0FC"/>
          </w:tcPr>
          <w:p>
            <w:pPr>
              <w:jc w:val="right"/>
              <w:spacing w:after="0" w:line="75" w:lineRule="exact"/>
              <w:rPr>
                <w:sz w:val="20"/>
                <w:szCs w:val="20"/>
                <w:color w:val="auto"/>
              </w:rPr>
            </w:pPr>
            <w:r>
              <w:rPr>
                <w:rFonts w:ascii="Arial" w:cs="Arial" w:eastAsia="Arial" w:hAnsi="Arial"/>
                <w:sz w:val="8"/>
                <w:szCs w:val="8"/>
                <w:color w:val="auto"/>
              </w:rPr>
              <w:t>4,112,01</w:t>
            </w:r>
          </w:p>
        </w:tc>
        <w:tc>
          <w:tcPr>
            <w:tcW w:w="200" w:type="dxa"/>
            <w:vAlign w:val="bottom"/>
            <w:shd w:val="clear" w:color="auto" w:fill="CFF0FC"/>
          </w:tcPr>
          <w:p>
            <w:pPr>
              <w:spacing w:after="0"/>
              <w:rPr>
                <w:sz w:val="6"/>
                <w:szCs w:val="6"/>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gridSpan w:val="2"/>
            <w:vMerge w:val="restart"/>
            <w:shd w:val="clear" w:color="auto" w:fill="CFF0FC"/>
          </w:tcPr>
          <w:p>
            <w:pPr>
              <w:jc w:val="right"/>
              <w:spacing w:after="0"/>
              <w:rPr>
                <w:sz w:val="20"/>
                <w:szCs w:val="20"/>
                <w:color w:val="auto"/>
              </w:rPr>
            </w:pPr>
            <w:r>
              <w:rPr>
                <w:rFonts w:ascii="Arial" w:cs="Arial" w:eastAsia="Arial" w:hAnsi="Arial"/>
                <w:sz w:val="9"/>
                <w:szCs w:val="9"/>
                <w:color w:val="auto"/>
              </w:rPr>
              <w:t>637</w:t>
            </w:r>
          </w:p>
        </w:tc>
        <w:tc>
          <w:tcPr>
            <w:tcW w:w="280" w:type="dxa"/>
            <w:vAlign w:val="bottom"/>
            <w:tcBorders>
              <w:left w:val="single" w:sz="8" w:color="CFF0FC"/>
            </w:tcBorders>
            <w:gridSpan w:val="2"/>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500" w:type="dxa"/>
            <w:vAlign w:val="bottom"/>
            <w:tcBorders>
              <w:left w:val="single" w:sz="8" w:color="CFF0FC"/>
            </w:tcBorders>
            <w:gridSpan w:val="2"/>
            <w:vMerge w:val="restart"/>
            <w:shd w:val="clear" w:color="auto" w:fill="CFF0FC"/>
          </w:tcPr>
          <w:p>
            <w:pPr>
              <w:jc w:val="right"/>
              <w:ind w:right="19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6"/>
                <w:szCs w:val="6"/>
                <w:color w:val="auto"/>
              </w:rPr>
            </w:pPr>
          </w:p>
        </w:tc>
        <w:tc>
          <w:tcPr>
            <w:tcW w:w="520" w:type="dxa"/>
            <w:vAlign w:val="bottom"/>
            <w:gridSpan w:val="3"/>
            <w:vMerge w:val="restart"/>
            <w:shd w:val="clear" w:color="auto" w:fill="CFF0FC"/>
          </w:tcPr>
          <w:p>
            <w:pPr>
              <w:jc w:val="right"/>
              <w:ind w:right="160"/>
              <w:spacing w:after="0"/>
              <w:rPr>
                <w:sz w:val="20"/>
                <w:szCs w:val="20"/>
                <w:color w:val="auto"/>
              </w:rPr>
            </w:pPr>
            <w:r>
              <w:rPr>
                <w:rFonts w:ascii="Arial" w:cs="Arial" w:eastAsia="Arial" w:hAnsi="Arial"/>
                <w:sz w:val="9"/>
                <w:szCs w:val="9"/>
                <w:color w:val="auto"/>
                <w:w w:val="94"/>
              </w:rPr>
              <w:t>(56,842 )</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9"/>
                <w:szCs w:val="9"/>
                <w:color w:val="auto"/>
              </w:rPr>
              <w:t>(54,205 )</w:t>
            </w:r>
          </w:p>
        </w:tc>
        <w:tc>
          <w:tcPr>
            <w:tcW w:w="0" w:type="dxa"/>
            <w:vAlign w:val="bottom"/>
          </w:tcPr>
          <w:p>
            <w:pPr>
              <w:spacing w:after="0"/>
              <w:rPr>
                <w:sz w:val="1"/>
                <w:szCs w:val="1"/>
                <w:color w:val="auto"/>
              </w:rPr>
            </w:pPr>
          </w:p>
        </w:tc>
      </w:tr>
      <w:tr>
        <w:trPr>
          <w:trHeight w:val="108"/>
        </w:trPr>
        <w:tc>
          <w:tcPr>
            <w:tcW w:w="182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9"/>
                <w:szCs w:val="9"/>
                <w:color w:val="auto"/>
              </w:rPr>
              <w:t>7</w:t>
            </w:r>
          </w:p>
        </w:tc>
        <w:tc>
          <w:tcPr>
            <w:tcW w:w="240" w:type="dxa"/>
            <w:vAlign w:val="bottom"/>
            <w:shd w:val="clear" w:color="auto" w:fill="CFF0FC"/>
          </w:tcPr>
          <w:p>
            <w:pPr>
              <w:spacing w:after="0"/>
              <w:rPr>
                <w:sz w:val="9"/>
                <w:szCs w:val="9"/>
                <w:color w:val="auto"/>
              </w:rPr>
            </w:pPr>
          </w:p>
        </w:tc>
        <w:tc>
          <w:tcPr>
            <w:tcW w:w="80" w:type="dxa"/>
            <w:vAlign w:val="bottom"/>
            <w:vMerge w:val="continue"/>
            <w:shd w:val="clear" w:color="auto" w:fill="CFF0FC"/>
          </w:tcPr>
          <w:p>
            <w:pPr>
              <w:spacing w:after="0"/>
              <w:rPr>
                <w:sz w:val="9"/>
                <w:szCs w:val="9"/>
                <w:color w:val="auto"/>
              </w:rPr>
            </w:pPr>
          </w:p>
        </w:tc>
        <w:tc>
          <w:tcPr>
            <w:tcW w:w="480" w:type="dxa"/>
            <w:vAlign w:val="bottom"/>
            <w:gridSpan w:val="2"/>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20" w:type="dxa"/>
            <w:vAlign w:val="bottom"/>
            <w:gridSpan w:val="2"/>
            <w:vMerge w:val="continue"/>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60" w:type="dxa"/>
            <w:vAlign w:val="bottom"/>
            <w:gridSpan w:val="2"/>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tcBorders>
              <w:left w:val="single" w:sz="8" w:color="auto"/>
            </w:tcBorders>
            <w:shd w:val="clear" w:color="auto" w:fill="CFF0FC"/>
          </w:tcPr>
          <w:p>
            <w:pPr>
              <w:spacing w:after="0"/>
              <w:rPr>
                <w:sz w:val="9"/>
                <w:szCs w:val="9"/>
                <w:color w:val="auto"/>
              </w:rPr>
            </w:pPr>
          </w:p>
        </w:tc>
        <w:tc>
          <w:tcPr>
            <w:tcW w:w="540" w:type="dxa"/>
            <w:vAlign w:val="bottom"/>
            <w:gridSpan w:val="2"/>
            <w:vMerge w:val="continue"/>
            <w:shd w:val="clear" w:color="auto" w:fill="CFF0FC"/>
          </w:tcPr>
          <w:p>
            <w:pPr>
              <w:spacing w:after="0"/>
              <w:rPr>
                <w:sz w:val="9"/>
                <w:szCs w:val="9"/>
                <w:color w:val="auto"/>
              </w:rPr>
            </w:pPr>
          </w:p>
        </w:tc>
        <w:tc>
          <w:tcPr>
            <w:tcW w:w="240" w:type="dxa"/>
            <w:vAlign w:val="bottom"/>
            <w:gridSpan w:val="2"/>
            <w:vMerge w:val="continue"/>
            <w:shd w:val="clear" w:color="auto" w:fill="CFF0FC"/>
          </w:tcPr>
          <w:p>
            <w:pPr>
              <w:spacing w:after="0"/>
              <w:rPr>
                <w:sz w:val="9"/>
                <w:szCs w:val="9"/>
                <w:color w:val="auto"/>
              </w:rPr>
            </w:pPr>
          </w:p>
        </w:tc>
        <w:tc>
          <w:tcPr>
            <w:tcW w:w="380" w:type="dxa"/>
            <w:vAlign w:val="bottom"/>
            <w:vMerge w:val="continue"/>
            <w:shd w:val="clear" w:color="auto" w:fill="CFF0FC"/>
          </w:tcPr>
          <w:p>
            <w:pPr>
              <w:spacing w:after="0"/>
              <w:rPr>
                <w:sz w:val="9"/>
                <w:szCs w:val="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9</w:t>
            </w:r>
          </w:p>
        </w:tc>
        <w:tc>
          <w:tcPr>
            <w:tcW w:w="200" w:type="dxa"/>
            <w:vAlign w:val="bottom"/>
            <w:tcBorders>
              <w:left w:val="single" w:sz="8" w:color="CFF0FC"/>
            </w:tcBorders>
            <w:shd w:val="clear" w:color="auto" w:fill="CFF0FC"/>
          </w:tcPr>
          <w:p>
            <w:pPr>
              <w:spacing w:after="0"/>
              <w:rPr>
                <w:sz w:val="9"/>
                <w:szCs w:val="9"/>
                <w:color w:val="auto"/>
              </w:rPr>
            </w:pPr>
          </w:p>
        </w:tc>
        <w:tc>
          <w:tcPr>
            <w:tcW w:w="60" w:type="dxa"/>
            <w:vAlign w:val="bottom"/>
            <w:vMerge w:val="continue"/>
            <w:shd w:val="clear" w:color="auto" w:fill="CFF0FC"/>
          </w:tcPr>
          <w:p>
            <w:pPr>
              <w:spacing w:after="0"/>
              <w:rPr>
                <w:sz w:val="9"/>
                <w:szCs w:val="9"/>
                <w:color w:val="auto"/>
              </w:rPr>
            </w:pPr>
          </w:p>
        </w:tc>
        <w:tc>
          <w:tcPr>
            <w:tcW w:w="36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2</w:t>
            </w:r>
          </w:p>
        </w:tc>
        <w:tc>
          <w:tcPr>
            <w:tcW w:w="200" w:type="dxa"/>
            <w:vAlign w:val="bottom"/>
            <w:shd w:val="clear" w:color="auto" w:fill="CFF0FC"/>
          </w:tcPr>
          <w:p>
            <w:pPr>
              <w:spacing w:after="0"/>
              <w:rPr>
                <w:sz w:val="9"/>
                <w:szCs w:val="9"/>
                <w:color w:val="auto"/>
              </w:rPr>
            </w:pPr>
          </w:p>
        </w:tc>
        <w:tc>
          <w:tcPr>
            <w:tcW w:w="100" w:type="dxa"/>
            <w:vAlign w:val="bottom"/>
            <w:vMerge w:val="continue"/>
            <w:shd w:val="clear" w:color="auto" w:fill="CFF0FC"/>
          </w:tcPr>
          <w:p>
            <w:pPr>
              <w:spacing w:after="0"/>
              <w:rPr>
                <w:sz w:val="9"/>
                <w:szCs w:val="9"/>
                <w:color w:val="auto"/>
              </w:rPr>
            </w:pPr>
          </w:p>
        </w:tc>
        <w:tc>
          <w:tcPr>
            <w:tcW w:w="320" w:type="dxa"/>
            <w:vAlign w:val="bottom"/>
            <w:gridSpan w:val="2"/>
            <w:vMerge w:val="continue"/>
            <w:shd w:val="clear" w:color="auto" w:fill="CFF0FC"/>
          </w:tcPr>
          <w:p>
            <w:pPr>
              <w:spacing w:after="0"/>
              <w:rPr>
                <w:sz w:val="9"/>
                <w:szCs w:val="9"/>
                <w:color w:val="auto"/>
              </w:rPr>
            </w:pPr>
          </w:p>
        </w:tc>
        <w:tc>
          <w:tcPr>
            <w:tcW w:w="280" w:type="dxa"/>
            <w:vAlign w:val="bottom"/>
            <w:tcBorders>
              <w:left w:val="single" w:sz="8" w:color="CFF0FC"/>
            </w:tcBorders>
            <w:gridSpan w:val="2"/>
            <w:vMerge w:val="continue"/>
            <w:shd w:val="clear" w:color="auto" w:fill="CFF0FC"/>
          </w:tcPr>
          <w:p>
            <w:pPr>
              <w:spacing w:after="0"/>
              <w:rPr>
                <w:sz w:val="9"/>
                <w:szCs w:val="9"/>
                <w:color w:val="auto"/>
              </w:rPr>
            </w:pPr>
          </w:p>
        </w:tc>
        <w:tc>
          <w:tcPr>
            <w:tcW w:w="560" w:type="dxa"/>
            <w:vAlign w:val="bottom"/>
            <w:vMerge w:val="continue"/>
            <w:shd w:val="clear" w:color="auto" w:fill="CFF0FC"/>
          </w:tcPr>
          <w:p>
            <w:pPr>
              <w:spacing w:after="0"/>
              <w:rPr>
                <w:sz w:val="9"/>
                <w:szCs w:val="9"/>
                <w:color w:val="auto"/>
              </w:rPr>
            </w:pPr>
          </w:p>
        </w:tc>
        <w:tc>
          <w:tcPr>
            <w:tcW w:w="500" w:type="dxa"/>
            <w:vAlign w:val="bottom"/>
            <w:tcBorders>
              <w:left w:val="single" w:sz="8" w:color="CFF0FC"/>
            </w:tcBorders>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gridSpan w:val="3"/>
            <w:vMerge w:val="continue"/>
            <w:shd w:val="clear" w:color="auto" w:fill="CFF0FC"/>
          </w:tcPr>
          <w:p>
            <w:pPr>
              <w:spacing w:after="0"/>
              <w:rPr>
                <w:sz w:val="9"/>
                <w:szCs w:val="9"/>
                <w:color w:val="auto"/>
              </w:rPr>
            </w:pPr>
          </w:p>
        </w:tc>
        <w:tc>
          <w:tcPr>
            <w:tcW w:w="80" w:type="dxa"/>
            <w:vAlign w:val="bottom"/>
            <w:vMerge w:val="continue"/>
            <w:shd w:val="clear" w:color="auto" w:fill="CFF0FC"/>
          </w:tcPr>
          <w:p>
            <w:pPr>
              <w:spacing w:after="0"/>
              <w:rPr>
                <w:sz w:val="9"/>
                <w:szCs w:val="9"/>
                <w:color w:val="auto"/>
              </w:rPr>
            </w:pPr>
          </w:p>
        </w:tc>
        <w:tc>
          <w:tcPr>
            <w:tcW w:w="8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820" w:type="dxa"/>
            <w:vAlign w:val="bottom"/>
            <w:tcBorders>
              <w:top w:val="single" w:sz="8" w:color="CFF0FC"/>
            </w:tcBorders>
          </w:tcPr>
          <w:p>
            <w:pPr>
              <w:ind w:left="20"/>
              <w:spacing w:after="0" w:line="75" w:lineRule="exact"/>
              <w:rPr>
                <w:sz w:val="20"/>
                <w:szCs w:val="20"/>
                <w:color w:val="auto"/>
              </w:rPr>
            </w:pPr>
            <w:r>
              <w:rPr>
                <w:rFonts w:ascii="Arial" w:cs="Arial" w:eastAsia="Arial" w:hAnsi="Arial"/>
                <w:sz w:val="8"/>
                <w:szCs w:val="8"/>
                <w:color w:val="auto"/>
              </w:rPr>
              <w:t>Issuance of Series B redeemable</w:t>
            </w:r>
          </w:p>
        </w:tc>
        <w:tc>
          <w:tcPr>
            <w:tcW w:w="520" w:type="dxa"/>
            <w:vAlign w:val="bottom"/>
            <w:tcBorders>
              <w:top w:val="single" w:sz="8" w:color="auto"/>
            </w:tcBorders>
          </w:tcPr>
          <w:p>
            <w:pPr>
              <w:spacing w:after="0"/>
              <w:rPr>
                <w:sz w:val="6"/>
                <w:szCs w:val="6"/>
                <w:color w:val="auto"/>
              </w:rPr>
            </w:pPr>
          </w:p>
        </w:tc>
        <w:tc>
          <w:tcPr>
            <w:tcW w:w="240" w:type="dxa"/>
            <w:vAlign w:val="bottom"/>
            <w:tcBorders>
              <w:top w:val="single" w:sz="8" w:color="CFF0FC"/>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40" w:type="dxa"/>
            <w:vAlign w:val="bottom"/>
            <w:tcBorders>
              <w:top w:val="single" w:sz="8" w:color="CFF0FC"/>
            </w:tcBorders>
          </w:tcPr>
          <w:p>
            <w:pPr>
              <w:spacing w:after="0"/>
              <w:rPr>
                <w:sz w:val="6"/>
                <w:szCs w:val="6"/>
                <w:color w:val="auto"/>
              </w:rPr>
            </w:pPr>
          </w:p>
        </w:tc>
        <w:tc>
          <w:tcPr>
            <w:tcW w:w="80" w:type="dxa"/>
            <w:vAlign w:val="bottom"/>
            <w:tcBorders>
              <w:top w:val="single" w:sz="8" w:color="CFF0FC"/>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00" w:type="dxa"/>
            <w:vAlign w:val="bottom"/>
            <w:tcBorders>
              <w:top w:val="single" w:sz="8" w:color="CFF0FC"/>
            </w:tcBorders>
          </w:tcPr>
          <w:p>
            <w:pPr>
              <w:spacing w:after="0"/>
              <w:rPr>
                <w:sz w:val="6"/>
                <w:szCs w:val="6"/>
                <w:color w:val="auto"/>
              </w:rPr>
            </w:pPr>
          </w:p>
        </w:tc>
        <w:tc>
          <w:tcPr>
            <w:tcW w:w="140" w:type="dxa"/>
            <w:vAlign w:val="bottom"/>
            <w:tcBorders>
              <w:top w:val="single" w:sz="8" w:color="CFF0FC"/>
              <w:left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0" w:type="dxa"/>
            <w:vAlign w:val="bottom"/>
            <w:tcBorders>
              <w:top w:val="single" w:sz="8" w:color="CFF0FC"/>
            </w:tcBorders>
          </w:tcPr>
          <w:p>
            <w:pPr>
              <w:spacing w:after="0"/>
              <w:rPr>
                <w:sz w:val="6"/>
                <w:szCs w:val="6"/>
                <w:color w:val="auto"/>
              </w:rPr>
            </w:pPr>
          </w:p>
        </w:tc>
        <w:tc>
          <w:tcPr>
            <w:tcW w:w="180" w:type="dxa"/>
            <w:vAlign w:val="bottom"/>
            <w:tcBorders>
              <w:top w:val="single" w:sz="8" w:color="CFF0FC"/>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200" w:type="dxa"/>
            <w:vAlign w:val="bottom"/>
            <w:tcBorders>
              <w:top w:val="single" w:sz="8" w:color="CFF0FC"/>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Borders>
              <w:top w:val="single" w:sz="8" w:color="CFF0FC"/>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200" w:type="dxa"/>
            <w:vAlign w:val="bottom"/>
            <w:tcBorders>
              <w:top w:val="single" w:sz="8" w:color="CFF0FC"/>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Borders>
              <w:top w:val="single" w:sz="8" w:color="CFF0FC"/>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200" w:type="dxa"/>
            <w:vAlign w:val="bottom"/>
            <w:tcBorders>
              <w:top w:val="single" w:sz="8" w:color="CFF0FC"/>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00" w:type="dxa"/>
            <w:vAlign w:val="bottom"/>
            <w:tcBorders>
              <w:top w:val="single" w:sz="8" w:color="CFF0FC"/>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200" w:type="dxa"/>
            <w:vAlign w:val="bottom"/>
            <w:tcBorders>
              <w:top w:val="single" w:sz="8" w:color="CFF0FC"/>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Borders>
              <w:top w:val="single" w:sz="8" w:color="CFF0FC"/>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820" w:type="dxa"/>
            <w:vAlign w:val="bottom"/>
          </w:tcPr>
          <w:p>
            <w:pPr>
              <w:ind w:left="80"/>
              <w:spacing w:after="0" w:line="81" w:lineRule="exact"/>
              <w:rPr>
                <w:sz w:val="20"/>
                <w:szCs w:val="20"/>
                <w:color w:val="auto"/>
              </w:rPr>
            </w:pPr>
            <w:r>
              <w:rPr>
                <w:rFonts w:ascii="Arial" w:cs="Arial" w:eastAsia="Arial" w:hAnsi="Arial"/>
                <w:sz w:val="9"/>
                <w:szCs w:val="9"/>
                <w:color w:val="auto"/>
              </w:rPr>
              <w:t>convertible preferred shares for</w:t>
            </w:r>
          </w:p>
        </w:tc>
        <w:tc>
          <w:tcPr>
            <w:tcW w:w="520" w:type="dxa"/>
            <w:vAlign w:val="bottom"/>
            <w:vMerge w:val="restart"/>
          </w:tcPr>
          <w:p>
            <w:pPr>
              <w:jc w:val="right"/>
              <w:spacing w:after="0"/>
              <w:rPr>
                <w:sz w:val="20"/>
                <w:szCs w:val="20"/>
                <w:color w:val="auto"/>
              </w:rPr>
            </w:pPr>
            <w:r>
              <w:rPr>
                <w:rFonts w:ascii="Arial" w:cs="Arial" w:eastAsia="Arial" w:hAnsi="Arial"/>
                <w:sz w:val="9"/>
                <w:szCs w:val="9"/>
                <w:color w:val="auto"/>
              </w:rPr>
              <w:t>9,638,141</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9"/>
                <w:szCs w:val="9"/>
                <w:color w:val="auto"/>
              </w:rPr>
              <w:t>129,757</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gridSpan w:val="3"/>
            <w:vMerge w:val="restart"/>
          </w:tcPr>
          <w:p>
            <w:pPr>
              <w:jc w:val="right"/>
              <w:ind w:right="220"/>
              <w:spacing w:after="0"/>
              <w:rPr>
                <w:sz w:val="20"/>
                <w:szCs w:val="20"/>
                <w:color w:val="auto"/>
              </w:rPr>
            </w:pPr>
            <w:r>
              <w:rPr>
                <w:rFonts w:ascii="Arial" w:cs="Arial" w:eastAsia="Arial" w:hAnsi="Arial"/>
                <w:sz w:val="9"/>
                <w:szCs w:val="9"/>
                <w:color w:val="auto"/>
              </w:rPr>
              <w:t>—</w:t>
            </w:r>
          </w:p>
        </w:tc>
        <w:tc>
          <w:tcPr>
            <w:tcW w:w="140" w:type="dxa"/>
            <w:vAlign w:val="bottom"/>
            <w:tcBorders>
              <w:left w:val="single" w:sz="8" w:color="auto"/>
            </w:tcBorders>
          </w:tcPr>
          <w:p>
            <w:pPr>
              <w:spacing w:after="0"/>
              <w:rPr>
                <w:sz w:val="7"/>
                <w:szCs w:val="7"/>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7"/>
                <w:szCs w:val="7"/>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1820" w:type="dxa"/>
            <w:vAlign w:val="bottom"/>
          </w:tcPr>
          <w:p>
            <w:pPr>
              <w:ind w:left="80"/>
              <w:spacing w:after="0"/>
              <w:rPr>
                <w:sz w:val="20"/>
                <w:szCs w:val="20"/>
                <w:color w:val="auto"/>
              </w:rPr>
            </w:pPr>
            <w:r>
              <w:rPr>
                <w:rFonts w:ascii="Arial" w:cs="Arial" w:eastAsia="Arial" w:hAnsi="Arial"/>
                <w:sz w:val="9"/>
                <w:szCs w:val="9"/>
                <w:color w:val="auto"/>
              </w:rPr>
              <w:t>cash, net of issuance costs of $243</w:t>
            </w:r>
          </w:p>
        </w:tc>
        <w:tc>
          <w:tcPr>
            <w:tcW w:w="5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3"/>
            <w:vMerge w:val="continue"/>
          </w:tcPr>
          <w:p>
            <w:pPr>
              <w:spacing w:after="0"/>
              <w:rPr>
                <w:sz w:val="9"/>
                <w:szCs w:val="9"/>
                <w:color w:val="auto"/>
              </w:rPr>
            </w:pPr>
          </w:p>
        </w:tc>
        <w:tc>
          <w:tcPr>
            <w:tcW w:w="140" w:type="dxa"/>
            <w:vAlign w:val="bottom"/>
            <w:tcBorders>
              <w:left w:val="single" w:sz="8" w:color="auto"/>
            </w:tcBorders>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20" w:type="dxa"/>
            <w:vAlign w:val="bottom"/>
            <w:shd w:val="clear" w:color="auto" w:fill="CFF0FC"/>
          </w:tcPr>
          <w:p>
            <w:pPr>
              <w:ind w:left="20"/>
              <w:spacing w:after="0"/>
              <w:rPr>
                <w:sz w:val="20"/>
                <w:szCs w:val="20"/>
                <w:color w:val="auto"/>
              </w:rPr>
            </w:pPr>
            <w:r>
              <w:rPr>
                <w:rFonts w:ascii="Arial" w:cs="Arial" w:eastAsia="Arial" w:hAnsi="Arial"/>
                <w:sz w:val="9"/>
                <w:szCs w:val="9"/>
                <w:color w:val="auto"/>
              </w:rPr>
              <w:t>Share-based compensation expenses</w:t>
            </w: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40" w:type="dxa"/>
            <w:vAlign w:val="bottom"/>
            <w:gridSpan w:val="2"/>
            <w:shd w:val="clear" w:color="auto" w:fill="CFF0FC"/>
          </w:tcPr>
          <w:p>
            <w:pPr>
              <w:jc w:val="right"/>
              <w:ind w:right="160"/>
              <w:spacing w:after="0"/>
              <w:rPr>
                <w:sz w:val="20"/>
                <w:szCs w:val="20"/>
                <w:color w:val="auto"/>
              </w:rPr>
            </w:pPr>
            <w:r>
              <w:rPr>
                <w:rFonts w:ascii="Arial" w:cs="Arial" w:eastAsia="Arial" w:hAnsi="Arial"/>
                <w:sz w:val="8"/>
                <w:szCs w:val="8"/>
                <w:color w:val="auto"/>
                <w:w w:val="74"/>
              </w:rPr>
              <w:t>—</w:t>
            </w:r>
          </w:p>
        </w:tc>
        <w:tc>
          <w:tcPr>
            <w:tcW w:w="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60" w:type="dxa"/>
            <w:vAlign w:val="bottom"/>
            <w:gridSpan w:val="3"/>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140" w:type="dxa"/>
            <w:vAlign w:val="bottom"/>
            <w:tcBorders>
              <w:left w:val="single" w:sz="8" w:color="auto"/>
            </w:tcBorders>
            <w:shd w:val="clear" w:color="auto" w:fill="CFF0FC"/>
          </w:tcPr>
          <w:p>
            <w:pPr>
              <w:spacing w:after="0"/>
              <w:rPr>
                <w:sz w:val="9"/>
                <w:szCs w:val="9"/>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9"/>
                <w:szCs w:val="9"/>
                <w:color w:val="auto"/>
              </w:rPr>
              <w:t>—</w:t>
            </w:r>
          </w:p>
        </w:tc>
        <w:tc>
          <w:tcPr>
            <w:tcW w:w="1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20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60" w:type="dxa"/>
            <w:vAlign w:val="bottom"/>
            <w:shd w:val="clear" w:color="auto" w:fill="CFF0FC"/>
          </w:tcPr>
          <w:p>
            <w:pPr>
              <w:spacing w:after="0"/>
              <w:rPr>
                <w:sz w:val="9"/>
                <w:szCs w:val="9"/>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9"/>
                <w:szCs w:val="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538</w:t>
            </w:r>
          </w:p>
        </w:tc>
        <w:tc>
          <w:tcPr>
            <w:tcW w:w="200" w:type="dxa"/>
            <w:vAlign w:val="bottom"/>
            <w:tcBorders>
              <w:lef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200" w:type="dxa"/>
            <w:vAlign w:val="bottom"/>
            <w:tcBorders>
              <w:left w:val="single" w:sz="8" w:color="CFF0FC"/>
            </w:tcBorders>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9"/>
                <w:szCs w:val="9"/>
                <w:color w:val="auto"/>
              </w:rPr>
              <w:t>538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20" w:type="dxa"/>
            <w:vAlign w:val="bottom"/>
          </w:tcPr>
          <w:p>
            <w:pPr>
              <w:ind w:left="20"/>
              <w:spacing w:after="0"/>
              <w:rPr>
                <w:sz w:val="20"/>
                <w:szCs w:val="20"/>
                <w:color w:val="auto"/>
              </w:rPr>
            </w:pPr>
            <w:r>
              <w:rPr>
                <w:rFonts w:ascii="Arial" w:cs="Arial" w:eastAsia="Arial" w:hAnsi="Arial"/>
                <w:sz w:val="9"/>
                <w:szCs w:val="9"/>
                <w:color w:val="auto"/>
              </w:rPr>
              <w:t>Issuance of incentive shares</w:t>
            </w:r>
          </w:p>
        </w:tc>
        <w:tc>
          <w:tcPr>
            <w:tcW w:w="7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8"/>
                <w:szCs w:val="8"/>
                <w:color w:val="auto"/>
                <w:w w:val="74"/>
              </w:rPr>
              <w:t>—</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9"/>
                <w:szCs w:val="9"/>
                <w:color w:val="auto"/>
              </w:rPr>
              <w:t>—</w:t>
            </w:r>
          </w:p>
        </w:tc>
        <w:tc>
          <w:tcPr>
            <w:tcW w:w="140" w:type="dxa"/>
            <w:vAlign w:val="bottom"/>
            <w:tcBorders>
              <w:left w:val="single" w:sz="8" w:color="auto"/>
            </w:tcBorders>
          </w:tcPr>
          <w:p>
            <w:pPr>
              <w:spacing w:after="0"/>
              <w:rPr>
                <w:sz w:val="9"/>
                <w:szCs w:val="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874,335</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1"/>
        </w:trPr>
        <w:tc>
          <w:tcPr>
            <w:tcW w:w="1820" w:type="dxa"/>
            <w:vAlign w:val="bottom"/>
            <w:shd w:val="clear" w:color="auto" w:fill="CFF0FC"/>
          </w:tcPr>
          <w:p>
            <w:pPr>
              <w:ind w:left="20"/>
              <w:spacing w:after="0" w:line="81" w:lineRule="exact"/>
              <w:rPr>
                <w:sz w:val="20"/>
                <w:szCs w:val="20"/>
                <w:color w:val="auto"/>
              </w:rPr>
            </w:pPr>
            <w:r>
              <w:rPr>
                <w:rFonts w:ascii="Arial" w:cs="Arial" w:eastAsia="Arial" w:hAnsi="Arial"/>
                <w:sz w:val="9"/>
                <w:szCs w:val="9"/>
                <w:color w:val="auto"/>
              </w:rPr>
              <w:t>Net loss attributable to redeemable</w:t>
            </w:r>
          </w:p>
        </w:tc>
        <w:tc>
          <w:tcPr>
            <w:tcW w:w="7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2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8"/>
                <w:szCs w:val="8"/>
                <w:color w:val="auto"/>
                <w:w w:val="74"/>
              </w:rPr>
              <w:t>—</w:t>
            </w:r>
          </w:p>
        </w:tc>
        <w:tc>
          <w:tcPr>
            <w:tcW w:w="8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460" w:type="dxa"/>
            <w:vAlign w:val="bottom"/>
            <w:gridSpan w:val="3"/>
            <w:vMerge w:val="restart"/>
            <w:shd w:val="clear" w:color="auto" w:fill="CFF0FC"/>
          </w:tcPr>
          <w:p>
            <w:pPr>
              <w:jc w:val="right"/>
              <w:ind w:right="160"/>
              <w:spacing w:after="0"/>
              <w:rPr>
                <w:sz w:val="20"/>
                <w:szCs w:val="20"/>
                <w:color w:val="auto"/>
              </w:rPr>
            </w:pPr>
            <w:r>
              <w:rPr>
                <w:rFonts w:ascii="Arial" w:cs="Arial" w:eastAsia="Arial" w:hAnsi="Arial"/>
                <w:sz w:val="9"/>
                <w:szCs w:val="9"/>
                <w:color w:val="auto"/>
              </w:rPr>
              <w:t>(919 )</w:t>
            </w:r>
          </w:p>
        </w:tc>
        <w:tc>
          <w:tcPr>
            <w:tcW w:w="140" w:type="dxa"/>
            <w:vAlign w:val="bottom"/>
            <w:tcBorders>
              <w:left w:val="single" w:sz="8" w:color="auto"/>
            </w:tcBorders>
            <w:shd w:val="clear" w:color="auto" w:fill="CFF0FC"/>
          </w:tcPr>
          <w:p>
            <w:pPr>
              <w:spacing w:after="0"/>
              <w:rPr>
                <w:sz w:val="7"/>
                <w:szCs w:val="7"/>
                <w:color w:val="auto"/>
              </w:rPr>
            </w:pPr>
          </w:p>
        </w:tc>
        <w:tc>
          <w:tcPr>
            <w:tcW w:w="5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9"/>
                <w:szCs w:val="9"/>
                <w:color w:val="auto"/>
              </w:rPr>
              <w:t>—</w:t>
            </w:r>
          </w:p>
        </w:tc>
        <w:tc>
          <w:tcPr>
            <w:tcW w:w="18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200" w:type="dxa"/>
            <w:vAlign w:val="bottom"/>
            <w:shd w:val="clear" w:color="auto" w:fill="CFF0FC"/>
          </w:tcPr>
          <w:p>
            <w:pPr>
              <w:spacing w:after="0"/>
              <w:rPr>
                <w:sz w:val="7"/>
                <w:szCs w:val="7"/>
                <w:color w:val="auto"/>
              </w:rPr>
            </w:pPr>
          </w:p>
        </w:tc>
        <w:tc>
          <w:tcPr>
            <w:tcW w:w="6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60" w:type="dxa"/>
            <w:vAlign w:val="bottom"/>
            <w:shd w:val="clear" w:color="auto" w:fill="CFF0FC"/>
          </w:tcPr>
          <w:p>
            <w:pPr>
              <w:spacing w:after="0"/>
              <w:rPr>
                <w:sz w:val="7"/>
                <w:szCs w:val="7"/>
                <w:color w:val="auto"/>
              </w:rPr>
            </w:pPr>
          </w:p>
        </w:tc>
        <w:tc>
          <w:tcPr>
            <w:tcW w:w="5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200" w:type="dxa"/>
            <w:vAlign w:val="bottom"/>
            <w:tcBorders>
              <w:left w:val="single" w:sz="8" w:color="CFF0FC"/>
            </w:tcBorders>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200" w:type="dxa"/>
            <w:vAlign w:val="bottom"/>
            <w:tcBorders>
              <w:left w:val="single" w:sz="8" w:color="CFF0FC"/>
            </w:tcBorders>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3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7"/>
                <w:szCs w:val="7"/>
                <w:color w:val="auto"/>
              </w:rPr>
            </w:pPr>
          </w:p>
        </w:tc>
        <w:tc>
          <w:tcPr>
            <w:tcW w:w="8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1820" w:type="dxa"/>
            <w:vAlign w:val="bottom"/>
            <w:shd w:val="clear" w:color="auto" w:fill="CFF0FC"/>
          </w:tcPr>
          <w:p>
            <w:pPr>
              <w:ind w:left="80"/>
              <w:spacing w:after="0"/>
              <w:rPr>
                <w:sz w:val="20"/>
                <w:szCs w:val="20"/>
                <w:color w:val="auto"/>
              </w:rPr>
            </w:pPr>
            <w:r>
              <w:rPr>
                <w:rFonts w:ascii="Arial" w:cs="Arial" w:eastAsia="Arial" w:hAnsi="Arial"/>
                <w:sz w:val="9"/>
                <w:szCs w:val="9"/>
                <w:color w:val="auto"/>
              </w:rPr>
              <w:t>noncontrolling interest</w:t>
            </w:r>
          </w:p>
        </w:tc>
        <w:tc>
          <w:tcPr>
            <w:tcW w:w="76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4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60" w:type="dxa"/>
            <w:vAlign w:val="bottom"/>
            <w:gridSpan w:val="3"/>
            <w:vMerge w:val="continue"/>
            <w:shd w:val="clear" w:color="auto" w:fill="CFF0FC"/>
          </w:tcPr>
          <w:p>
            <w:pPr>
              <w:spacing w:after="0"/>
              <w:rPr>
                <w:sz w:val="9"/>
                <w:szCs w:val="9"/>
                <w:color w:val="auto"/>
              </w:rPr>
            </w:pPr>
          </w:p>
        </w:tc>
        <w:tc>
          <w:tcPr>
            <w:tcW w:w="140" w:type="dxa"/>
            <w:vAlign w:val="bottom"/>
            <w:tcBorders>
              <w:left w:val="single" w:sz="8" w:color="auto"/>
            </w:tcBorders>
            <w:shd w:val="clear" w:color="auto" w:fill="CFF0FC"/>
          </w:tcPr>
          <w:p>
            <w:pPr>
              <w:spacing w:after="0"/>
              <w:rPr>
                <w:sz w:val="9"/>
                <w:szCs w:val="9"/>
                <w:color w:val="auto"/>
              </w:rPr>
            </w:pPr>
          </w:p>
        </w:tc>
        <w:tc>
          <w:tcPr>
            <w:tcW w:w="540" w:type="dxa"/>
            <w:vAlign w:val="bottom"/>
            <w:gridSpan w:val="2"/>
            <w:vMerge w:val="continue"/>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80" w:type="dxa"/>
            <w:vAlign w:val="bottom"/>
            <w:gridSpan w:val="2"/>
            <w:vMerge w:val="continue"/>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60" w:type="dxa"/>
            <w:vAlign w:val="bottom"/>
            <w:gridSpan w:val="2"/>
            <w:vMerge w:val="continue"/>
            <w:shd w:val="clear" w:color="auto" w:fill="CFF0FC"/>
          </w:tcPr>
          <w:p>
            <w:pPr>
              <w:spacing w:after="0"/>
              <w:rPr>
                <w:sz w:val="9"/>
                <w:szCs w:val="9"/>
                <w:color w:val="auto"/>
              </w:rPr>
            </w:pPr>
          </w:p>
        </w:tc>
        <w:tc>
          <w:tcPr>
            <w:tcW w:w="68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60" w:type="dxa"/>
            <w:vAlign w:val="bottom"/>
            <w:vMerge w:val="continue"/>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vMerge w:val="continue"/>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8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20" w:type="dxa"/>
            <w:vAlign w:val="bottom"/>
          </w:tcPr>
          <w:p>
            <w:pPr>
              <w:ind w:left="20"/>
              <w:spacing w:after="0" w:line="81" w:lineRule="exact"/>
              <w:rPr>
                <w:sz w:val="20"/>
                <w:szCs w:val="20"/>
                <w:color w:val="auto"/>
              </w:rPr>
            </w:pPr>
            <w:r>
              <w:rPr>
                <w:rFonts w:ascii="Arial" w:cs="Arial" w:eastAsia="Arial" w:hAnsi="Arial"/>
                <w:sz w:val="9"/>
                <w:szCs w:val="9"/>
                <w:color w:val="auto"/>
              </w:rPr>
              <w:t>Net loss attributable to Day One</w:t>
            </w: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lef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820" w:type="dxa"/>
            <w:vAlign w:val="bottom"/>
          </w:tcPr>
          <w:p>
            <w:pPr>
              <w:ind w:left="80"/>
              <w:spacing w:after="0" w:line="81" w:lineRule="exact"/>
              <w:rPr>
                <w:sz w:val="20"/>
                <w:szCs w:val="20"/>
                <w:color w:val="auto"/>
              </w:rPr>
            </w:pPr>
            <w:r>
              <w:rPr>
                <w:rFonts w:ascii="Arial" w:cs="Arial" w:eastAsia="Arial" w:hAnsi="Arial"/>
                <w:sz w:val="9"/>
                <w:szCs w:val="9"/>
                <w:color w:val="auto"/>
              </w:rPr>
              <w:t>Biopharmaceuticals Holding</w:t>
            </w:r>
          </w:p>
        </w:tc>
        <w:tc>
          <w:tcPr>
            <w:tcW w:w="52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4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8"/>
                <w:szCs w:val="8"/>
                <w:color w:val="auto"/>
                <w:w w:val="74"/>
              </w:rPr>
              <w:t>—</w:t>
            </w:r>
          </w:p>
        </w:tc>
        <w:tc>
          <w:tcPr>
            <w:tcW w:w="14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vMerge w:val="restart"/>
          </w:tcPr>
          <w:p>
            <w:pPr>
              <w:spacing w:after="0"/>
              <w:rPr>
                <w:sz w:val="7"/>
                <w:szCs w:val="7"/>
                <w:color w:val="auto"/>
              </w:rPr>
            </w:pPr>
          </w:p>
        </w:tc>
        <w:tc>
          <w:tcPr>
            <w:tcW w:w="140" w:type="dxa"/>
            <w:vAlign w:val="bottom"/>
            <w:tcBorders>
              <w:left w:val="single" w:sz="8" w:color="auto"/>
            </w:tcBorders>
          </w:tcPr>
          <w:p>
            <w:pPr>
              <w:spacing w:after="0"/>
              <w:rPr>
                <w:sz w:val="7"/>
                <w:szCs w:val="7"/>
                <w:color w:val="auto"/>
              </w:rPr>
            </w:pP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40" w:type="dxa"/>
            <w:vAlign w:val="bottom"/>
            <w:vMerge w:val="restart"/>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vMerge w:val="restart"/>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3"/>
            <w:vMerge w:val="restart"/>
          </w:tcPr>
          <w:p>
            <w:pPr>
              <w:jc w:val="right"/>
              <w:ind w:right="160"/>
              <w:spacing w:after="0"/>
              <w:rPr>
                <w:sz w:val="20"/>
                <w:szCs w:val="20"/>
                <w:color w:val="auto"/>
              </w:rPr>
            </w:pPr>
            <w:r>
              <w:rPr>
                <w:rFonts w:ascii="Arial" w:cs="Arial" w:eastAsia="Arial" w:hAnsi="Arial"/>
                <w:sz w:val="9"/>
                <w:szCs w:val="9"/>
                <w:color w:val="auto"/>
                <w:w w:val="94"/>
              </w:rPr>
              <w:t>(15,182 )</w:t>
            </w:r>
          </w:p>
        </w:tc>
        <w:tc>
          <w:tcPr>
            <w:tcW w:w="80" w:type="dxa"/>
            <w:vAlign w:val="bottom"/>
          </w:tcPr>
          <w:p>
            <w:pPr>
              <w:spacing w:after="0"/>
              <w:rPr>
                <w:sz w:val="7"/>
                <w:szCs w:val="7"/>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9"/>
                <w:szCs w:val="9"/>
                <w:color w:val="auto"/>
              </w:rPr>
              <w:t>(15,182 )</w:t>
            </w:r>
          </w:p>
        </w:tc>
        <w:tc>
          <w:tcPr>
            <w:tcW w:w="0" w:type="dxa"/>
            <w:vAlign w:val="bottom"/>
          </w:tcPr>
          <w:p>
            <w:pPr>
              <w:spacing w:after="0"/>
              <w:rPr>
                <w:sz w:val="1"/>
                <w:szCs w:val="1"/>
                <w:color w:val="auto"/>
              </w:rPr>
            </w:pPr>
          </w:p>
        </w:tc>
      </w:tr>
      <w:tr>
        <w:trPr>
          <w:trHeight w:val="94"/>
        </w:trPr>
        <w:tc>
          <w:tcPr>
            <w:tcW w:w="1820" w:type="dxa"/>
            <w:vAlign w:val="bottom"/>
          </w:tcPr>
          <w:p>
            <w:pPr>
              <w:ind w:left="80"/>
              <w:spacing w:after="0" w:line="95" w:lineRule="exact"/>
              <w:rPr>
                <w:sz w:val="20"/>
                <w:szCs w:val="20"/>
                <w:color w:val="auto"/>
              </w:rPr>
            </w:pPr>
            <w:r>
              <w:rPr>
                <w:rFonts w:ascii="Arial" w:cs="Arial" w:eastAsia="Arial" w:hAnsi="Arial"/>
                <w:sz w:val="9"/>
                <w:szCs w:val="9"/>
                <w:color w:val="auto"/>
              </w:rPr>
              <w:t>Company, LLC members</w:t>
            </w:r>
          </w:p>
        </w:tc>
        <w:tc>
          <w:tcPr>
            <w:tcW w:w="52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40" w:type="dxa"/>
            <w:vAlign w:val="bottom"/>
            <w:tcBorders>
              <w:left w:val="single" w:sz="8" w:color="auto"/>
            </w:tcBorders>
          </w:tcPr>
          <w:p>
            <w:pPr>
              <w:spacing w:after="0"/>
              <w:rPr>
                <w:sz w:val="8"/>
                <w:szCs w:val="8"/>
                <w:color w:val="auto"/>
              </w:rPr>
            </w:pPr>
          </w:p>
        </w:tc>
        <w:tc>
          <w:tcPr>
            <w:tcW w:w="500" w:type="dxa"/>
            <w:vAlign w:val="bottom"/>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820" w:type="dxa"/>
            <w:vAlign w:val="bottom"/>
            <w:shd w:val="clear" w:color="auto" w:fill="CFF0FC"/>
          </w:tcPr>
          <w:p>
            <w:pPr>
              <w:ind w:left="20"/>
              <w:spacing w:after="0" w:line="75" w:lineRule="exact"/>
              <w:rPr>
                <w:sz w:val="20"/>
                <w:szCs w:val="20"/>
                <w:color w:val="auto"/>
              </w:rPr>
            </w:pPr>
            <w:r>
              <w:rPr>
                <w:rFonts w:ascii="Arial" w:cs="Arial" w:eastAsia="Arial" w:hAnsi="Arial"/>
                <w:sz w:val="8"/>
                <w:szCs w:val="8"/>
                <w:b w:val="1"/>
                <w:bCs w:val="1"/>
                <w:color w:val="auto"/>
              </w:rPr>
              <w:t>Balance at March 31, 2021</w:t>
            </w:r>
          </w:p>
        </w:tc>
        <w:tc>
          <w:tcPr>
            <w:tcW w:w="520" w:type="dxa"/>
            <w:vAlign w:val="bottom"/>
            <w:shd w:val="clear" w:color="auto" w:fill="CFF0FC"/>
          </w:tcPr>
          <w:p>
            <w:pPr>
              <w:jc w:val="right"/>
              <w:spacing w:after="0" w:line="75" w:lineRule="exact"/>
              <w:rPr>
                <w:sz w:val="20"/>
                <w:szCs w:val="20"/>
                <w:color w:val="auto"/>
              </w:rPr>
            </w:pPr>
            <w:r>
              <w:rPr>
                <w:rFonts w:ascii="Arial" w:cs="Arial" w:eastAsia="Arial" w:hAnsi="Arial"/>
                <w:sz w:val="8"/>
                <w:szCs w:val="8"/>
                <w:color w:val="auto"/>
              </w:rPr>
              <w:t>32,489,39</w:t>
            </w:r>
          </w:p>
        </w:tc>
        <w:tc>
          <w:tcPr>
            <w:tcW w:w="240" w:type="dxa"/>
            <w:vAlign w:val="bottom"/>
            <w:shd w:val="clear" w:color="auto" w:fill="CFF0FC"/>
          </w:tcPr>
          <w:p>
            <w:pPr>
              <w:spacing w:after="0"/>
              <w:rPr>
                <w:sz w:val="6"/>
                <w:szCs w:val="6"/>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vMerge w:val="restart"/>
            <w:shd w:val="clear" w:color="auto" w:fill="CFF0FC"/>
          </w:tcPr>
          <w:p>
            <w:pPr>
              <w:jc w:val="right"/>
              <w:spacing w:after="0"/>
              <w:rPr>
                <w:sz w:val="20"/>
                <w:szCs w:val="20"/>
                <w:color w:val="auto"/>
              </w:rPr>
            </w:pPr>
            <w:r>
              <w:rPr>
                <w:rFonts w:ascii="Arial" w:cs="Arial" w:eastAsia="Arial" w:hAnsi="Arial"/>
                <w:sz w:val="9"/>
                <w:szCs w:val="9"/>
                <w:color w:val="auto"/>
              </w:rPr>
              <w:t>221,721</w:t>
            </w:r>
          </w:p>
        </w:tc>
        <w:tc>
          <w:tcPr>
            <w:tcW w:w="140" w:type="dxa"/>
            <w:vAlign w:val="bottom"/>
            <w:shd w:val="clear" w:color="auto" w:fill="CFF0FC"/>
          </w:tcPr>
          <w:p>
            <w:pPr>
              <w:spacing w:after="0"/>
              <w:rPr>
                <w:sz w:val="6"/>
                <w:szCs w:val="6"/>
                <w:color w:val="auto"/>
              </w:rPr>
            </w:pPr>
          </w:p>
        </w:tc>
        <w:tc>
          <w:tcPr>
            <w:tcW w:w="80" w:type="dxa"/>
            <w:vAlign w:val="bottom"/>
            <w:vMerge w:val="restart"/>
            <w:shd w:val="clear" w:color="auto" w:fill="CFF0FC"/>
          </w:tcPr>
          <w:p>
            <w:pPr>
              <w:spacing w:after="0"/>
              <w:rPr>
                <w:sz w:val="6"/>
                <w:szCs w:val="6"/>
                <w:color w:val="auto"/>
              </w:rPr>
            </w:pPr>
          </w:p>
        </w:tc>
        <w:tc>
          <w:tcPr>
            <w:tcW w:w="640" w:type="dxa"/>
            <w:vAlign w:val="bottom"/>
            <w:vMerge w:val="restart"/>
            <w:shd w:val="clear" w:color="auto" w:fill="CFF0FC"/>
          </w:tcPr>
          <w:p>
            <w:pPr>
              <w:jc w:val="right"/>
              <w:ind w:right="530"/>
              <w:spacing w:after="0"/>
              <w:rPr>
                <w:sz w:val="20"/>
                <w:szCs w:val="20"/>
                <w:color w:val="auto"/>
              </w:rPr>
            </w:pPr>
            <w:r>
              <w:rPr>
                <w:rFonts w:ascii="Arial" w:cs="Arial" w:eastAsia="Arial" w:hAnsi="Arial"/>
                <w:sz w:val="9"/>
                <w:szCs w:val="9"/>
                <w:color w:val="auto"/>
                <w:w w:val="78"/>
              </w:rPr>
              <w:t>$</w:t>
            </w:r>
          </w:p>
        </w:tc>
        <w:tc>
          <w:tcPr>
            <w:tcW w:w="60" w:type="dxa"/>
            <w:vAlign w:val="bottom"/>
            <w:shd w:val="clear" w:color="auto" w:fill="CFF0FC"/>
          </w:tcPr>
          <w:p>
            <w:pPr>
              <w:spacing w:after="0"/>
              <w:rPr>
                <w:sz w:val="6"/>
                <w:szCs w:val="6"/>
                <w:color w:val="auto"/>
              </w:rPr>
            </w:pP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9"/>
                <w:szCs w:val="9"/>
                <w:color w:val="auto"/>
                <w:w w:val="97"/>
              </w:rPr>
              <w:t>4,783</w:t>
            </w:r>
          </w:p>
        </w:tc>
        <w:tc>
          <w:tcPr>
            <w:tcW w:w="200" w:type="dxa"/>
            <w:vAlign w:val="bottom"/>
            <w:shd w:val="clear" w:color="auto" w:fill="CFF0FC"/>
          </w:tcPr>
          <w:p>
            <w:pPr>
              <w:spacing w:after="0"/>
              <w:rPr>
                <w:sz w:val="6"/>
                <w:szCs w:val="6"/>
                <w:color w:val="auto"/>
              </w:rPr>
            </w:pPr>
          </w:p>
        </w:tc>
        <w:tc>
          <w:tcPr>
            <w:tcW w:w="140" w:type="dxa"/>
            <w:vAlign w:val="bottom"/>
            <w:tcBorders>
              <w:left w:val="single" w:sz="8" w:color="auto"/>
            </w:tcBorders>
            <w:shd w:val="clear" w:color="auto" w:fill="CFF0FC"/>
          </w:tcPr>
          <w:p>
            <w:pPr>
              <w:spacing w:after="0"/>
              <w:rPr>
                <w:sz w:val="6"/>
                <w:szCs w:val="6"/>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40" w:type="dxa"/>
            <w:vAlign w:val="bottom"/>
            <w:vMerge w:val="restart"/>
            <w:shd w:val="clear" w:color="auto" w:fill="CFF0FC"/>
          </w:tcPr>
          <w:p>
            <w:pPr>
              <w:spacing w:after="0"/>
              <w:rPr>
                <w:sz w:val="6"/>
                <w:szCs w:val="6"/>
                <w:color w:val="auto"/>
              </w:rPr>
            </w:pPr>
          </w:p>
        </w:tc>
        <w:tc>
          <w:tcPr>
            <w:tcW w:w="180" w:type="dxa"/>
            <w:vAlign w:val="bottom"/>
            <w:vMerge w:val="restart"/>
            <w:shd w:val="clear" w:color="auto" w:fill="CFF0FC"/>
          </w:tcPr>
          <w:p>
            <w:pPr>
              <w:spacing w:after="0"/>
              <w:rPr>
                <w:sz w:val="6"/>
                <w:szCs w:val="6"/>
                <w:color w:val="auto"/>
              </w:rPr>
            </w:pPr>
          </w:p>
        </w:tc>
        <w:tc>
          <w:tcPr>
            <w:tcW w:w="6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200" w:type="dxa"/>
            <w:vAlign w:val="bottom"/>
            <w:shd w:val="clear" w:color="auto" w:fill="CFF0FC"/>
          </w:tcPr>
          <w:p>
            <w:pPr>
              <w:spacing w:after="0"/>
              <w:rPr>
                <w:sz w:val="6"/>
                <w:szCs w:val="6"/>
                <w:color w:val="auto"/>
              </w:rPr>
            </w:pPr>
          </w:p>
        </w:tc>
        <w:tc>
          <w:tcPr>
            <w:tcW w:w="480" w:type="dxa"/>
            <w:vAlign w:val="bottom"/>
            <w:shd w:val="clear" w:color="auto" w:fill="CFF0FC"/>
          </w:tcPr>
          <w:p>
            <w:pPr>
              <w:jc w:val="right"/>
              <w:spacing w:after="0" w:line="75" w:lineRule="exact"/>
              <w:rPr>
                <w:sz w:val="20"/>
                <w:szCs w:val="20"/>
                <w:color w:val="auto"/>
              </w:rPr>
            </w:pPr>
            <w:r>
              <w:rPr>
                <w:rFonts w:ascii="Arial" w:cs="Arial" w:eastAsia="Arial" w:hAnsi="Arial"/>
                <w:sz w:val="8"/>
                <w:szCs w:val="8"/>
                <w:color w:val="auto"/>
              </w:rPr>
              <w:t>6,035,86</w:t>
            </w:r>
          </w:p>
        </w:tc>
        <w:tc>
          <w:tcPr>
            <w:tcW w:w="200" w:type="dxa"/>
            <w:vAlign w:val="bottom"/>
            <w:tcBorders>
              <w:left w:val="single" w:sz="8" w:color="CFF0FC"/>
            </w:tcBorders>
            <w:shd w:val="clear" w:color="auto" w:fill="CFF0FC"/>
          </w:tcPr>
          <w:p>
            <w:pPr>
              <w:spacing w:after="0"/>
              <w:rPr>
                <w:sz w:val="6"/>
                <w:szCs w:val="6"/>
                <w:color w:val="auto"/>
              </w:rPr>
            </w:pPr>
          </w:p>
        </w:tc>
        <w:tc>
          <w:tcPr>
            <w:tcW w:w="6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2,000</w:t>
            </w:r>
          </w:p>
        </w:tc>
        <w:tc>
          <w:tcPr>
            <w:tcW w:w="200" w:type="dxa"/>
            <w:vAlign w:val="bottom"/>
            <w:shd w:val="clear" w:color="auto" w:fill="CFF0FC"/>
          </w:tcPr>
          <w:p>
            <w:pPr>
              <w:spacing w:after="0"/>
              <w:rPr>
                <w:sz w:val="6"/>
                <w:szCs w:val="6"/>
                <w:color w:val="auto"/>
              </w:rPr>
            </w:pPr>
          </w:p>
        </w:tc>
        <w:tc>
          <w:tcPr>
            <w:tcW w:w="480" w:type="dxa"/>
            <w:vAlign w:val="bottom"/>
            <w:shd w:val="clear" w:color="auto" w:fill="CFF0FC"/>
          </w:tcPr>
          <w:p>
            <w:pPr>
              <w:jc w:val="right"/>
              <w:spacing w:after="0" w:line="75" w:lineRule="exact"/>
              <w:rPr>
                <w:sz w:val="20"/>
                <w:szCs w:val="20"/>
                <w:color w:val="auto"/>
              </w:rPr>
            </w:pPr>
            <w:r>
              <w:rPr>
                <w:rFonts w:ascii="Arial" w:cs="Arial" w:eastAsia="Arial" w:hAnsi="Arial"/>
                <w:sz w:val="8"/>
                <w:szCs w:val="8"/>
                <w:color w:val="auto"/>
              </w:rPr>
              <w:t>4,986,35</w:t>
            </w:r>
          </w:p>
        </w:tc>
        <w:tc>
          <w:tcPr>
            <w:tcW w:w="200" w:type="dxa"/>
            <w:vAlign w:val="bottom"/>
            <w:shd w:val="clear" w:color="auto" w:fill="CFF0FC"/>
          </w:tcPr>
          <w:p>
            <w:pPr>
              <w:spacing w:after="0"/>
              <w:rPr>
                <w:sz w:val="6"/>
                <w:szCs w:val="6"/>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gridSpan w:val="2"/>
            <w:vMerge w:val="restart"/>
            <w:shd w:val="clear" w:color="auto" w:fill="CFF0FC"/>
          </w:tcPr>
          <w:p>
            <w:pPr>
              <w:jc w:val="right"/>
              <w:spacing w:after="0"/>
              <w:rPr>
                <w:sz w:val="20"/>
                <w:szCs w:val="20"/>
                <w:color w:val="auto"/>
              </w:rPr>
            </w:pPr>
            <w:r>
              <w:rPr>
                <w:rFonts w:ascii="Arial" w:cs="Arial" w:eastAsia="Arial" w:hAnsi="Arial"/>
                <w:sz w:val="9"/>
                <w:szCs w:val="9"/>
                <w:color w:val="auto"/>
              </w:rPr>
              <w:t>1,175</w:t>
            </w:r>
          </w:p>
        </w:tc>
        <w:tc>
          <w:tcPr>
            <w:tcW w:w="200" w:type="dxa"/>
            <w:vAlign w:val="bottom"/>
            <w:tcBorders>
              <w:left w:val="single" w:sz="8" w:color="CFF0FC"/>
            </w:tcBorders>
            <w:vMerge w:val="restart"/>
            <w:shd w:val="clear" w:color="auto" w:fill="CFF0FC"/>
          </w:tcPr>
          <w:p>
            <w:pPr>
              <w:spacing w:after="0"/>
              <w:rPr>
                <w:sz w:val="6"/>
                <w:szCs w:val="6"/>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200" w:type="dxa"/>
            <w:vAlign w:val="bottom"/>
            <w:tcBorders>
              <w:left w:val="single" w:sz="8" w:color="CFF0FC"/>
            </w:tcBorders>
            <w:vMerge w:val="restart"/>
            <w:shd w:val="clear" w:color="auto" w:fill="CFF0FC"/>
          </w:tcPr>
          <w:p>
            <w:pPr>
              <w:spacing w:after="0"/>
              <w:rPr>
                <w:sz w:val="6"/>
                <w:szCs w:val="6"/>
                <w:color w:val="auto"/>
              </w:rPr>
            </w:pPr>
          </w:p>
        </w:tc>
        <w:tc>
          <w:tcPr>
            <w:tcW w:w="300" w:type="dxa"/>
            <w:vAlign w:val="bottom"/>
            <w:vMerge w:val="restart"/>
            <w:shd w:val="clear" w:color="auto" w:fill="CFF0FC"/>
          </w:tcPr>
          <w:p>
            <w:pPr>
              <w:jc w:val="right"/>
              <w:ind w:right="190"/>
              <w:spacing w:after="0"/>
              <w:rPr>
                <w:sz w:val="20"/>
                <w:szCs w:val="20"/>
                <w:color w:val="auto"/>
              </w:rPr>
            </w:pPr>
            <w:r>
              <w:rPr>
                <w:rFonts w:ascii="Arial" w:cs="Arial" w:eastAsia="Arial" w:hAnsi="Arial"/>
                <w:sz w:val="9"/>
                <w:szCs w:val="9"/>
                <w:color w:val="auto"/>
                <w:w w:val="78"/>
              </w:rPr>
              <w:t>$</w:t>
            </w:r>
          </w:p>
        </w:tc>
        <w:tc>
          <w:tcPr>
            <w:tcW w:w="80" w:type="dxa"/>
            <w:vAlign w:val="bottom"/>
            <w:shd w:val="clear" w:color="auto" w:fill="CFF0FC"/>
          </w:tcPr>
          <w:p>
            <w:pPr>
              <w:spacing w:after="0"/>
              <w:rPr>
                <w:sz w:val="6"/>
                <w:szCs w:val="6"/>
                <w:color w:val="auto"/>
              </w:rPr>
            </w:pPr>
          </w:p>
        </w:tc>
        <w:tc>
          <w:tcPr>
            <w:tcW w:w="520" w:type="dxa"/>
            <w:vAlign w:val="bottom"/>
            <w:gridSpan w:val="3"/>
            <w:vMerge w:val="restart"/>
            <w:shd w:val="clear" w:color="auto" w:fill="CFF0FC"/>
          </w:tcPr>
          <w:p>
            <w:pPr>
              <w:jc w:val="right"/>
              <w:ind w:right="160"/>
              <w:spacing w:after="0"/>
              <w:rPr>
                <w:sz w:val="20"/>
                <w:szCs w:val="20"/>
                <w:color w:val="auto"/>
              </w:rPr>
            </w:pPr>
            <w:r>
              <w:rPr>
                <w:rFonts w:ascii="Arial" w:cs="Arial" w:eastAsia="Arial" w:hAnsi="Arial"/>
                <w:sz w:val="9"/>
                <w:szCs w:val="9"/>
                <w:color w:val="auto"/>
                <w:w w:val="94"/>
              </w:rPr>
              <w:t>(72,024 )</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9"/>
                <w:szCs w:val="9"/>
                <w:color w:val="auto"/>
              </w:rPr>
              <w:t>(68,849 )</w:t>
            </w:r>
          </w:p>
        </w:tc>
        <w:tc>
          <w:tcPr>
            <w:tcW w:w="0" w:type="dxa"/>
            <w:vAlign w:val="bottom"/>
          </w:tcPr>
          <w:p>
            <w:pPr>
              <w:spacing w:after="0"/>
              <w:rPr>
                <w:sz w:val="1"/>
                <w:szCs w:val="1"/>
                <w:color w:val="auto"/>
              </w:rPr>
            </w:pPr>
          </w:p>
        </w:tc>
      </w:tr>
      <w:tr>
        <w:trPr>
          <w:trHeight w:val="148"/>
        </w:trPr>
        <w:tc>
          <w:tcPr>
            <w:tcW w:w="18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9"/>
                <w:szCs w:val="9"/>
                <w:color w:val="auto"/>
              </w:rPr>
              <w:t>8</w:t>
            </w:r>
          </w:p>
        </w:tc>
        <w:tc>
          <w:tcPr>
            <w:tcW w:w="240" w:type="dxa"/>
            <w:vAlign w:val="bottom"/>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gridSpan w:val="2"/>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tcBorders>
              <w:left w:val="single" w:sz="8" w:color="auto"/>
            </w:tcBorders>
            <w:shd w:val="clear" w:color="auto" w:fill="CFF0FC"/>
          </w:tcPr>
          <w:p>
            <w:pPr>
              <w:spacing w:after="0"/>
              <w:rPr>
                <w:sz w:val="12"/>
                <w:szCs w:val="12"/>
                <w:color w:val="auto"/>
              </w:rPr>
            </w:pPr>
          </w:p>
        </w:tc>
        <w:tc>
          <w:tcPr>
            <w:tcW w:w="500" w:type="dxa"/>
            <w:vAlign w:val="bottom"/>
            <w:vMerge w:val="continue"/>
            <w:shd w:val="clear" w:color="auto" w:fill="CFF0FC"/>
          </w:tcPr>
          <w:p>
            <w:pPr>
              <w:spacing w:after="0"/>
              <w:rPr>
                <w:sz w:val="12"/>
                <w:szCs w:val="12"/>
                <w:color w:val="auto"/>
              </w:rPr>
            </w:pPr>
          </w:p>
        </w:tc>
        <w:tc>
          <w:tcPr>
            <w:tcW w:w="40" w:type="dxa"/>
            <w:vAlign w:val="bottom"/>
            <w:vMerge w:val="continue"/>
            <w:shd w:val="clear" w:color="auto" w:fill="CFF0FC"/>
          </w:tcPr>
          <w:p>
            <w:pPr>
              <w:spacing w:after="0"/>
              <w:rPr>
                <w:sz w:val="12"/>
                <w:szCs w:val="12"/>
                <w:color w:val="auto"/>
              </w:rPr>
            </w:pPr>
          </w:p>
        </w:tc>
        <w:tc>
          <w:tcPr>
            <w:tcW w:w="180" w:type="dxa"/>
            <w:vAlign w:val="bottom"/>
            <w:vMerge w:val="continue"/>
            <w:shd w:val="clear" w:color="auto" w:fill="CFF0FC"/>
          </w:tcPr>
          <w:p>
            <w:pPr>
              <w:spacing w:after="0"/>
              <w:rPr>
                <w:sz w:val="12"/>
                <w:szCs w:val="12"/>
                <w:color w:val="auto"/>
              </w:rPr>
            </w:pPr>
          </w:p>
        </w:tc>
        <w:tc>
          <w:tcPr>
            <w:tcW w:w="60" w:type="dxa"/>
            <w:vAlign w:val="bottom"/>
            <w:vMerge w:val="continue"/>
            <w:shd w:val="clear" w:color="auto" w:fill="CFF0FC"/>
          </w:tcPr>
          <w:p>
            <w:pPr>
              <w:spacing w:after="0"/>
              <w:rPr>
                <w:sz w:val="12"/>
                <w:szCs w:val="12"/>
                <w:color w:val="auto"/>
              </w:rPr>
            </w:pPr>
          </w:p>
        </w:tc>
        <w:tc>
          <w:tcPr>
            <w:tcW w:w="38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9</w:t>
            </w:r>
          </w:p>
        </w:tc>
        <w:tc>
          <w:tcPr>
            <w:tcW w:w="200" w:type="dxa"/>
            <w:vAlign w:val="bottom"/>
            <w:tcBorders>
              <w:left w:val="single" w:sz="8" w:color="CFF0FC"/>
            </w:tcBorders>
            <w:shd w:val="clear" w:color="auto" w:fill="CFF0FC"/>
          </w:tcPr>
          <w:p>
            <w:pPr>
              <w:spacing w:after="0"/>
              <w:rPr>
                <w:sz w:val="12"/>
                <w:szCs w:val="12"/>
                <w:color w:val="auto"/>
              </w:rPr>
            </w:pPr>
          </w:p>
        </w:tc>
        <w:tc>
          <w:tcPr>
            <w:tcW w:w="60" w:type="dxa"/>
            <w:vAlign w:val="bottom"/>
            <w:vMerge w:val="continue"/>
            <w:shd w:val="clear" w:color="auto" w:fill="CFF0FC"/>
          </w:tcPr>
          <w:p>
            <w:pPr>
              <w:spacing w:after="0"/>
              <w:rPr>
                <w:sz w:val="12"/>
                <w:szCs w:val="12"/>
                <w:color w:val="auto"/>
              </w:rPr>
            </w:pPr>
          </w:p>
        </w:tc>
        <w:tc>
          <w:tcPr>
            <w:tcW w:w="36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2</w:t>
            </w:r>
          </w:p>
        </w:tc>
        <w:tc>
          <w:tcPr>
            <w:tcW w:w="200" w:type="dxa"/>
            <w:vAlign w:val="bottom"/>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320" w:type="dxa"/>
            <w:vAlign w:val="bottom"/>
            <w:gridSpan w:val="2"/>
            <w:vMerge w:val="continue"/>
            <w:shd w:val="clear" w:color="auto" w:fill="CFF0FC"/>
          </w:tcPr>
          <w:p>
            <w:pPr>
              <w:spacing w:after="0"/>
              <w:rPr>
                <w:sz w:val="12"/>
                <w:szCs w:val="12"/>
                <w:color w:val="auto"/>
              </w:rPr>
            </w:pPr>
          </w:p>
        </w:tc>
        <w:tc>
          <w:tcPr>
            <w:tcW w:w="200" w:type="dxa"/>
            <w:vAlign w:val="bottom"/>
            <w:tcBorders>
              <w:left w:val="single" w:sz="8" w:color="CFF0FC"/>
            </w:tcBorders>
            <w:vMerge w:val="continue"/>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560" w:type="dxa"/>
            <w:vAlign w:val="bottom"/>
            <w:vMerge w:val="continue"/>
            <w:shd w:val="clear" w:color="auto" w:fill="CFF0FC"/>
          </w:tcPr>
          <w:p>
            <w:pPr>
              <w:spacing w:after="0"/>
              <w:rPr>
                <w:sz w:val="12"/>
                <w:szCs w:val="12"/>
                <w:color w:val="auto"/>
              </w:rPr>
            </w:pPr>
          </w:p>
        </w:tc>
        <w:tc>
          <w:tcPr>
            <w:tcW w:w="200" w:type="dxa"/>
            <w:vAlign w:val="bottom"/>
            <w:tcBorders>
              <w:left w:val="single" w:sz="8" w:color="CFF0FC"/>
            </w:tcBorders>
            <w:vMerge w:val="continue"/>
            <w:shd w:val="clear" w:color="auto" w:fill="CFF0FC"/>
          </w:tcPr>
          <w:p>
            <w:pPr>
              <w:spacing w:after="0"/>
              <w:rPr>
                <w:sz w:val="12"/>
                <w:szCs w:val="12"/>
                <w:color w:val="auto"/>
              </w:rPr>
            </w:pPr>
          </w:p>
        </w:tc>
        <w:tc>
          <w:tcPr>
            <w:tcW w:w="30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gridSpan w:val="3"/>
            <w:vMerge w:val="continue"/>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8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820" w:type="dxa"/>
            <w:vAlign w:val="bottom"/>
            <w:tcBorders>
              <w:top w:val="single" w:sz="8" w:color="CFF0FC"/>
            </w:tcBorders>
          </w:tcPr>
          <w:p>
            <w:pPr>
              <w:ind w:left="20"/>
              <w:spacing w:after="0" w:line="62" w:lineRule="exact"/>
              <w:rPr>
                <w:sz w:val="20"/>
                <w:szCs w:val="20"/>
                <w:color w:val="auto"/>
              </w:rPr>
            </w:pPr>
            <w:r>
              <w:rPr>
                <w:rFonts w:ascii="Arial" w:cs="Arial" w:eastAsia="Arial" w:hAnsi="Arial"/>
                <w:sz w:val="7"/>
                <w:szCs w:val="7"/>
                <w:color w:val="auto"/>
              </w:rPr>
              <w:t>Issuance of incentive shares</w:t>
            </w: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rPr>
              <w:t>—</w:t>
            </w:r>
          </w:p>
        </w:tc>
        <w:tc>
          <w:tcPr>
            <w:tcW w:w="240" w:type="dxa"/>
            <w:vAlign w:val="bottom"/>
            <w:tcBorders>
              <w:top w:val="single" w:sz="8" w:color="CFF0FC"/>
            </w:tcBorders>
            <w:vMerge w:val="restart"/>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w w:val="74"/>
              </w:rPr>
              <w:t>—</w:t>
            </w:r>
          </w:p>
        </w:tc>
        <w:tc>
          <w:tcPr>
            <w:tcW w:w="140" w:type="dxa"/>
            <w:vAlign w:val="bottom"/>
            <w:tcBorders>
              <w:top w:val="single" w:sz="8" w:color="CFF0FC"/>
            </w:tcBorders>
            <w:vMerge w:val="restart"/>
          </w:tcPr>
          <w:p>
            <w:pPr>
              <w:spacing w:after="0"/>
              <w:rPr>
                <w:sz w:val="5"/>
                <w:szCs w:val="5"/>
                <w:color w:val="auto"/>
              </w:rPr>
            </w:pPr>
          </w:p>
        </w:tc>
        <w:tc>
          <w:tcPr>
            <w:tcW w:w="80" w:type="dxa"/>
            <w:vAlign w:val="bottom"/>
            <w:tcBorders>
              <w:top w:val="single" w:sz="8" w:color="CFF0FC"/>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tcBorders>
              <w:top w:val="single" w:sz="8" w:color="CFF0FC"/>
            </w:tcBorders>
            <w:vMerge w:val="restart"/>
          </w:tcPr>
          <w:p>
            <w:pPr>
              <w:spacing w:after="0"/>
              <w:rPr>
                <w:sz w:val="5"/>
                <w:szCs w:val="5"/>
                <w:color w:val="auto"/>
              </w:rPr>
            </w:pPr>
          </w:p>
        </w:tc>
        <w:tc>
          <w:tcPr>
            <w:tcW w:w="140" w:type="dxa"/>
            <w:vAlign w:val="bottom"/>
            <w:tcBorders>
              <w:top w:val="single" w:sz="8" w:color="CFF0FC"/>
              <w:left w:val="single" w:sz="8" w:color="auto"/>
            </w:tcBorders>
          </w:tcPr>
          <w:p>
            <w:pPr>
              <w:spacing w:after="0"/>
              <w:rPr>
                <w:sz w:val="5"/>
                <w:szCs w:val="5"/>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rPr>
              <w:t>—</w:t>
            </w:r>
          </w:p>
        </w:tc>
        <w:tc>
          <w:tcPr>
            <w:tcW w:w="40" w:type="dxa"/>
            <w:vAlign w:val="bottom"/>
            <w:tcBorders>
              <w:top w:val="single" w:sz="8" w:color="CFF0FC"/>
            </w:tcBorders>
            <w:vMerge w:val="restart"/>
          </w:tcPr>
          <w:p>
            <w:pPr>
              <w:spacing w:after="0"/>
              <w:rPr>
                <w:sz w:val="5"/>
                <w:szCs w:val="5"/>
                <w:color w:val="auto"/>
              </w:rPr>
            </w:pPr>
          </w:p>
        </w:tc>
        <w:tc>
          <w:tcPr>
            <w:tcW w:w="180" w:type="dxa"/>
            <w:vAlign w:val="bottom"/>
            <w:tcBorders>
              <w:top w:val="single" w:sz="8" w:color="CFF0FC"/>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tcBorders>
              <w:top w:val="single" w:sz="8" w:color="CFF0FC"/>
            </w:tcBorders>
          </w:tcPr>
          <w:p>
            <w:pPr>
              <w:spacing w:after="0"/>
              <w:rPr>
                <w:sz w:val="5"/>
                <w:szCs w:val="5"/>
                <w:color w:val="auto"/>
              </w:rPr>
            </w:pP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tcBorders>
              <w:top w:val="single" w:sz="8" w:color="CFF0FC"/>
            </w:tcBorders>
            <w:vMerge w:val="restart"/>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tcBorders>
              <w:top w:val="single" w:sz="8" w:color="CFF0FC"/>
            </w:tcBorders>
            <w:vMerge w:val="restart"/>
          </w:tcPr>
          <w:p>
            <w:pPr>
              <w:spacing w:after="0"/>
              <w:rPr>
                <w:sz w:val="5"/>
                <w:szCs w:val="5"/>
                <w:color w:val="auto"/>
              </w:rPr>
            </w:pPr>
          </w:p>
        </w:tc>
        <w:tc>
          <w:tcPr>
            <w:tcW w:w="480" w:type="dxa"/>
            <w:vAlign w:val="bottom"/>
            <w:tcBorders>
              <w:top w:val="single" w:sz="8" w:color="auto"/>
            </w:tcBorders>
          </w:tcPr>
          <w:p>
            <w:pPr>
              <w:jc w:val="right"/>
              <w:spacing w:after="0" w:line="62" w:lineRule="exact"/>
              <w:rPr>
                <w:sz w:val="20"/>
                <w:szCs w:val="20"/>
                <w:color w:val="auto"/>
              </w:rPr>
            </w:pPr>
            <w:r>
              <w:rPr>
                <w:rFonts w:ascii="Arial" w:cs="Arial" w:eastAsia="Arial" w:hAnsi="Arial"/>
                <w:sz w:val="7"/>
                <w:szCs w:val="7"/>
                <w:color w:val="auto"/>
              </w:rPr>
              <w:t>2,085,46</w:t>
            </w:r>
          </w:p>
        </w:tc>
        <w:tc>
          <w:tcPr>
            <w:tcW w:w="200" w:type="dxa"/>
            <w:vAlign w:val="bottom"/>
            <w:tcBorders>
              <w:top w:val="single" w:sz="8" w:color="CFF0FC"/>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tcBorders>
              <w:top w:val="single" w:sz="8" w:color="CFF0FC"/>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tcBorders>
              <w:top w:val="single" w:sz="8" w:color="CFF0FC"/>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tcBorders>
              <w:top w:val="single" w:sz="8" w:color="CFF0FC"/>
            </w:tcBorders>
            <w:vMerge w:val="restart"/>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top w:val="single" w:sz="8" w:color="CFF0FC"/>
            </w:tcBorders>
            <w:vMerge w:val="restart"/>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40" w:type="dxa"/>
            <w:vAlign w:val="bottom"/>
            <w:tcBorders>
              <w:left w:val="single" w:sz="8" w:color="auto"/>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0</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20" w:type="dxa"/>
            <w:vAlign w:val="bottom"/>
            <w:shd w:val="clear" w:color="auto" w:fill="CFF0FC"/>
          </w:tcPr>
          <w:p>
            <w:pPr>
              <w:ind w:left="20"/>
              <w:spacing w:after="0"/>
              <w:rPr>
                <w:sz w:val="20"/>
                <w:szCs w:val="20"/>
                <w:color w:val="auto"/>
              </w:rPr>
            </w:pPr>
            <w:r>
              <w:rPr>
                <w:rFonts w:ascii="Arial" w:cs="Arial" w:eastAsia="Arial" w:hAnsi="Arial"/>
                <w:sz w:val="9"/>
                <w:szCs w:val="9"/>
                <w:color w:val="auto"/>
              </w:rPr>
              <w:t>Cancellations of incentive shares</w:t>
            </w: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40" w:type="dxa"/>
            <w:vAlign w:val="bottom"/>
            <w:gridSpan w:val="2"/>
            <w:shd w:val="clear" w:color="auto" w:fill="CFF0FC"/>
          </w:tcPr>
          <w:p>
            <w:pPr>
              <w:jc w:val="right"/>
              <w:ind w:right="160"/>
              <w:spacing w:after="0"/>
              <w:rPr>
                <w:sz w:val="20"/>
                <w:szCs w:val="20"/>
                <w:color w:val="auto"/>
              </w:rPr>
            </w:pPr>
            <w:r>
              <w:rPr>
                <w:rFonts w:ascii="Arial" w:cs="Arial" w:eastAsia="Arial" w:hAnsi="Arial"/>
                <w:sz w:val="8"/>
                <w:szCs w:val="8"/>
                <w:color w:val="auto"/>
                <w:w w:val="74"/>
              </w:rPr>
              <w:t>—</w:t>
            </w:r>
          </w:p>
        </w:tc>
        <w:tc>
          <w:tcPr>
            <w:tcW w:w="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60" w:type="dxa"/>
            <w:vAlign w:val="bottom"/>
            <w:gridSpan w:val="3"/>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140" w:type="dxa"/>
            <w:vAlign w:val="bottom"/>
            <w:tcBorders>
              <w:left w:val="single" w:sz="8" w:color="auto"/>
            </w:tcBorders>
            <w:shd w:val="clear" w:color="auto" w:fill="CFF0FC"/>
          </w:tcPr>
          <w:p>
            <w:pPr>
              <w:spacing w:after="0"/>
              <w:rPr>
                <w:sz w:val="9"/>
                <w:szCs w:val="9"/>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9"/>
                <w:szCs w:val="9"/>
                <w:color w:val="auto"/>
              </w:rPr>
              <w:t>—</w:t>
            </w:r>
          </w:p>
        </w:tc>
        <w:tc>
          <w:tcPr>
            <w:tcW w:w="1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20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60" w:type="dxa"/>
            <w:vAlign w:val="bottom"/>
            <w:shd w:val="clear" w:color="auto" w:fill="CFF0FC"/>
          </w:tcPr>
          <w:p>
            <w:pPr>
              <w:spacing w:after="0"/>
              <w:rPr>
                <w:sz w:val="9"/>
                <w:szCs w:val="9"/>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9"/>
                <w:szCs w:val="9"/>
                <w:color w:val="auto"/>
              </w:rPr>
              <w:t>(265,596 )</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200" w:type="dxa"/>
            <w:vAlign w:val="bottom"/>
            <w:tcBorders>
              <w:lef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200" w:type="dxa"/>
            <w:vAlign w:val="bottom"/>
            <w:tcBorders>
              <w:left w:val="single" w:sz="8" w:color="CFF0FC"/>
            </w:tcBorders>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1"/>
        </w:trPr>
        <w:tc>
          <w:tcPr>
            <w:tcW w:w="1820" w:type="dxa"/>
            <w:vAlign w:val="bottom"/>
          </w:tcPr>
          <w:p>
            <w:pPr>
              <w:ind w:left="20"/>
              <w:spacing w:after="0" w:line="81" w:lineRule="exact"/>
              <w:rPr>
                <w:sz w:val="20"/>
                <w:szCs w:val="20"/>
                <w:color w:val="auto"/>
              </w:rPr>
            </w:pPr>
            <w:r>
              <w:rPr>
                <w:rFonts w:ascii="Arial" w:cs="Arial" w:eastAsia="Arial" w:hAnsi="Arial"/>
                <w:sz w:val="9"/>
                <w:szCs w:val="9"/>
                <w:color w:val="auto"/>
              </w:rPr>
              <w:t>Net loss attributable to Day One</w:t>
            </w: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lef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820" w:type="dxa"/>
            <w:vAlign w:val="bottom"/>
          </w:tcPr>
          <w:p>
            <w:pPr>
              <w:ind w:left="80"/>
              <w:spacing w:after="0" w:line="81" w:lineRule="exact"/>
              <w:rPr>
                <w:sz w:val="20"/>
                <w:szCs w:val="20"/>
                <w:color w:val="auto"/>
              </w:rPr>
            </w:pPr>
            <w:r>
              <w:rPr>
                <w:rFonts w:ascii="Arial" w:cs="Arial" w:eastAsia="Arial" w:hAnsi="Arial"/>
                <w:sz w:val="9"/>
                <w:szCs w:val="9"/>
                <w:color w:val="auto"/>
              </w:rPr>
              <w:t>Biopharmaceuticals Holding</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gridSpan w:val="2"/>
            <w:vMerge w:val="restart"/>
          </w:tcPr>
          <w:p>
            <w:pPr>
              <w:jc w:val="right"/>
              <w:ind w:right="160"/>
              <w:spacing w:after="0"/>
              <w:rPr>
                <w:sz w:val="20"/>
                <w:szCs w:val="20"/>
                <w:color w:val="auto"/>
              </w:rPr>
            </w:pPr>
            <w:r>
              <w:rPr>
                <w:rFonts w:ascii="Arial" w:cs="Arial" w:eastAsia="Arial" w:hAnsi="Arial"/>
                <w:sz w:val="8"/>
                <w:szCs w:val="8"/>
                <w:color w:val="auto"/>
                <w:w w:val="74"/>
              </w:rPr>
              <w:t>—</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gridSpan w:val="3"/>
            <w:vMerge w:val="restart"/>
          </w:tcPr>
          <w:p>
            <w:pPr>
              <w:jc w:val="right"/>
              <w:ind w:right="160"/>
              <w:spacing w:after="0"/>
              <w:rPr>
                <w:sz w:val="20"/>
                <w:szCs w:val="20"/>
                <w:color w:val="auto"/>
              </w:rPr>
            </w:pPr>
            <w:r>
              <w:rPr>
                <w:rFonts w:ascii="Arial" w:cs="Arial" w:eastAsia="Arial" w:hAnsi="Arial"/>
                <w:sz w:val="9"/>
                <w:szCs w:val="9"/>
                <w:color w:val="auto"/>
                <w:w w:val="90"/>
              </w:rPr>
              <w:t>(1,191 )</w:t>
            </w:r>
          </w:p>
        </w:tc>
        <w:tc>
          <w:tcPr>
            <w:tcW w:w="140" w:type="dxa"/>
            <w:vAlign w:val="bottom"/>
            <w:tcBorders>
              <w:left w:val="single" w:sz="8" w:color="auto"/>
            </w:tcBorders>
          </w:tcPr>
          <w:p>
            <w:pPr>
              <w:spacing w:after="0"/>
              <w:rPr>
                <w:sz w:val="7"/>
                <w:szCs w:val="7"/>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7"/>
                <w:szCs w:val="7"/>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1820" w:type="dxa"/>
            <w:vAlign w:val="bottom"/>
          </w:tcPr>
          <w:p>
            <w:pPr>
              <w:ind w:left="80"/>
              <w:spacing w:after="0"/>
              <w:rPr>
                <w:sz w:val="20"/>
                <w:szCs w:val="20"/>
                <w:color w:val="auto"/>
              </w:rPr>
            </w:pPr>
            <w:r>
              <w:rPr>
                <w:rFonts w:ascii="Arial" w:cs="Arial" w:eastAsia="Arial" w:hAnsi="Arial"/>
                <w:sz w:val="9"/>
                <w:szCs w:val="9"/>
                <w:color w:val="auto"/>
              </w:rPr>
              <w:t>Company, LLC members</w:t>
            </w:r>
          </w:p>
        </w:tc>
        <w:tc>
          <w:tcPr>
            <w:tcW w:w="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3"/>
            <w:vMerge w:val="continue"/>
          </w:tcPr>
          <w:p>
            <w:pPr>
              <w:spacing w:after="0"/>
              <w:rPr>
                <w:sz w:val="9"/>
                <w:szCs w:val="9"/>
                <w:color w:val="auto"/>
              </w:rPr>
            </w:pPr>
          </w:p>
        </w:tc>
        <w:tc>
          <w:tcPr>
            <w:tcW w:w="140" w:type="dxa"/>
            <w:vAlign w:val="bottom"/>
            <w:tcBorders>
              <w:left w:val="single" w:sz="8" w:color="auto"/>
            </w:tcBorders>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20" w:type="dxa"/>
            <w:vAlign w:val="bottom"/>
            <w:shd w:val="clear" w:color="auto" w:fill="CFF0FC"/>
          </w:tcPr>
          <w:p>
            <w:pPr>
              <w:ind w:left="20"/>
              <w:spacing w:after="0" w:line="81" w:lineRule="exact"/>
              <w:rPr>
                <w:sz w:val="20"/>
                <w:szCs w:val="20"/>
                <w:color w:val="auto"/>
              </w:rPr>
            </w:pPr>
            <w:r>
              <w:rPr>
                <w:rFonts w:ascii="Arial" w:cs="Arial" w:eastAsia="Arial" w:hAnsi="Arial"/>
                <w:sz w:val="9"/>
                <w:szCs w:val="9"/>
                <w:color w:val="auto"/>
              </w:rPr>
              <w:t>Conversion of redeemable</w:t>
            </w:r>
          </w:p>
        </w:tc>
        <w:tc>
          <w:tcPr>
            <w:tcW w:w="5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40" w:type="dxa"/>
            <w:vAlign w:val="bottom"/>
            <w:tcBorders>
              <w:left w:val="single" w:sz="8" w:color="auto"/>
            </w:tcBorders>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480" w:type="dxa"/>
            <w:vAlign w:val="bottom"/>
            <w:shd w:val="clear" w:color="auto" w:fill="CFF0FC"/>
          </w:tcPr>
          <w:p>
            <w:pPr>
              <w:spacing w:after="0"/>
              <w:rPr>
                <w:sz w:val="7"/>
                <w:szCs w:val="7"/>
                <w:color w:val="auto"/>
              </w:rPr>
            </w:pPr>
          </w:p>
        </w:tc>
        <w:tc>
          <w:tcPr>
            <w:tcW w:w="200" w:type="dxa"/>
            <w:vAlign w:val="bottom"/>
            <w:tcBorders>
              <w:left w:val="single" w:sz="8" w:color="CFF0FC"/>
            </w:tcBorders>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4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200" w:type="dxa"/>
            <w:vAlign w:val="bottom"/>
            <w:tcBorders>
              <w:left w:val="single" w:sz="8" w:color="CFF0FC"/>
            </w:tcBorders>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200" w:type="dxa"/>
            <w:vAlign w:val="bottom"/>
            <w:tcBorders>
              <w:left w:val="single" w:sz="8" w:color="CFF0FC"/>
            </w:tcBorders>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820" w:type="dxa"/>
            <w:vAlign w:val="bottom"/>
            <w:shd w:val="clear" w:color="auto" w:fill="CFF0FC"/>
          </w:tcPr>
          <w:p>
            <w:pPr>
              <w:ind w:left="80"/>
              <w:spacing w:after="0" w:line="81" w:lineRule="exact"/>
              <w:rPr>
                <w:sz w:val="20"/>
                <w:szCs w:val="20"/>
                <w:color w:val="auto"/>
              </w:rPr>
            </w:pPr>
            <w:r>
              <w:rPr>
                <w:rFonts w:ascii="Arial" w:cs="Arial" w:eastAsia="Arial" w:hAnsi="Arial"/>
                <w:sz w:val="9"/>
                <w:szCs w:val="9"/>
                <w:color w:val="auto"/>
              </w:rPr>
              <w:t>convertible preferred, common,</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(32,489,3</w:t>
            </w:r>
          </w:p>
        </w:tc>
        <w:tc>
          <w:tcPr>
            <w:tcW w:w="2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640" w:type="dxa"/>
            <w:vAlign w:val="bottom"/>
            <w:tcBorders>
              <w:left w:val="single" w:sz="8" w:color="auto"/>
            </w:tcBorders>
            <w:gridSpan w:val="2"/>
            <w:vMerge w:val="restart"/>
            <w:shd w:val="clear" w:color="auto" w:fill="CFF0FC"/>
          </w:tcPr>
          <w:p>
            <w:pPr>
              <w:jc w:val="right"/>
              <w:spacing w:after="0"/>
              <w:rPr>
                <w:sz w:val="20"/>
                <w:szCs w:val="20"/>
                <w:color w:val="auto"/>
              </w:rPr>
            </w:pPr>
            <w:r>
              <w:rPr>
                <w:rFonts w:ascii="Arial" w:cs="Arial" w:eastAsia="Arial" w:hAnsi="Arial"/>
                <w:sz w:val="9"/>
                <w:szCs w:val="9"/>
                <w:color w:val="auto"/>
              </w:rPr>
              <w:t>43,958,5</w:t>
            </w:r>
          </w:p>
        </w:tc>
        <w:tc>
          <w:tcPr>
            <w:tcW w:w="4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680" w:type="dxa"/>
            <w:vAlign w:val="bottom"/>
            <w:gridSpan w:val="2"/>
            <w:vMerge w:val="restart"/>
            <w:shd w:val="clear" w:color="auto" w:fill="CFF0FC"/>
          </w:tcPr>
          <w:p>
            <w:pPr>
              <w:jc w:val="right"/>
              <w:spacing w:after="0"/>
              <w:rPr>
                <w:sz w:val="20"/>
                <w:szCs w:val="20"/>
                <w:color w:val="auto"/>
              </w:rPr>
            </w:pPr>
            <w:r>
              <w:rPr>
                <w:rFonts w:ascii="Arial" w:cs="Arial" w:eastAsia="Arial" w:hAnsi="Arial"/>
                <w:sz w:val="9"/>
                <w:szCs w:val="9"/>
                <w:color w:val="auto"/>
              </w:rPr>
              <w:t>(6,035,8</w:t>
            </w:r>
          </w:p>
        </w:tc>
        <w:tc>
          <w:tcPr>
            <w:tcW w:w="200" w:type="dxa"/>
            <w:vAlign w:val="bottom"/>
            <w:tcBorders>
              <w:left w:val="single" w:sz="8" w:color="CFF0FC"/>
            </w:tcBorders>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(6,806,2</w:t>
            </w: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200" w:type="dxa"/>
            <w:vAlign w:val="bottom"/>
            <w:tcBorders>
              <w:left w:val="single" w:sz="8" w:color="CFF0FC"/>
            </w:tcBorders>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200" w:type="dxa"/>
            <w:vAlign w:val="bottom"/>
            <w:tcBorders>
              <w:left w:val="single" w:sz="8" w:color="CFF0FC"/>
            </w:tcBorders>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820" w:type="dxa"/>
            <w:vAlign w:val="bottom"/>
            <w:shd w:val="clear" w:color="auto" w:fill="CFF0FC"/>
          </w:tcPr>
          <w:p>
            <w:pPr>
              <w:ind w:left="80"/>
              <w:spacing w:after="0" w:line="81" w:lineRule="exact"/>
              <w:rPr>
                <w:sz w:val="20"/>
                <w:szCs w:val="20"/>
                <w:color w:val="auto"/>
              </w:rPr>
            </w:pPr>
            <w:r>
              <w:rPr>
                <w:rFonts w:ascii="Arial" w:cs="Arial" w:eastAsia="Arial" w:hAnsi="Arial"/>
                <w:sz w:val="9"/>
                <w:szCs w:val="9"/>
                <w:color w:val="auto"/>
              </w:rPr>
              <w:t>and incentive shares into common</w:t>
            </w:r>
          </w:p>
        </w:tc>
        <w:tc>
          <w:tcPr>
            <w:tcW w:w="520" w:type="dxa"/>
            <w:vAlign w:val="bottom"/>
            <w:vMerge w:val="continue"/>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620" w:type="dxa"/>
            <w:vAlign w:val="bottom"/>
            <w:gridSpan w:val="3"/>
            <w:vMerge w:val="restart"/>
            <w:shd w:val="clear" w:color="auto" w:fill="CFF0FC"/>
          </w:tcPr>
          <w:p>
            <w:pPr>
              <w:jc w:val="right"/>
              <w:ind w:right="100"/>
              <w:spacing w:after="0"/>
              <w:rPr>
                <w:sz w:val="20"/>
                <w:szCs w:val="20"/>
                <w:color w:val="auto"/>
              </w:rPr>
            </w:pPr>
            <w:r>
              <w:rPr>
                <w:rFonts w:ascii="Arial" w:cs="Arial" w:eastAsia="Arial" w:hAnsi="Arial"/>
                <w:sz w:val="9"/>
                <w:szCs w:val="9"/>
                <w:color w:val="auto"/>
              </w:rPr>
              <w:t>(221,721 )</w:t>
            </w:r>
          </w:p>
        </w:tc>
        <w:tc>
          <w:tcPr>
            <w:tcW w:w="8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46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tcBorders>
              <w:left w:val="single" w:sz="8" w:color="auto"/>
            </w:tcBorders>
            <w:gridSpan w:val="2"/>
            <w:vMerge w:val="continue"/>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4</w:t>
            </w:r>
          </w:p>
        </w:tc>
        <w:tc>
          <w:tcPr>
            <w:tcW w:w="680" w:type="dxa"/>
            <w:vAlign w:val="bottom"/>
            <w:gridSpan w:val="2"/>
            <w:vMerge w:val="continue"/>
            <w:shd w:val="clear" w:color="auto" w:fill="CFF0FC"/>
          </w:tcPr>
          <w:p>
            <w:pPr>
              <w:spacing w:after="0"/>
              <w:rPr>
                <w:sz w:val="7"/>
                <w:szCs w:val="7"/>
                <w:color w:val="auto"/>
              </w:rPr>
            </w:pPr>
          </w:p>
        </w:tc>
        <w:tc>
          <w:tcPr>
            <w:tcW w:w="200" w:type="dxa"/>
            <w:vAlign w:val="bottom"/>
            <w:tcBorders>
              <w:left w:val="single" w:sz="8" w:color="CFF0FC"/>
            </w:tcBorders>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5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9"/>
                <w:szCs w:val="9"/>
                <w:color w:val="auto"/>
              </w:rPr>
              <w:t>(2,000 )</w:t>
            </w:r>
          </w:p>
        </w:tc>
        <w:tc>
          <w:tcPr>
            <w:tcW w:w="480" w:type="dxa"/>
            <w:vAlign w:val="bottom"/>
            <w:vMerge w:val="continue"/>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320" w:type="dxa"/>
            <w:vAlign w:val="bottom"/>
            <w:gridSpan w:val="2"/>
            <w:vMerge w:val="restart"/>
            <w:shd w:val="clear" w:color="auto" w:fill="CFF0FC"/>
          </w:tcPr>
          <w:p>
            <w:pPr>
              <w:jc w:val="right"/>
              <w:spacing w:after="0"/>
              <w:rPr>
                <w:sz w:val="20"/>
                <w:szCs w:val="20"/>
                <w:color w:val="auto"/>
              </w:rPr>
            </w:pPr>
            <w:r>
              <w:rPr>
                <w:rFonts w:ascii="Arial" w:cs="Arial" w:eastAsia="Arial" w:hAnsi="Arial"/>
                <w:sz w:val="9"/>
                <w:szCs w:val="9"/>
                <w:color w:val="auto"/>
              </w:rPr>
              <w:t>(1,175 )</w:t>
            </w:r>
          </w:p>
        </w:tc>
        <w:tc>
          <w:tcPr>
            <w:tcW w:w="200" w:type="dxa"/>
            <w:vAlign w:val="bottom"/>
            <w:tcBorders>
              <w:left w:val="single" w:sz="8" w:color="CFF0FC"/>
            </w:tcBorders>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224,892</w:t>
            </w:r>
          </w:p>
        </w:tc>
        <w:tc>
          <w:tcPr>
            <w:tcW w:w="200" w:type="dxa"/>
            <w:vAlign w:val="bottom"/>
            <w:tcBorders>
              <w:left w:val="single" w:sz="8" w:color="CFF0FC"/>
            </w:tcBorders>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3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7"/>
                <w:szCs w:val="7"/>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221,721</w:t>
            </w: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820" w:type="dxa"/>
            <w:vAlign w:val="bottom"/>
            <w:shd w:val="clear" w:color="auto" w:fill="CFF0FC"/>
          </w:tcPr>
          <w:p>
            <w:pPr>
              <w:ind w:left="80"/>
              <w:spacing w:after="0"/>
              <w:rPr>
                <w:sz w:val="20"/>
                <w:szCs w:val="20"/>
                <w:color w:val="auto"/>
              </w:rPr>
            </w:pPr>
            <w:r>
              <w:rPr>
                <w:rFonts w:ascii="Arial" w:cs="Arial" w:eastAsia="Arial" w:hAnsi="Arial"/>
                <w:sz w:val="9"/>
                <w:szCs w:val="9"/>
                <w:color w:val="auto"/>
              </w:rPr>
              <w:t>stock</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9"/>
                <w:szCs w:val="9"/>
                <w:color w:val="auto"/>
              </w:rPr>
              <w:t>98 )</w:t>
            </w:r>
          </w:p>
        </w:tc>
        <w:tc>
          <w:tcPr>
            <w:tcW w:w="80" w:type="dxa"/>
            <w:vAlign w:val="bottom"/>
            <w:shd w:val="clear" w:color="auto" w:fill="CFF0FC"/>
          </w:tcPr>
          <w:p>
            <w:pPr>
              <w:spacing w:after="0"/>
              <w:rPr>
                <w:sz w:val="9"/>
                <w:szCs w:val="9"/>
                <w:color w:val="auto"/>
              </w:rPr>
            </w:pPr>
          </w:p>
        </w:tc>
        <w:tc>
          <w:tcPr>
            <w:tcW w:w="620" w:type="dxa"/>
            <w:vAlign w:val="bottom"/>
            <w:gridSpan w:val="3"/>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60" w:type="dxa"/>
            <w:vAlign w:val="bottom"/>
            <w:gridSpan w:val="3"/>
            <w:vMerge w:val="continue"/>
            <w:shd w:val="clear" w:color="auto" w:fill="CFF0FC"/>
          </w:tcPr>
          <w:p>
            <w:pPr>
              <w:spacing w:after="0"/>
              <w:rPr>
                <w:sz w:val="9"/>
                <w:szCs w:val="9"/>
                <w:color w:val="auto"/>
              </w:rPr>
            </w:pPr>
          </w:p>
        </w:tc>
        <w:tc>
          <w:tcPr>
            <w:tcW w:w="640" w:type="dxa"/>
            <w:vAlign w:val="bottom"/>
            <w:tcBorders>
              <w:left w:val="single" w:sz="8" w:color="auto"/>
            </w:tcBorders>
            <w:gridSpan w:val="2"/>
            <w:shd w:val="clear" w:color="auto" w:fill="CFF0FC"/>
          </w:tcPr>
          <w:p>
            <w:pPr>
              <w:jc w:val="right"/>
              <w:spacing w:after="0"/>
              <w:rPr>
                <w:sz w:val="20"/>
                <w:szCs w:val="20"/>
                <w:color w:val="auto"/>
              </w:rPr>
            </w:pPr>
            <w:r>
              <w:rPr>
                <w:rFonts w:ascii="Arial" w:cs="Arial" w:eastAsia="Arial" w:hAnsi="Arial"/>
                <w:sz w:val="9"/>
                <w:szCs w:val="9"/>
                <w:color w:val="auto"/>
              </w:rPr>
              <w:t>57</w:t>
            </w:r>
          </w:p>
        </w:tc>
        <w:tc>
          <w:tcPr>
            <w:tcW w:w="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vMerge w:val="continue"/>
            <w:shd w:val="clear" w:color="auto" w:fill="CFF0FC"/>
          </w:tcPr>
          <w:p>
            <w:pPr>
              <w:spacing w:after="0"/>
              <w:rPr>
                <w:sz w:val="9"/>
                <w:szCs w:val="9"/>
                <w:color w:val="auto"/>
              </w:rPr>
            </w:pPr>
          </w:p>
        </w:tc>
        <w:tc>
          <w:tcPr>
            <w:tcW w:w="880" w:type="dxa"/>
            <w:vAlign w:val="bottom"/>
            <w:gridSpan w:val="3"/>
            <w:shd w:val="clear" w:color="auto" w:fill="CFF0FC"/>
          </w:tcPr>
          <w:p>
            <w:pPr>
              <w:jc w:val="right"/>
              <w:ind w:right="160"/>
              <w:spacing w:after="0"/>
              <w:rPr>
                <w:sz w:val="20"/>
                <w:szCs w:val="20"/>
                <w:color w:val="auto"/>
              </w:rPr>
            </w:pPr>
            <w:r>
              <w:rPr>
                <w:rFonts w:ascii="Arial" w:cs="Arial" w:eastAsia="Arial" w:hAnsi="Arial"/>
                <w:sz w:val="9"/>
                <w:szCs w:val="9"/>
                <w:color w:val="auto"/>
              </w:rPr>
              <w:t>69 )</w:t>
            </w:r>
          </w:p>
        </w:tc>
        <w:tc>
          <w:tcPr>
            <w:tcW w:w="60" w:type="dxa"/>
            <w:vAlign w:val="bottom"/>
            <w:shd w:val="clear" w:color="auto" w:fill="CFF0FC"/>
          </w:tcPr>
          <w:p>
            <w:pPr>
              <w:spacing w:after="0"/>
              <w:rPr>
                <w:sz w:val="9"/>
                <w:szCs w:val="9"/>
                <w:color w:val="auto"/>
              </w:rPr>
            </w:pPr>
          </w:p>
        </w:tc>
        <w:tc>
          <w:tcPr>
            <w:tcW w:w="560" w:type="dxa"/>
            <w:vAlign w:val="bottom"/>
            <w:gridSpan w:val="2"/>
            <w:vMerge w:val="continue"/>
            <w:shd w:val="clear" w:color="auto" w:fill="CFF0FC"/>
          </w:tcPr>
          <w:p>
            <w:pPr>
              <w:spacing w:after="0"/>
              <w:rPr>
                <w:sz w:val="9"/>
                <w:szCs w:val="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9"/>
                <w:szCs w:val="9"/>
                <w:color w:val="auto"/>
              </w:rPr>
              <w:t>16 )</w:t>
            </w:r>
          </w:p>
        </w:tc>
        <w:tc>
          <w:tcPr>
            <w:tcW w:w="100" w:type="dxa"/>
            <w:vAlign w:val="bottom"/>
            <w:shd w:val="clear" w:color="auto" w:fill="CFF0FC"/>
          </w:tcPr>
          <w:p>
            <w:pPr>
              <w:spacing w:after="0"/>
              <w:rPr>
                <w:sz w:val="9"/>
                <w:szCs w:val="9"/>
                <w:color w:val="auto"/>
              </w:rPr>
            </w:pPr>
          </w:p>
        </w:tc>
        <w:tc>
          <w:tcPr>
            <w:tcW w:w="320" w:type="dxa"/>
            <w:vAlign w:val="bottom"/>
            <w:gridSpan w:val="2"/>
            <w:vMerge w:val="continue"/>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vMerge w:val="continue"/>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8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20" w:type="dxa"/>
            <w:vAlign w:val="bottom"/>
          </w:tcPr>
          <w:p>
            <w:pPr>
              <w:ind w:left="20"/>
              <w:spacing w:after="0" w:line="81" w:lineRule="exact"/>
              <w:rPr>
                <w:sz w:val="20"/>
                <w:szCs w:val="20"/>
                <w:color w:val="auto"/>
              </w:rPr>
            </w:pPr>
            <w:r>
              <w:rPr>
                <w:rFonts w:ascii="Arial" w:cs="Arial" w:eastAsia="Arial" w:hAnsi="Arial"/>
                <w:sz w:val="9"/>
                <w:szCs w:val="9"/>
                <w:color w:val="auto"/>
              </w:rPr>
              <w:t>Conversion of redeemable</w:t>
            </w: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Borders>
              <w:left w:val="single" w:sz="8" w:color="auto"/>
            </w:tcBorders>
            <w:gridSpan w:val="2"/>
            <w:vMerge w:val="restart"/>
          </w:tcPr>
          <w:p>
            <w:pPr>
              <w:jc w:val="right"/>
              <w:spacing w:after="0"/>
              <w:rPr>
                <w:sz w:val="20"/>
                <w:szCs w:val="20"/>
                <w:color w:val="auto"/>
              </w:rPr>
            </w:pPr>
            <w:r>
              <w:rPr>
                <w:rFonts w:ascii="Arial" w:cs="Arial" w:eastAsia="Arial" w:hAnsi="Arial"/>
                <w:sz w:val="9"/>
                <w:szCs w:val="9"/>
                <w:color w:val="auto"/>
              </w:rPr>
              <w:t>6,470,38</w:t>
            </w: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820" w:type="dxa"/>
            <w:vAlign w:val="bottom"/>
          </w:tcPr>
          <w:p>
            <w:pPr>
              <w:ind w:left="80"/>
              <w:spacing w:after="0" w:line="81" w:lineRule="exact"/>
              <w:rPr>
                <w:sz w:val="20"/>
                <w:szCs w:val="20"/>
                <w:color w:val="auto"/>
              </w:rPr>
            </w:pPr>
            <w:r>
              <w:rPr>
                <w:rFonts w:ascii="Arial" w:cs="Arial" w:eastAsia="Arial" w:hAnsi="Arial"/>
                <w:sz w:val="9"/>
                <w:szCs w:val="9"/>
                <w:color w:val="auto"/>
              </w:rPr>
              <w:t>noncontrolling interest to common</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gridSpan w:val="2"/>
            <w:vMerge w:val="restart"/>
          </w:tcPr>
          <w:p>
            <w:pPr>
              <w:jc w:val="right"/>
              <w:ind w:right="160"/>
              <w:spacing w:after="0"/>
              <w:rPr>
                <w:sz w:val="20"/>
                <w:szCs w:val="20"/>
                <w:color w:val="auto"/>
              </w:rPr>
            </w:pPr>
            <w:r>
              <w:rPr>
                <w:rFonts w:ascii="Arial" w:cs="Arial" w:eastAsia="Arial" w:hAnsi="Arial"/>
                <w:sz w:val="8"/>
                <w:szCs w:val="8"/>
                <w:color w:val="auto"/>
                <w:w w:val="74"/>
              </w:rPr>
              <w:t>—</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gridSpan w:val="3"/>
            <w:vMerge w:val="restart"/>
          </w:tcPr>
          <w:p>
            <w:pPr>
              <w:jc w:val="right"/>
              <w:ind w:right="160"/>
              <w:spacing w:after="0"/>
              <w:rPr>
                <w:sz w:val="20"/>
                <w:szCs w:val="20"/>
                <w:color w:val="auto"/>
              </w:rPr>
            </w:pPr>
            <w:r>
              <w:rPr>
                <w:rFonts w:ascii="Arial" w:cs="Arial" w:eastAsia="Arial" w:hAnsi="Arial"/>
                <w:sz w:val="9"/>
                <w:szCs w:val="9"/>
                <w:color w:val="auto"/>
                <w:w w:val="90"/>
              </w:rPr>
              <w:t>(3,592 )</w:t>
            </w:r>
          </w:p>
        </w:tc>
        <w:tc>
          <w:tcPr>
            <w:tcW w:w="640" w:type="dxa"/>
            <w:vAlign w:val="bottom"/>
            <w:tcBorders>
              <w:left w:val="single" w:sz="8" w:color="auto"/>
            </w:tcBorders>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vMerge w:val="restart"/>
          </w:tcPr>
          <w:p>
            <w:pPr>
              <w:jc w:val="right"/>
              <w:spacing w:after="0"/>
              <w:rPr>
                <w:sz w:val="20"/>
                <w:szCs w:val="20"/>
                <w:color w:val="auto"/>
              </w:rPr>
            </w:pPr>
            <w:r>
              <w:rPr>
                <w:rFonts w:ascii="Arial" w:cs="Arial" w:eastAsia="Arial" w:hAnsi="Arial"/>
                <w:sz w:val="9"/>
                <w:szCs w:val="9"/>
                <w:color w:val="auto"/>
              </w:rPr>
              <w:t>1</w:t>
            </w:r>
          </w:p>
        </w:tc>
        <w:tc>
          <w:tcPr>
            <w:tcW w:w="200" w:type="dxa"/>
            <w:vAlign w:val="bottom"/>
          </w:tcPr>
          <w:p>
            <w:pPr>
              <w:spacing w:after="0"/>
              <w:rPr>
                <w:sz w:val="7"/>
                <w:szCs w:val="7"/>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Arial" w:cs="Arial" w:eastAsia="Arial" w:hAnsi="Arial"/>
                <w:sz w:val="9"/>
                <w:szCs w:val="9"/>
                <w:color w:val="auto"/>
              </w:rPr>
              <w:t>3,592</w:t>
            </w: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3,592</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820" w:type="dxa"/>
            <w:vAlign w:val="bottom"/>
          </w:tcPr>
          <w:p>
            <w:pPr>
              <w:ind w:left="80"/>
              <w:spacing w:after="0"/>
              <w:rPr>
                <w:sz w:val="20"/>
                <w:szCs w:val="20"/>
                <w:color w:val="auto"/>
              </w:rPr>
            </w:pPr>
            <w:r>
              <w:rPr>
                <w:rFonts w:ascii="Arial" w:cs="Arial" w:eastAsia="Arial" w:hAnsi="Arial"/>
                <w:sz w:val="9"/>
                <w:szCs w:val="9"/>
                <w:color w:val="auto"/>
              </w:rPr>
              <w:t>stock</w:t>
            </w:r>
          </w:p>
        </w:tc>
        <w:tc>
          <w:tcPr>
            <w:tcW w:w="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3"/>
            <w:vMerge w:val="continue"/>
          </w:tcPr>
          <w:p>
            <w:pPr>
              <w:spacing w:after="0"/>
              <w:rPr>
                <w:sz w:val="9"/>
                <w:szCs w:val="9"/>
                <w:color w:val="auto"/>
              </w:rPr>
            </w:pPr>
          </w:p>
        </w:tc>
        <w:tc>
          <w:tcPr>
            <w:tcW w:w="640" w:type="dxa"/>
            <w:vAlign w:val="bottom"/>
            <w:tcBorders>
              <w:left w:val="single" w:sz="8" w:color="auto"/>
            </w:tcBorders>
            <w:gridSpan w:val="2"/>
          </w:tcPr>
          <w:p>
            <w:pPr>
              <w:jc w:val="right"/>
              <w:spacing w:after="0"/>
              <w:rPr>
                <w:sz w:val="20"/>
                <w:szCs w:val="20"/>
                <w:color w:val="auto"/>
              </w:rPr>
            </w:pPr>
            <w:r>
              <w:rPr>
                <w:rFonts w:ascii="Arial" w:cs="Arial" w:eastAsia="Arial" w:hAnsi="Arial"/>
                <w:sz w:val="9"/>
                <w:szCs w:val="9"/>
                <w:color w:val="auto"/>
              </w:rPr>
              <w:t>2</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20" w:type="dxa"/>
            <w:vAlign w:val="bottom"/>
            <w:shd w:val="clear" w:color="auto" w:fill="CFF0FC"/>
          </w:tcPr>
          <w:p>
            <w:pPr>
              <w:ind w:left="20"/>
              <w:spacing w:after="0" w:line="81" w:lineRule="exact"/>
              <w:rPr>
                <w:sz w:val="20"/>
                <w:szCs w:val="20"/>
                <w:color w:val="auto"/>
              </w:rPr>
            </w:pPr>
            <w:r>
              <w:rPr>
                <w:rFonts w:ascii="Arial" w:cs="Arial" w:eastAsia="Arial" w:hAnsi="Arial"/>
                <w:sz w:val="9"/>
                <w:szCs w:val="9"/>
                <w:color w:val="auto"/>
              </w:rPr>
              <w:t>Common stock issued in IPO, net of</w:t>
            </w:r>
          </w:p>
        </w:tc>
        <w:tc>
          <w:tcPr>
            <w:tcW w:w="7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2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8"/>
                <w:szCs w:val="8"/>
                <w:color w:val="auto"/>
                <w:w w:val="74"/>
              </w:rPr>
              <w:t>—</w:t>
            </w:r>
          </w:p>
        </w:tc>
        <w:tc>
          <w:tcPr>
            <w:tcW w:w="8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46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tcBorders>
              <w:left w:val="single" w:sz="8" w:color="auto"/>
            </w:tcBorders>
            <w:gridSpan w:val="2"/>
            <w:shd w:val="clear" w:color="auto" w:fill="CFF0FC"/>
          </w:tcPr>
          <w:p>
            <w:pPr>
              <w:jc w:val="right"/>
              <w:spacing w:after="0" w:line="81" w:lineRule="exact"/>
              <w:rPr>
                <w:sz w:val="20"/>
                <w:szCs w:val="20"/>
                <w:color w:val="auto"/>
              </w:rPr>
            </w:pPr>
            <w:r>
              <w:rPr>
                <w:rFonts w:ascii="Arial" w:cs="Arial" w:eastAsia="Arial" w:hAnsi="Arial"/>
                <w:sz w:val="9"/>
                <w:szCs w:val="9"/>
                <w:color w:val="auto"/>
              </w:rPr>
              <w:t>11,500,0</w:t>
            </w:r>
          </w:p>
        </w:tc>
        <w:tc>
          <w:tcPr>
            <w:tcW w:w="4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1</w:t>
            </w:r>
          </w:p>
        </w:tc>
        <w:tc>
          <w:tcPr>
            <w:tcW w:w="200" w:type="dxa"/>
            <w:vAlign w:val="bottom"/>
            <w:shd w:val="clear" w:color="auto" w:fill="CFF0FC"/>
          </w:tcPr>
          <w:p>
            <w:pPr>
              <w:spacing w:after="0"/>
              <w:rPr>
                <w:sz w:val="7"/>
                <w:szCs w:val="7"/>
                <w:color w:val="auto"/>
              </w:rPr>
            </w:pPr>
          </w:p>
        </w:tc>
        <w:tc>
          <w:tcPr>
            <w:tcW w:w="6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60" w:type="dxa"/>
            <w:vAlign w:val="bottom"/>
            <w:shd w:val="clear" w:color="auto" w:fill="CFF0FC"/>
          </w:tcPr>
          <w:p>
            <w:pPr>
              <w:spacing w:after="0"/>
              <w:rPr>
                <w:sz w:val="7"/>
                <w:szCs w:val="7"/>
                <w:color w:val="auto"/>
              </w:rPr>
            </w:pPr>
          </w:p>
        </w:tc>
        <w:tc>
          <w:tcPr>
            <w:tcW w:w="5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200" w:type="dxa"/>
            <w:vAlign w:val="bottom"/>
            <w:tcBorders>
              <w:left w:val="single" w:sz="8" w:color="CFF0FC"/>
            </w:tcBorders>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167,044</w:t>
            </w:r>
          </w:p>
        </w:tc>
        <w:tc>
          <w:tcPr>
            <w:tcW w:w="200" w:type="dxa"/>
            <w:vAlign w:val="bottom"/>
            <w:tcBorders>
              <w:left w:val="single" w:sz="8" w:color="CFF0FC"/>
            </w:tcBorders>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3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7"/>
                <w:szCs w:val="7"/>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167,045</w:t>
            </w: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820" w:type="dxa"/>
            <w:vAlign w:val="bottom"/>
            <w:shd w:val="clear" w:color="auto" w:fill="CFF0FC"/>
          </w:tcPr>
          <w:p>
            <w:pPr>
              <w:ind w:left="80"/>
              <w:spacing w:after="0"/>
              <w:rPr>
                <w:sz w:val="20"/>
                <w:szCs w:val="20"/>
                <w:color w:val="auto"/>
              </w:rPr>
            </w:pPr>
            <w:r>
              <w:rPr>
                <w:rFonts w:ascii="Arial" w:cs="Arial" w:eastAsia="Arial" w:hAnsi="Arial"/>
                <w:sz w:val="9"/>
                <w:szCs w:val="9"/>
                <w:color w:val="auto"/>
              </w:rPr>
              <w:t>issuance costs of $16,995</w:t>
            </w:r>
          </w:p>
        </w:tc>
        <w:tc>
          <w:tcPr>
            <w:tcW w:w="76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4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60" w:type="dxa"/>
            <w:vAlign w:val="bottom"/>
            <w:gridSpan w:val="3"/>
            <w:vMerge w:val="continue"/>
            <w:shd w:val="clear" w:color="auto" w:fill="CFF0FC"/>
          </w:tcPr>
          <w:p>
            <w:pPr>
              <w:spacing w:after="0"/>
              <w:rPr>
                <w:sz w:val="9"/>
                <w:szCs w:val="9"/>
                <w:color w:val="auto"/>
              </w:rPr>
            </w:pPr>
          </w:p>
        </w:tc>
        <w:tc>
          <w:tcPr>
            <w:tcW w:w="640" w:type="dxa"/>
            <w:vAlign w:val="bottom"/>
            <w:tcBorders>
              <w:left w:val="single" w:sz="8" w:color="auto"/>
            </w:tcBorders>
            <w:gridSpan w:val="2"/>
            <w:shd w:val="clear" w:color="auto" w:fill="CFF0FC"/>
          </w:tcPr>
          <w:p>
            <w:pPr>
              <w:jc w:val="right"/>
              <w:spacing w:after="0"/>
              <w:rPr>
                <w:sz w:val="20"/>
                <w:szCs w:val="20"/>
                <w:color w:val="auto"/>
              </w:rPr>
            </w:pPr>
            <w:r>
              <w:rPr>
                <w:rFonts w:ascii="Arial" w:cs="Arial" w:eastAsia="Arial" w:hAnsi="Arial"/>
                <w:sz w:val="9"/>
                <w:szCs w:val="9"/>
                <w:color w:val="auto"/>
              </w:rPr>
              <w:t>00</w:t>
            </w:r>
          </w:p>
        </w:tc>
        <w:tc>
          <w:tcPr>
            <w:tcW w:w="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80" w:type="dxa"/>
            <w:vAlign w:val="bottom"/>
            <w:gridSpan w:val="2"/>
            <w:vMerge w:val="continue"/>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60" w:type="dxa"/>
            <w:vAlign w:val="bottom"/>
            <w:gridSpan w:val="2"/>
            <w:vMerge w:val="continue"/>
            <w:shd w:val="clear" w:color="auto" w:fill="CFF0FC"/>
          </w:tcPr>
          <w:p>
            <w:pPr>
              <w:spacing w:after="0"/>
              <w:rPr>
                <w:sz w:val="9"/>
                <w:szCs w:val="9"/>
                <w:color w:val="auto"/>
              </w:rPr>
            </w:pPr>
          </w:p>
        </w:tc>
        <w:tc>
          <w:tcPr>
            <w:tcW w:w="68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60" w:type="dxa"/>
            <w:vAlign w:val="bottom"/>
            <w:vMerge w:val="continue"/>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vMerge w:val="continue"/>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8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20" w:type="dxa"/>
            <w:vAlign w:val="bottom"/>
          </w:tcPr>
          <w:p>
            <w:pPr>
              <w:ind w:left="20"/>
              <w:spacing w:after="0"/>
              <w:rPr>
                <w:sz w:val="20"/>
                <w:szCs w:val="20"/>
                <w:color w:val="auto"/>
              </w:rPr>
            </w:pPr>
            <w:r>
              <w:rPr>
                <w:rFonts w:ascii="Arial" w:cs="Arial" w:eastAsia="Arial" w:hAnsi="Arial"/>
                <w:sz w:val="9"/>
                <w:szCs w:val="9"/>
                <w:color w:val="auto"/>
              </w:rPr>
              <w:t>Share-based compensation expenses</w:t>
            </w:r>
          </w:p>
        </w:tc>
        <w:tc>
          <w:tcPr>
            <w:tcW w:w="7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8"/>
                <w:szCs w:val="8"/>
                <w:color w:val="auto"/>
                <w:w w:val="74"/>
              </w:rPr>
              <w:t>—</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9"/>
                <w:szCs w:val="9"/>
                <w:color w:val="auto"/>
              </w:rPr>
              <w:t>—</w:t>
            </w:r>
          </w:p>
        </w:tc>
        <w:tc>
          <w:tcPr>
            <w:tcW w:w="140" w:type="dxa"/>
            <w:vAlign w:val="bottom"/>
            <w:tcBorders>
              <w:left w:val="single" w:sz="8" w:color="auto"/>
            </w:tcBorders>
          </w:tcPr>
          <w:p>
            <w:pPr>
              <w:spacing w:after="0"/>
              <w:rPr>
                <w:sz w:val="9"/>
                <w:szCs w:val="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2,537</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2,537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20" w:type="dxa"/>
            <w:vAlign w:val="bottom"/>
            <w:shd w:val="clear" w:color="auto" w:fill="CFF0FC"/>
          </w:tcPr>
          <w:p>
            <w:pPr>
              <w:ind w:left="20"/>
              <w:spacing w:after="0" w:line="81" w:lineRule="exact"/>
              <w:rPr>
                <w:sz w:val="20"/>
                <w:szCs w:val="20"/>
                <w:color w:val="auto"/>
              </w:rPr>
            </w:pPr>
            <w:r>
              <w:rPr>
                <w:rFonts w:ascii="Arial" w:cs="Arial" w:eastAsia="Arial" w:hAnsi="Arial"/>
                <w:sz w:val="9"/>
                <w:szCs w:val="9"/>
                <w:color w:val="auto"/>
              </w:rPr>
              <w:t>Net loss attributable to common</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240" w:type="dxa"/>
            <w:vAlign w:val="bottom"/>
            <w:vMerge w:val="restart"/>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8"/>
                <w:szCs w:val="8"/>
                <w:color w:val="auto"/>
                <w:w w:val="74"/>
              </w:rPr>
              <w:t>—</w:t>
            </w:r>
          </w:p>
        </w:tc>
        <w:tc>
          <w:tcPr>
            <w:tcW w:w="140" w:type="dxa"/>
            <w:vAlign w:val="bottom"/>
            <w:vMerge w:val="restart"/>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200" w:type="dxa"/>
            <w:vAlign w:val="bottom"/>
            <w:vMerge w:val="restart"/>
            <w:shd w:val="clear" w:color="auto" w:fill="CFF0FC"/>
          </w:tcPr>
          <w:p>
            <w:pPr>
              <w:spacing w:after="0"/>
              <w:rPr>
                <w:sz w:val="7"/>
                <w:szCs w:val="7"/>
                <w:color w:val="auto"/>
              </w:rPr>
            </w:pPr>
          </w:p>
        </w:tc>
        <w:tc>
          <w:tcPr>
            <w:tcW w:w="140" w:type="dxa"/>
            <w:vAlign w:val="bottom"/>
            <w:tcBorders>
              <w:left w:val="single" w:sz="8" w:color="auto"/>
            </w:tcBorders>
            <w:shd w:val="clear" w:color="auto" w:fill="CFF0FC"/>
          </w:tcPr>
          <w:p>
            <w:pPr>
              <w:spacing w:after="0"/>
              <w:rPr>
                <w:sz w:val="7"/>
                <w:szCs w:val="7"/>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40" w:type="dxa"/>
            <w:vAlign w:val="bottom"/>
            <w:vMerge w:val="restart"/>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200" w:type="dxa"/>
            <w:vAlign w:val="bottom"/>
            <w:shd w:val="clear" w:color="auto" w:fill="CFF0FC"/>
          </w:tcPr>
          <w:p>
            <w:pPr>
              <w:spacing w:after="0"/>
              <w:rPr>
                <w:sz w:val="7"/>
                <w:szCs w:val="7"/>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200" w:type="dxa"/>
            <w:vAlign w:val="bottom"/>
            <w:tcBorders>
              <w:left w:val="single" w:sz="8" w:color="CFF0FC"/>
            </w:tcBorders>
            <w:vMerge w:val="restart"/>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200" w:type="dxa"/>
            <w:vAlign w:val="bottom"/>
            <w:vMerge w:val="restart"/>
            <w:shd w:val="clear" w:color="auto" w:fill="CFF0FC"/>
          </w:tcPr>
          <w:p>
            <w:pPr>
              <w:spacing w:after="0"/>
              <w:rPr>
                <w:sz w:val="7"/>
                <w:szCs w:val="7"/>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200" w:type="dxa"/>
            <w:vAlign w:val="bottom"/>
            <w:vMerge w:val="restart"/>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200" w:type="dxa"/>
            <w:vAlign w:val="bottom"/>
            <w:tcBorders>
              <w:left w:val="single" w:sz="8" w:color="CFF0FC"/>
            </w:tcBorders>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rPr>
              <w:t>—</w:t>
            </w:r>
          </w:p>
        </w:tc>
        <w:tc>
          <w:tcPr>
            <w:tcW w:w="200" w:type="dxa"/>
            <w:vAlign w:val="bottom"/>
            <w:tcBorders>
              <w:left w:val="single" w:sz="8" w:color="CFF0FC"/>
            </w:tcBorders>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20" w:type="dxa"/>
            <w:vAlign w:val="bottom"/>
            <w:gridSpan w:val="3"/>
            <w:vMerge w:val="restart"/>
            <w:shd w:val="clear" w:color="auto" w:fill="CFF0FC"/>
          </w:tcPr>
          <w:p>
            <w:pPr>
              <w:jc w:val="right"/>
              <w:ind w:right="160"/>
              <w:spacing w:after="0"/>
              <w:rPr>
                <w:sz w:val="20"/>
                <w:szCs w:val="20"/>
                <w:color w:val="auto"/>
              </w:rPr>
            </w:pPr>
            <w:r>
              <w:rPr>
                <w:rFonts w:ascii="Arial" w:cs="Arial" w:eastAsia="Arial" w:hAnsi="Arial"/>
                <w:sz w:val="9"/>
                <w:szCs w:val="9"/>
                <w:color w:val="auto"/>
                <w:w w:val="94"/>
              </w:rPr>
              <w:t>(14,284 )</w:t>
            </w:r>
          </w:p>
        </w:tc>
        <w:tc>
          <w:tcPr>
            <w:tcW w:w="80" w:type="dxa"/>
            <w:vAlign w:val="bottom"/>
            <w:shd w:val="clear" w:color="auto" w:fill="CFF0FC"/>
          </w:tcPr>
          <w:p>
            <w:pPr>
              <w:spacing w:after="0"/>
              <w:rPr>
                <w:sz w:val="7"/>
                <w:szCs w:val="7"/>
                <w:color w:val="auto"/>
              </w:rPr>
            </w:pPr>
          </w:p>
        </w:tc>
        <w:tc>
          <w:tcPr>
            <w:tcW w:w="8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9"/>
                <w:szCs w:val="9"/>
                <w:color w:val="auto"/>
              </w:rPr>
              <w:t>(14,284 )</w:t>
            </w:r>
          </w:p>
        </w:tc>
        <w:tc>
          <w:tcPr>
            <w:tcW w:w="0" w:type="dxa"/>
            <w:vAlign w:val="bottom"/>
          </w:tcPr>
          <w:p>
            <w:pPr>
              <w:spacing w:after="0"/>
              <w:rPr>
                <w:sz w:val="1"/>
                <w:szCs w:val="1"/>
                <w:color w:val="auto"/>
              </w:rPr>
            </w:pPr>
          </w:p>
        </w:tc>
      </w:tr>
      <w:tr>
        <w:trPr>
          <w:trHeight w:val="95"/>
        </w:trPr>
        <w:tc>
          <w:tcPr>
            <w:tcW w:w="1820" w:type="dxa"/>
            <w:vAlign w:val="bottom"/>
            <w:shd w:val="clear" w:color="auto" w:fill="CFF0FC"/>
          </w:tcPr>
          <w:p>
            <w:pPr>
              <w:ind w:left="20"/>
              <w:spacing w:after="0" w:line="95" w:lineRule="exact"/>
              <w:rPr>
                <w:sz w:val="20"/>
                <w:szCs w:val="20"/>
                <w:color w:val="auto"/>
              </w:rPr>
            </w:pPr>
            <w:r>
              <w:rPr>
                <w:rFonts w:ascii="Arial" w:cs="Arial" w:eastAsia="Arial" w:hAnsi="Arial"/>
                <w:sz w:val="9"/>
                <w:szCs w:val="9"/>
                <w:color w:val="auto"/>
              </w:rPr>
              <w:t>members/stockholders</w:t>
            </w:r>
          </w:p>
        </w:tc>
        <w:tc>
          <w:tcPr>
            <w:tcW w:w="520" w:type="dxa"/>
            <w:vAlign w:val="bottom"/>
            <w:vMerge w:val="continue"/>
            <w:shd w:val="clear" w:color="auto" w:fill="CFF0FC"/>
          </w:tcPr>
          <w:p>
            <w:pPr>
              <w:spacing w:after="0"/>
              <w:rPr>
                <w:sz w:val="8"/>
                <w:szCs w:val="8"/>
                <w:color w:val="auto"/>
              </w:rPr>
            </w:pPr>
          </w:p>
        </w:tc>
        <w:tc>
          <w:tcPr>
            <w:tcW w:w="24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00" w:type="dxa"/>
            <w:vAlign w:val="bottom"/>
            <w:vMerge w:val="continue"/>
            <w:shd w:val="clear" w:color="auto" w:fill="CFF0FC"/>
          </w:tcPr>
          <w:p>
            <w:pPr>
              <w:spacing w:after="0"/>
              <w:rPr>
                <w:sz w:val="8"/>
                <w:szCs w:val="8"/>
                <w:color w:val="auto"/>
              </w:rPr>
            </w:pPr>
          </w:p>
        </w:tc>
        <w:tc>
          <w:tcPr>
            <w:tcW w:w="14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260" w:type="dxa"/>
            <w:vAlign w:val="bottom"/>
            <w:gridSpan w:val="2"/>
            <w:vMerge w:val="continue"/>
            <w:shd w:val="clear" w:color="auto" w:fill="CFF0FC"/>
          </w:tcPr>
          <w:p>
            <w:pPr>
              <w:spacing w:after="0"/>
              <w:rPr>
                <w:sz w:val="8"/>
                <w:szCs w:val="8"/>
                <w:color w:val="auto"/>
              </w:rPr>
            </w:pPr>
          </w:p>
        </w:tc>
        <w:tc>
          <w:tcPr>
            <w:tcW w:w="200" w:type="dxa"/>
            <w:vAlign w:val="bottom"/>
            <w:vMerge w:val="continue"/>
            <w:shd w:val="clear" w:color="auto" w:fill="CFF0FC"/>
          </w:tcPr>
          <w:p>
            <w:pPr>
              <w:spacing w:after="0"/>
              <w:rPr>
                <w:sz w:val="8"/>
                <w:szCs w:val="8"/>
                <w:color w:val="auto"/>
              </w:rPr>
            </w:pPr>
          </w:p>
        </w:tc>
        <w:tc>
          <w:tcPr>
            <w:tcW w:w="140" w:type="dxa"/>
            <w:vAlign w:val="bottom"/>
            <w:tcBorders>
              <w:left w:val="single" w:sz="8" w:color="auto"/>
            </w:tcBorders>
            <w:shd w:val="clear" w:color="auto" w:fill="CFF0FC"/>
          </w:tcPr>
          <w:p>
            <w:pPr>
              <w:spacing w:after="0"/>
              <w:rPr>
                <w:sz w:val="8"/>
                <w:szCs w:val="8"/>
                <w:color w:val="auto"/>
              </w:rPr>
            </w:pPr>
          </w:p>
        </w:tc>
        <w:tc>
          <w:tcPr>
            <w:tcW w:w="500" w:type="dxa"/>
            <w:vAlign w:val="bottom"/>
            <w:vMerge w:val="continue"/>
            <w:shd w:val="clear" w:color="auto" w:fill="CFF0FC"/>
          </w:tcPr>
          <w:p>
            <w:pPr>
              <w:spacing w:after="0"/>
              <w:rPr>
                <w:sz w:val="8"/>
                <w:szCs w:val="8"/>
                <w:color w:val="auto"/>
              </w:rPr>
            </w:pPr>
          </w:p>
        </w:tc>
        <w:tc>
          <w:tcPr>
            <w:tcW w:w="40" w:type="dxa"/>
            <w:vAlign w:val="bottom"/>
            <w:vMerge w:val="continue"/>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80" w:type="dxa"/>
            <w:vAlign w:val="bottom"/>
            <w:vMerge w:val="continue"/>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480" w:type="dxa"/>
            <w:vAlign w:val="bottom"/>
            <w:vMerge w:val="continue"/>
            <w:shd w:val="clear" w:color="auto" w:fill="CFF0FC"/>
          </w:tcPr>
          <w:p>
            <w:pPr>
              <w:spacing w:after="0"/>
              <w:rPr>
                <w:sz w:val="8"/>
                <w:szCs w:val="8"/>
                <w:color w:val="auto"/>
              </w:rPr>
            </w:pPr>
          </w:p>
        </w:tc>
        <w:tc>
          <w:tcPr>
            <w:tcW w:w="200" w:type="dxa"/>
            <w:vAlign w:val="bottom"/>
            <w:tcBorders>
              <w:left w:val="single" w:sz="8" w:color="CFF0FC"/>
            </w:tcBorders>
            <w:vMerge w:val="continue"/>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vMerge w:val="continue"/>
            <w:shd w:val="clear" w:color="auto" w:fill="CFF0FC"/>
          </w:tcPr>
          <w:p>
            <w:pPr>
              <w:spacing w:after="0"/>
              <w:rPr>
                <w:sz w:val="8"/>
                <w:szCs w:val="8"/>
                <w:color w:val="auto"/>
              </w:rPr>
            </w:pPr>
          </w:p>
        </w:tc>
        <w:tc>
          <w:tcPr>
            <w:tcW w:w="200" w:type="dxa"/>
            <w:vAlign w:val="bottom"/>
            <w:vMerge w:val="continue"/>
            <w:shd w:val="clear" w:color="auto" w:fill="CFF0FC"/>
          </w:tcPr>
          <w:p>
            <w:pPr>
              <w:spacing w:after="0"/>
              <w:rPr>
                <w:sz w:val="8"/>
                <w:szCs w:val="8"/>
                <w:color w:val="auto"/>
              </w:rPr>
            </w:pPr>
          </w:p>
        </w:tc>
        <w:tc>
          <w:tcPr>
            <w:tcW w:w="480" w:type="dxa"/>
            <w:vAlign w:val="bottom"/>
            <w:vMerge w:val="continue"/>
            <w:shd w:val="clear" w:color="auto" w:fill="CFF0FC"/>
          </w:tcPr>
          <w:p>
            <w:pPr>
              <w:spacing w:after="0"/>
              <w:rPr>
                <w:sz w:val="8"/>
                <w:szCs w:val="8"/>
                <w:color w:val="auto"/>
              </w:rPr>
            </w:pPr>
          </w:p>
        </w:tc>
        <w:tc>
          <w:tcPr>
            <w:tcW w:w="20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60" w:type="dxa"/>
            <w:vAlign w:val="bottom"/>
            <w:vMerge w:val="continue"/>
            <w:shd w:val="clear" w:color="auto" w:fill="CFF0FC"/>
          </w:tcPr>
          <w:p>
            <w:pPr>
              <w:spacing w:after="0"/>
              <w:rPr>
                <w:sz w:val="8"/>
                <w:szCs w:val="8"/>
                <w:color w:val="auto"/>
              </w:rPr>
            </w:pPr>
          </w:p>
        </w:tc>
        <w:tc>
          <w:tcPr>
            <w:tcW w:w="200" w:type="dxa"/>
            <w:vAlign w:val="bottom"/>
            <w:tcBorders>
              <w:lef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60" w:type="dxa"/>
            <w:vAlign w:val="bottom"/>
            <w:vMerge w:val="continue"/>
            <w:shd w:val="clear" w:color="auto" w:fill="CFF0FC"/>
          </w:tcPr>
          <w:p>
            <w:pPr>
              <w:spacing w:after="0"/>
              <w:rPr>
                <w:sz w:val="8"/>
                <w:szCs w:val="8"/>
                <w:color w:val="auto"/>
              </w:rPr>
            </w:pPr>
          </w:p>
        </w:tc>
        <w:tc>
          <w:tcPr>
            <w:tcW w:w="200" w:type="dxa"/>
            <w:vAlign w:val="bottom"/>
            <w:tcBorders>
              <w:left w:val="single" w:sz="8" w:color="CFF0FC"/>
            </w:tcBorders>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gridSpan w:val="3"/>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tcBorders>
              <w:left w:val="single" w:sz="8" w:color="auto"/>
            </w:tcBorders>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820" w:type="dxa"/>
            <w:vAlign w:val="bottom"/>
          </w:tcPr>
          <w:p>
            <w:pPr>
              <w:ind w:left="20"/>
              <w:spacing w:after="0" w:line="75" w:lineRule="exact"/>
              <w:rPr>
                <w:sz w:val="20"/>
                <w:szCs w:val="20"/>
                <w:color w:val="auto"/>
              </w:rPr>
            </w:pPr>
            <w:r>
              <w:rPr>
                <w:rFonts w:ascii="Arial" w:cs="Arial" w:eastAsia="Arial" w:hAnsi="Arial"/>
                <w:sz w:val="8"/>
                <w:szCs w:val="8"/>
                <w:b w:val="1"/>
                <w:bCs w:val="1"/>
                <w:color w:val="auto"/>
              </w:rPr>
              <w:t>Balance at June 30, 2021</w:t>
            </w:r>
          </w:p>
        </w:tc>
        <w:tc>
          <w:tcPr>
            <w:tcW w:w="52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40" w:type="dxa"/>
            <w:vAlign w:val="bottom"/>
            <w:vMerge w:val="restart"/>
          </w:tcPr>
          <w:p>
            <w:pPr>
              <w:spacing w:after="0"/>
              <w:rPr>
                <w:sz w:val="6"/>
                <w:szCs w:val="6"/>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Pr>
          <w:p>
            <w:pPr>
              <w:spacing w:after="0"/>
              <w:rPr>
                <w:sz w:val="6"/>
                <w:szCs w:val="6"/>
                <w:color w:val="auto"/>
              </w:rPr>
            </w:pPr>
          </w:p>
        </w:tc>
        <w:tc>
          <w:tcPr>
            <w:tcW w:w="100" w:type="dxa"/>
            <w:vAlign w:val="bottom"/>
            <w:vMerge w:val="restart"/>
          </w:tcPr>
          <w:p>
            <w:pPr>
              <w:jc w:val="right"/>
              <w:spacing w:after="0"/>
              <w:rPr>
                <w:sz w:val="20"/>
                <w:szCs w:val="20"/>
                <w:color w:val="auto"/>
              </w:rPr>
            </w:pPr>
            <w:r>
              <w:rPr>
                <w:rFonts w:ascii="Arial" w:cs="Arial" w:eastAsia="Arial" w:hAnsi="Arial"/>
                <w:sz w:val="8"/>
                <w:szCs w:val="8"/>
                <w:color w:val="auto"/>
                <w:w w:val="74"/>
              </w:rPr>
              <w:t>—</w:t>
            </w:r>
          </w:p>
        </w:tc>
        <w:tc>
          <w:tcPr>
            <w:tcW w:w="14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640" w:type="dxa"/>
            <w:vAlign w:val="bottom"/>
            <w:vMerge w:val="restart"/>
          </w:tcPr>
          <w:p>
            <w:pPr>
              <w:jc w:val="right"/>
              <w:ind w:right="530"/>
              <w:spacing w:after="0"/>
              <w:rPr>
                <w:sz w:val="20"/>
                <w:szCs w:val="20"/>
                <w:color w:val="auto"/>
              </w:rPr>
            </w:pPr>
            <w:r>
              <w:rPr>
                <w:rFonts w:ascii="Arial" w:cs="Arial" w:eastAsia="Arial" w:hAnsi="Arial"/>
                <w:sz w:val="9"/>
                <w:szCs w:val="9"/>
                <w:color w:val="auto"/>
                <w:w w:val="78"/>
              </w:rPr>
              <w:t>$</w:t>
            </w:r>
          </w:p>
        </w:tc>
        <w:tc>
          <w:tcPr>
            <w:tcW w:w="60" w:type="dxa"/>
            <w:vAlign w:val="bottom"/>
          </w:tcPr>
          <w:p>
            <w:pPr>
              <w:spacing w:after="0"/>
              <w:rPr>
                <w:sz w:val="6"/>
                <w:szCs w:val="6"/>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vMerge w:val="restart"/>
          </w:tcPr>
          <w:p>
            <w:pPr>
              <w:spacing w:after="0"/>
              <w:rPr>
                <w:sz w:val="6"/>
                <w:szCs w:val="6"/>
                <w:color w:val="auto"/>
              </w:rPr>
            </w:pPr>
          </w:p>
        </w:tc>
        <w:tc>
          <w:tcPr>
            <w:tcW w:w="140" w:type="dxa"/>
            <w:vAlign w:val="bottom"/>
            <w:tcBorders>
              <w:left w:val="single" w:sz="8" w:color="auto"/>
            </w:tcBorders>
          </w:tcPr>
          <w:p>
            <w:pPr>
              <w:spacing w:after="0"/>
              <w:rPr>
                <w:sz w:val="6"/>
                <w:szCs w:val="6"/>
                <w:color w:val="auto"/>
              </w:rPr>
            </w:pPr>
          </w:p>
        </w:tc>
        <w:tc>
          <w:tcPr>
            <w:tcW w:w="500" w:type="dxa"/>
            <w:vAlign w:val="bottom"/>
          </w:tcPr>
          <w:p>
            <w:pPr>
              <w:jc w:val="right"/>
              <w:spacing w:after="0" w:line="75" w:lineRule="exact"/>
              <w:rPr>
                <w:sz w:val="20"/>
                <w:szCs w:val="20"/>
                <w:color w:val="auto"/>
              </w:rPr>
            </w:pPr>
            <w:r>
              <w:rPr>
                <w:rFonts w:ascii="Arial" w:cs="Arial" w:eastAsia="Arial" w:hAnsi="Arial"/>
                <w:sz w:val="8"/>
                <w:szCs w:val="8"/>
                <w:color w:val="auto"/>
              </w:rPr>
              <w:t>61,928,9</w:t>
            </w:r>
          </w:p>
        </w:tc>
        <w:tc>
          <w:tcPr>
            <w:tcW w:w="4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vMerge w:val="restart"/>
          </w:tcPr>
          <w:p>
            <w:pPr>
              <w:jc w:val="right"/>
              <w:spacing w:after="0"/>
              <w:rPr>
                <w:sz w:val="20"/>
                <w:szCs w:val="20"/>
                <w:color w:val="auto"/>
              </w:rPr>
            </w:pPr>
            <w:r>
              <w:rPr>
                <w:rFonts w:ascii="Arial" w:cs="Arial" w:eastAsia="Arial" w:hAnsi="Arial"/>
                <w:sz w:val="9"/>
                <w:szCs w:val="9"/>
                <w:color w:val="auto"/>
              </w:rPr>
              <w:t>6</w:t>
            </w:r>
          </w:p>
        </w:tc>
        <w:tc>
          <w:tcPr>
            <w:tcW w:w="200" w:type="dxa"/>
            <w:vAlign w:val="bottom"/>
          </w:tcPr>
          <w:p>
            <w:pPr>
              <w:spacing w:after="0"/>
              <w:rPr>
                <w:sz w:val="6"/>
                <w:szCs w:val="6"/>
                <w:color w:val="auto"/>
              </w:rPr>
            </w:pP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vMerge w:val="restart"/>
          </w:tcPr>
          <w:p>
            <w:pPr>
              <w:spacing w:after="0"/>
              <w:rPr>
                <w:sz w:val="6"/>
                <w:szCs w:val="6"/>
                <w:color w:val="auto"/>
              </w:rPr>
            </w:pP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vMerge w:val="restart"/>
          </w:tcPr>
          <w:p>
            <w:pPr>
              <w:spacing w:after="0"/>
              <w:rPr>
                <w:sz w:val="6"/>
                <w:szCs w:val="6"/>
                <w:color w:val="auto"/>
              </w:rPr>
            </w:pP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vMerge w:val="restart"/>
          </w:tcPr>
          <w:p>
            <w:pPr>
              <w:spacing w:after="0"/>
              <w:rPr>
                <w:sz w:val="6"/>
                <w:szCs w:val="6"/>
                <w:color w:val="auto"/>
              </w:rPr>
            </w:pPr>
          </w:p>
        </w:tc>
        <w:tc>
          <w:tcPr>
            <w:tcW w:w="10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160" w:type="dxa"/>
            <w:vAlign w:val="bottom"/>
          </w:tcPr>
          <w:p>
            <w:pPr>
              <w:spacing w:after="0"/>
              <w:rPr>
                <w:sz w:val="6"/>
                <w:szCs w:val="6"/>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vMerge w:val="restart"/>
          </w:tcPr>
          <w:p>
            <w:pPr>
              <w:spacing w:after="0"/>
              <w:rPr>
                <w:sz w:val="6"/>
                <w:szCs w:val="6"/>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vMerge w:val="restart"/>
          </w:tcPr>
          <w:p>
            <w:pPr>
              <w:jc w:val="right"/>
              <w:spacing w:after="0"/>
              <w:rPr>
                <w:sz w:val="20"/>
                <w:szCs w:val="20"/>
                <w:color w:val="auto"/>
              </w:rPr>
            </w:pPr>
            <w:r>
              <w:rPr>
                <w:rFonts w:ascii="Arial" w:cs="Arial" w:eastAsia="Arial" w:hAnsi="Arial"/>
                <w:sz w:val="9"/>
                <w:szCs w:val="9"/>
                <w:color w:val="auto"/>
              </w:rPr>
              <w:t>398,065</w:t>
            </w:r>
          </w:p>
        </w:tc>
        <w:tc>
          <w:tcPr>
            <w:tcW w:w="200" w:type="dxa"/>
            <w:vAlign w:val="bottom"/>
            <w:vMerge w:val="restart"/>
          </w:tcPr>
          <w:p>
            <w:pPr>
              <w:spacing w:after="0"/>
              <w:rPr>
                <w:sz w:val="6"/>
                <w:szCs w:val="6"/>
                <w:color w:val="auto"/>
              </w:rPr>
            </w:pPr>
          </w:p>
        </w:tc>
        <w:tc>
          <w:tcPr>
            <w:tcW w:w="300" w:type="dxa"/>
            <w:vAlign w:val="bottom"/>
            <w:vMerge w:val="restart"/>
          </w:tcPr>
          <w:p>
            <w:pPr>
              <w:jc w:val="right"/>
              <w:ind w:right="190"/>
              <w:spacing w:after="0"/>
              <w:rPr>
                <w:sz w:val="20"/>
                <w:szCs w:val="20"/>
                <w:color w:val="auto"/>
              </w:rPr>
            </w:pPr>
            <w:r>
              <w:rPr>
                <w:rFonts w:ascii="Arial" w:cs="Arial" w:eastAsia="Arial" w:hAnsi="Arial"/>
                <w:sz w:val="9"/>
                <w:szCs w:val="9"/>
                <w:color w:val="auto"/>
                <w:w w:val="78"/>
              </w:rPr>
              <w:t>$</w:t>
            </w:r>
          </w:p>
        </w:tc>
        <w:tc>
          <w:tcPr>
            <w:tcW w:w="80" w:type="dxa"/>
            <w:vAlign w:val="bottom"/>
          </w:tcPr>
          <w:p>
            <w:pPr>
              <w:spacing w:after="0"/>
              <w:rPr>
                <w:sz w:val="6"/>
                <w:szCs w:val="6"/>
                <w:color w:val="auto"/>
              </w:rPr>
            </w:pPr>
          </w:p>
        </w:tc>
        <w:tc>
          <w:tcPr>
            <w:tcW w:w="520" w:type="dxa"/>
            <w:vAlign w:val="bottom"/>
            <w:gridSpan w:val="3"/>
            <w:vMerge w:val="restart"/>
          </w:tcPr>
          <w:p>
            <w:pPr>
              <w:jc w:val="right"/>
              <w:ind w:right="160"/>
              <w:spacing w:after="0"/>
              <w:rPr>
                <w:sz w:val="20"/>
                <w:szCs w:val="20"/>
                <w:color w:val="auto"/>
              </w:rPr>
            </w:pPr>
            <w:r>
              <w:rPr>
                <w:rFonts w:ascii="Arial" w:cs="Arial" w:eastAsia="Arial" w:hAnsi="Arial"/>
                <w:sz w:val="9"/>
                <w:szCs w:val="9"/>
                <w:color w:val="auto"/>
                <w:w w:val="94"/>
              </w:rPr>
              <w:t>(86,308 )</w:t>
            </w: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311,763</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640" w:type="dxa"/>
            <w:vAlign w:val="bottom"/>
            <w:tcBorders>
              <w:left w:val="single" w:sz="8" w:color="auto"/>
            </w:tcBorders>
            <w:gridSpan w:val="2"/>
          </w:tcPr>
          <w:p>
            <w:pPr>
              <w:jc w:val="right"/>
              <w:spacing w:after="0"/>
              <w:rPr>
                <w:sz w:val="20"/>
                <w:szCs w:val="20"/>
                <w:color w:val="auto"/>
              </w:rPr>
            </w:pPr>
            <w:r>
              <w:rPr>
                <w:rFonts w:ascii="Arial" w:cs="Arial" w:eastAsia="Arial" w:hAnsi="Arial"/>
                <w:sz w:val="9"/>
                <w:szCs w:val="9"/>
                <w:color w:val="auto"/>
              </w:rPr>
              <w:t>39</w:t>
            </w:r>
          </w:p>
        </w:tc>
        <w:tc>
          <w:tcPr>
            <w:tcW w:w="4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-3528060</wp:posOffset>
            </wp:positionV>
            <wp:extent cx="7683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-3528060</wp:posOffset>
            </wp:positionV>
            <wp:extent cx="7747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-3528060</wp:posOffset>
            </wp:positionV>
            <wp:extent cx="685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-3528060</wp:posOffset>
            </wp:positionV>
            <wp:extent cx="6858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-3528060</wp:posOffset>
            </wp:positionV>
            <wp:extent cx="6858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-3528060</wp:posOffset>
            </wp:positionV>
            <wp:extent cx="685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-3171190</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-3154045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-3171190</wp:posOffset>
            </wp:positionV>
            <wp:extent cx="774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-3154045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-3171190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-3154045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-3171190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-3154045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-3171190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-3154045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-3171190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-2485390</wp:posOffset>
            </wp:positionV>
            <wp:extent cx="768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-2468245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-2485390</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-2468245</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-2485390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-2468245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-2485390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-2468245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-2485390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-2468245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-2468245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-1959610</wp:posOffset>
            </wp:positionV>
            <wp:extent cx="7683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-1959610</wp:posOffset>
            </wp:positionV>
            <wp:extent cx="7683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-1959610</wp:posOffset>
            </wp:positionV>
            <wp:extent cx="7683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-1959610</wp:posOffset>
            </wp:positionV>
            <wp:extent cx="7683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-1959610</wp:posOffset>
            </wp:positionV>
            <wp:extent cx="685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-1959610</wp:posOffset>
            </wp:positionV>
            <wp:extent cx="6858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-1959610</wp:posOffset>
            </wp:positionV>
            <wp:extent cx="6858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-1959610</wp:posOffset>
            </wp:positionV>
            <wp:extent cx="6858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-1959610</wp:posOffset>
            </wp:positionV>
            <wp:extent cx="6858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-1959610</wp:posOffset>
            </wp:positionV>
            <wp:extent cx="6858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-1959610</wp:posOffset>
            </wp:positionV>
            <wp:extent cx="6858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-1959610</wp:posOffset>
            </wp:positionV>
            <wp:extent cx="685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-1233805</wp:posOffset>
            </wp:positionV>
            <wp:extent cx="768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-1216660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-1233805</wp:posOffset>
            </wp:positionV>
            <wp:extent cx="768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-1216660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-1233805</wp:posOffset>
            </wp:positionV>
            <wp:extent cx="768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-1216660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-1233805</wp:posOffset>
            </wp:positionV>
            <wp:extent cx="768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-1216660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-1233805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-1216660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-1233805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-1216660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-1233805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-1216660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-1233805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-1216660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-1233805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-1216660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-1233805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-1216660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-1233805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-1216660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-150495</wp:posOffset>
            </wp:positionV>
            <wp:extent cx="7683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-150495</wp:posOffset>
            </wp:positionV>
            <wp:extent cx="7683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-150495</wp:posOffset>
            </wp:positionV>
            <wp:extent cx="7683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-150495</wp:posOffset>
            </wp:positionV>
            <wp:extent cx="7683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-150495</wp:posOffset>
            </wp:positionV>
            <wp:extent cx="685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-150495</wp:posOffset>
            </wp:positionV>
            <wp:extent cx="685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-150495</wp:posOffset>
            </wp:positionV>
            <wp:extent cx="685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-150495</wp:posOffset>
            </wp:positionV>
            <wp:extent cx="685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-150495</wp:posOffset>
            </wp:positionV>
            <wp:extent cx="6858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-150495</wp:posOffset>
            </wp:positionV>
            <wp:extent cx="6858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-150495</wp:posOffset>
            </wp:positionV>
            <wp:extent cx="6858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-150495</wp:posOffset>
            </wp:positionV>
            <wp:extent cx="6858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ind w:left="4300"/>
        <w:spacing w:after="0"/>
        <w:rPr>
          <w:sz w:val="20"/>
          <w:szCs w:val="20"/>
          <w:color w:val="auto"/>
        </w:rPr>
      </w:pPr>
      <w:r>
        <w:rPr>
          <w:rFonts w:ascii="Arial" w:cs="Arial" w:eastAsia="Arial" w:hAnsi="Arial"/>
          <w:sz w:val="18"/>
          <w:szCs w:val="18"/>
          <w:b w:val="1"/>
          <w:bCs w:val="1"/>
          <w:color w:val="auto"/>
        </w:rPr>
        <w:t>Day One Biopharmaceuticals, Inc.</w:t>
      </w:r>
    </w:p>
    <w:p>
      <w:pPr>
        <w:spacing w:after="0" w:line="1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Condensed Consolidated Statements of Cash Flows</w:t>
      </w:r>
    </w:p>
    <w:p>
      <w:pPr>
        <w:ind w:left="5060"/>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920" w:type="dxa"/>
            <w:vAlign w:val="bottom"/>
          </w:tcPr>
          <w:p>
            <w:pPr>
              <w:jc w:val="right"/>
              <w:ind w:right="733"/>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1"/>
              </w:rPr>
              <w:t>(64,277 )</w:t>
            </w:r>
          </w:p>
        </w:tc>
        <w:tc>
          <w:tcPr>
            <w:tcW w:w="340" w:type="dxa"/>
            <w:vAlign w:val="bottom"/>
          </w:tcPr>
          <w:p>
            <w:pPr>
              <w:spacing w:after="0"/>
              <w:rPr>
                <w:sz w:val="17"/>
                <w:szCs w:val="17"/>
                <w:color w:val="auto"/>
              </w:rPr>
            </w:pP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(31,575 )</w:t>
            </w: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Acquired in-process research and development assets</w:t>
            </w:r>
          </w:p>
        </w:tc>
        <w:tc>
          <w:tcPr>
            <w:tcW w:w="920" w:type="dxa"/>
            <w:vAlign w:val="bottom"/>
          </w:tcPr>
          <w:p>
            <w:pPr>
              <w:spacing w:after="0"/>
              <w:rPr>
                <w:sz w:val="17"/>
                <w:szCs w:val="17"/>
                <w:color w:val="auto"/>
              </w:rPr>
            </w:pPr>
          </w:p>
        </w:tc>
        <w:tc>
          <w:tcPr>
            <w:tcW w:w="10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Share-based compensation expense</w:t>
            </w: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11,833</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Depreciation expense</w:t>
            </w:r>
          </w:p>
        </w:tc>
        <w:tc>
          <w:tcPr>
            <w:tcW w:w="9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Amortization of operating right-of-use assets</w:t>
            </w: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Non-cash interest expense</w:t>
            </w:r>
          </w:p>
        </w:tc>
        <w:tc>
          <w:tcPr>
            <w:tcW w:w="920" w:type="dxa"/>
            <w:vAlign w:val="bottom"/>
          </w:tcPr>
          <w:p>
            <w:pPr>
              <w:spacing w:after="0"/>
              <w:rPr>
                <w:sz w:val="17"/>
                <w:szCs w:val="17"/>
                <w:color w:val="auto"/>
              </w:rPr>
            </w:pPr>
          </w:p>
        </w:tc>
        <w:tc>
          <w:tcPr>
            <w:tcW w:w="10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3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92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(2,580 )</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(4,722 )</w:t>
            </w: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Deposits and other long-term assets</w:t>
            </w:r>
          </w:p>
        </w:tc>
        <w:tc>
          <w:tcPr>
            <w:tcW w:w="9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(315 )</w:t>
            </w: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3"/>
        </w:trPr>
        <w:tc>
          <w:tcPr>
            <w:tcW w:w="7600" w:type="dxa"/>
            <w:vAlign w:val="bottom"/>
          </w:tcPr>
          <w:p>
            <w:pPr>
              <w:ind w:left="380"/>
              <w:spacing w:after="0" w:line="202" w:lineRule="exact"/>
              <w:rPr>
                <w:sz w:val="20"/>
                <w:szCs w:val="20"/>
                <w:color w:val="auto"/>
              </w:rPr>
            </w:pPr>
            <w:r>
              <w:rPr>
                <w:rFonts w:ascii="Arial" w:cs="Arial" w:eastAsia="Arial" w:hAnsi="Arial"/>
                <w:sz w:val="18"/>
                <w:szCs w:val="18"/>
                <w:color w:val="auto"/>
              </w:rPr>
              <w:t>Accounts payable</w:t>
            </w:r>
          </w:p>
        </w:tc>
        <w:tc>
          <w:tcPr>
            <w:tcW w:w="92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(1,305 )</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5,224</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380"/>
              <w:spacing w:after="0" w:line="202" w:lineRule="exact"/>
              <w:rPr>
                <w:sz w:val="20"/>
                <w:szCs w:val="20"/>
                <w:color w:val="auto"/>
              </w:rPr>
            </w:pPr>
            <w:r>
              <w:rPr>
                <w:rFonts w:ascii="Arial" w:cs="Arial" w:eastAsia="Arial" w:hAnsi="Arial"/>
                <w:sz w:val="18"/>
                <w:szCs w:val="18"/>
                <w:color w:val="auto"/>
              </w:rPr>
              <w:t>Operating lease liabilities</w:t>
            </w:r>
          </w:p>
        </w:tc>
        <w:tc>
          <w:tcPr>
            <w:tcW w:w="92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(116 )</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ind w:left="560"/>
              <w:spacing w:after="0" w:line="196" w:lineRule="exact"/>
              <w:rPr>
                <w:sz w:val="20"/>
                <w:szCs w:val="20"/>
                <w:color w:val="auto"/>
              </w:rPr>
            </w:pPr>
            <w:r>
              <w:rPr>
                <w:rFonts w:ascii="Arial" w:cs="Arial" w:eastAsia="Arial" w:hAnsi="Arial"/>
                <w:sz w:val="18"/>
                <w:szCs w:val="18"/>
                <w:color w:val="auto"/>
              </w:rPr>
              <w:t>Net cash used in operating activities</w:t>
            </w:r>
          </w:p>
        </w:tc>
        <w:tc>
          <w:tcPr>
            <w:tcW w:w="9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(51,350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(23,149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paid for acquired in-process research and development assets</w:t>
            </w:r>
          </w:p>
        </w:tc>
        <w:tc>
          <w:tcPr>
            <w:tcW w:w="92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(8,000 )</w:t>
            </w: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Cash paid for purchase of short-term investments</w:t>
            </w:r>
          </w:p>
        </w:tc>
        <w:tc>
          <w:tcPr>
            <w:tcW w:w="92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(5,990 )</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paid for property and equipment</w:t>
            </w:r>
          </w:p>
        </w:tc>
        <w:tc>
          <w:tcPr>
            <w:tcW w:w="9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(22 )</w:t>
            </w: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Pr>
          <w:p>
            <w:pPr>
              <w:ind w:left="560"/>
              <w:spacing w:after="0" w:line="196" w:lineRule="exact"/>
              <w:rPr>
                <w:sz w:val="20"/>
                <w:szCs w:val="20"/>
                <w:color w:val="auto"/>
              </w:rPr>
            </w:pPr>
            <w:r>
              <w:rPr>
                <w:rFonts w:ascii="Arial" w:cs="Arial" w:eastAsia="Arial" w:hAnsi="Arial"/>
                <w:sz w:val="18"/>
                <w:szCs w:val="18"/>
                <w:color w:val="auto"/>
              </w:rPr>
              <w:t>Cash used in investing activities</w:t>
            </w:r>
          </w:p>
        </w:tc>
        <w:tc>
          <w:tcPr>
            <w:tcW w:w="92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(6,012 )</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(8,000 )</w:t>
            </w: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200"/>
              <w:spacing w:after="0" w:line="162" w:lineRule="exact"/>
              <w:rPr>
                <w:sz w:val="20"/>
                <w:szCs w:val="20"/>
                <w:color w:val="auto"/>
              </w:rPr>
            </w:pPr>
            <w:r>
              <w:rPr>
                <w:rFonts w:ascii="Arial" w:cs="Arial" w:eastAsia="Arial" w:hAnsi="Arial"/>
                <w:sz w:val="18"/>
                <w:szCs w:val="18"/>
                <w:color w:val="auto"/>
              </w:rPr>
              <w:t>Proceeds from issuance of Series B redeemable convertible</w:t>
            </w:r>
          </w:p>
        </w:tc>
        <w:tc>
          <w:tcPr>
            <w:tcW w:w="920" w:type="dxa"/>
            <w:vAlign w:val="bottom"/>
          </w:tcPr>
          <w:p>
            <w:pPr>
              <w:spacing w:after="0"/>
              <w:rPr>
                <w:sz w:val="14"/>
                <w:szCs w:val="14"/>
                <w:color w:val="auto"/>
              </w:rPr>
            </w:pPr>
          </w:p>
        </w:tc>
        <w:tc>
          <w:tcPr>
            <w:tcW w:w="1060" w:type="dxa"/>
            <w:vAlign w:val="bottom"/>
            <w:gridSpan w:val="3"/>
            <w:vMerge w:val="restart"/>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129,757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340"/>
              <w:spacing w:after="0"/>
              <w:rPr>
                <w:sz w:val="20"/>
                <w:szCs w:val="20"/>
                <w:color w:val="auto"/>
              </w:rPr>
            </w:pPr>
            <w:r>
              <w:rPr>
                <w:rFonts w:ascii="Arial" w:cs="Arial" w:eastAsia="Arial" w:hAnsi="Arial"/>
                <w:sz w:val="18"/>
                <w:szCs w:val="18"/>
                <w:color w:val="auto"/>
              </w:rPr>
              <w:t>preferred shares, net of issuance costs</w:t>
            </w:r>
          </w:p>
        </w:tc>
        <w:tc>
          <w:tcPr>
            <w:tcW w:w="92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issuance of common stock, net</w:t>
            </w: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161,610</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167,660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Proceeds from issuance of common stock upon ESPP purchase</w:t>
            </w:r>
          </w:p>
        </w:tc>
        <w:tc>
          <w:tcPr>
            <w:tcW w:w="9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161,930</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297,417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ind w:left="20"/>
              <w:spacing w:after="0" w:line="196" w:lineRule="exact"/>
              <w:rPr>
                <w:sz w:val="20"/>
                <w:szCs w:val="20"/>
                <w:color w:val="auto"/>
              </w:rPr>
            </w:pPr>
            <w:r>
              <w:rPr>
                <w:rFonts w:ascii="Arial" w:cs="Arial" w:eastAsia="Arial" w:hAnsi="Arial"/>
                <w:sz w:val="18"/>
                <w:szCs w:val="18"/>
                <w:color w:val="auto"/>
              </w:rPr>
              <w:t>Net increase in cash and cash equivalents</w:t>
            </w:r>
          </w:p>
        </w:tc>
        <w:tc>
          <w:tcPr>
            <w:tcW w:w="92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w w:val="89"/>
              </w:rPr>
              <w:t>104,568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266,268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284,309</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0" w:type="dxa"/>
            <w:vAlign w:val="bottom"/>
          </w:tcPr>
          <w:p>
            <w:pPr>
              <w:ind w:left="20"/>
              <w:spacing w:after="0" w:line="196" w:lineRule="exact"/>
              <w:rPr>
                <w:sz w:val="20"/>
                <w:szCs w:val="20"/>
                <w:color w:val="auto"/>
              </w:rPr>
            </w:pPr>
            <w:r>
              <w:rPr>
                <w:rFonts w:ascii="Arial" w:cs="Arial" w:eastAsia="Arial" w:hAnsi="Arial"/>
                <w:sz w:val="18"/>
                <w:szCs w:val="18"/>
                <w:color w:val="auto"/>
              </w:rPr>
              <w:t>Cash and cash equivalents, end of period</w:t>
            </w:r>
          </w:p>
        </w:tc>
        <w:tc>
          <w:tcPr>
            <w:tcW w:w="920" w:type="dxa"/>
            <w:vAlign w:val="bottom"/>
            <w:tcBorders>
              <w:bottom w:val="single" w:sz="8" w:color="auto"/>
            </w:tcBorders>
          </w:tcPr>
          <w:p>
            <w:pPr>
              <w:jc w:val="right"/>
              <w:ind w:right="733"/>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388,877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309,996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Supplemental disclosures of noncash activities</w:t>
            </w:r>
          </w:p>
        </w:tc>
        <w:tc>
          <w:tcPr>
            <w:tcW w:w="9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Lease liability obtained in exchange for right-of-use asset</w:t>
            </w:r>
          </w:p>
        </w:tc>
        <w:tc>
          <w:tcPr>
            <w:tcW w:w="920" w:type="dxa"/>
            <w:vAlign w:val="bottom"/>
          </w:tcPr>
          <w:p>
            <w:pPr>
              <w:jc w:val="right"/>
              <w:ind w:right="733"/>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940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offering costs not yet paid</w:t>
            </w:r>
          </w:p>
        </w:tc>
        <w:tc>
          <w:tcPr>
            <w:tcW w:w="920" w:type="dxa"/>
            <w:vAlign w:val="bottom"/>
            <w:shd w:val="clear" w:color="auto" w:fill="CFF0FC"/>
          </w:tcPr>
          <w:p>
            <w:pPr>
              <w:jc w:val="right"/>
              <w:ind w:right="733"/>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519</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200"/>
              <w:spacing w:after="0" w:line="162" w:lineRule="exact"/>
              <w:rPr>
                <w:sz w:val="20"/>
                <w:szCs w:val="20"/>
                <w:color w:val="auto"/>
              </w:rPr>
            </w:pPr>
            <w:r>
              <w:rPr>
                <w:rFonts w:ascii="Arial" w:cs="Arial" w:eastAsia="Arial" w:hAnsi="Arial"/>
                <w:sz w:val="18"/>
                <w:szCs w:val="18"/>
                <w:color w:val="auto"/>
              </w:rPr>
              <w:t>Exchange of 45,331,483 preferred, common, and incentive shares in connection with the</w:t>
            </w:r>
          </w:p>
        </w:tc>
        <w:tc>
          <w:tcPr>
            <w:tcW w:w="920" w:type="dxa"/>
            <w:vAlign w:val="bottom"/>
            <w:vMerge w:val="restart"/>
          </w:tcPr>
          <w:p>
            <w:pPr>
              <w:jc w:val="right"/>
              <w:ind w:right="733"/>
              <w:spacing w:after="0"/>
              <w:rPr>
                <w:sz w:val="20"/>
                <w:szCs w:val="20"/>
                <w:color w:val="auto"/>
              </w:rPr>
            </w:pPr>
            <w:r>
              <w:rPr>
                <w:rFonts w:ascii="Arial" w:cs="Arial" w:eastAsia="Arial" w:hAnsi="Arial"/>
                <w:sz w:val="18"/>
                <w:szCs w:val="18"/>
                <w:color w:val="auto"/>
                <w:w w:val="79"/>
              </w:rPr>
              <w:t>$</w:t>
            </w:r>
          </w:p>
        </w:tc>
        <w:tc>
          <w:tcPr>
            <w:tcW w:w="1060" w:type="dxa"/>
            <w:vAlign w:val="bottom"/>
            <w:gridSpan w:val="3"/>
            <w:vMerge w:val="restart"/>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224,892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0"/>
              <w:spacing w:after="0"/>
              <w:rPr>
                <w:sz w:val="20"/>
                <w:szCs w:val="20"/>
                <w:color w:val="auto"/>
              </w:rPr>
            </w:pPr>
            <w:r>
              <w:rPr>
                <w:rFonts w:ascii="Arial" w:cs="Arial" w:eastAsia="Arial" w:hAnsi="Arial"/>
                <w:sz w:val="18"/>
                <w:szCs w:val="18"/>
                <w:color w:val="auto"/>
              </w:rPr>
              <w:t>Conversion (Note 1)</w:t>
            </w:r>
          </w:p>
        </w:tc>
        <w:tc>
          <w:tcPr>
            <w:tcW w:w="920" w:type="dxa"/>
            <w:vAlign w:val="bottom"/>
            <w:vMerge w:val="continue"/>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4"/>
              </w:rPr>
              <w:t>Exchange of redeemable convertible noncontrolling interest to 6,470,382 shares of common stock</w:t>
            </w:r>
          </w:p>
        </w:tc>
        <w:tc>
          <w:tcPr>
            <w:tcW w:w="920" w:type="dxa"/>
            <w:vAlign w:val="bottom"/>
            <w:vMerge w:val="restart"/>
            <w:shd w:val="clear" w:color="auto" w:fill="CFF0FC"/>
          </w:tcPr>
          <w:p>
            <w:pPr>
              <w:jc w:val="right"/>
              <w:ind w:right="733"/>
              <w:spacing w:after="0"/>
              <w:rPr>
                <w:sz w:val="20"/>
                <w:szCs w:val="20"/>
                <w:color w:val="auto"/>
              </w:rPr>
            </w:pPr>
            <w:r>
              <w:rPr>
                <w:rFonts w:ascii="Arial" w:cs="Arial" w:eastAsia="Arial" w:hAnsi="Arial"/>
                <w:sz w:val="18"/>
                <w:szCs w:val="18"/>
                <w:color w:val="auto"/>
                <w:w w:val="79"/>
              </w:rPr>
              <w:t>$</w:t>
            </w:r>
          </w:p>
        </w:tc>
        <w:tc>
          <w:tcPr>
            <w:tcW w:w="1060" w:type="dxa"/>
            <w:vAlign w:val="bottom"/>
            <w:gridSpan w:val="3"/>
            <w:vMerge w:val="restart"/>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3,592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(Note 11)</w:t>
            </w:r>
          </w:p>
        </w:tc>
        <w:tc>
          <w:tcPr>
            <w:tcW w:w="920" w:type="dxa"/>
            <w:vAlign w:val="bottom"/>
            <w:vMerge w:val="continue"/>
            <w:shd w:val="clear" w:color="auto" w:fill="CFF0FC"/>
          </w:tcPr>
          <w:p>
            <w:pPr>
              <w:spacing w:after="0"/>
              <w:rPr>
                <w:sz w:val="18"/>
                <w:szCs w:val="18"/>
                <w:color w:val="auto"/>
              </w:rPr>
            </w:pPr>
          </w:p>
        </w:tc>
        <w:tc>
          <w:tcPr>
            <w:tcW w:w="1060" w:type="dxa"/>
            <w:vAlign w:val="bottom"/>
            <w:gridSpan w:val="3"/>
            <w:vMerge w:val="continue"/>
            <w:shd w:val="clear" w:color="auto" w:fill="CFF0FC"/>
          </w:tcPr>
          <w:p>
            <w:pPr>
              <w:spacing w:after="0"/>
              <w:rPr>
                <w:sz w:val="18"/>
                <w:szCs w:val="18"/>
                <w:color w:val="auto"/>
              </w:rPr>
            </w:pPr>
          </w:p>
        </w:tc>
        <w:tc>
          <w:tcPr>
            <w:tcW w:w="360" w:type="dxa"/>
            <w:vAlign w:val="bottom"/>
            <w:vMerge w:val="continue"/>
            <w:shd w:val="clear" w:color="auto" w:fill="CFF0FC"/>
          </w:tcPr>
          <w:p>
            <w:pPr>
              <w:spacing w:after="0"/>
              <w:rPr>
                <w:sz w:val="18"/>
                <w:szCs w:val="18"/>
                <w:color w:val="auto"/>
              </w:rPr>
            </w:pPr>
          </w:p>
        </w:tc>
        <w:tc>
          <w:tcPr>
            <w:tcW w:w="12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-2199640</wp:posOffset>
            </wp:positionV>
            <wp:extent cx="6858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-2199640</wp:posOffset>
            </wp:positionV>
            <wp:extent cx="6858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-1299210</wp:posOffset>
            </wp:positionV>
            <wp:extent cx="6858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-1299210</wp:posOffset>
            </wp:positionV>
            <wp:extent cx="6858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-1024890</wp:posOffset>
            </wp:positionV>
            <wp:extent cx="6858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-1024890</wp:posOffset>
            </wp:positionV>
            <wp:extent cx="685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Day One Biopharmaceuticals, Inc.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92"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Organization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04" w:lineRule="exact"/>
        <w:rPr>
          <w:sz w:val="20"/>
          <w:szCs w:val="20"/>
          <w:color w:val="auto"/>
        </w:rPr>
      </w:pPr>
    </w:p>
    <w:p>
      <w:pPr>
        <w:ind w:left="520" w:firstLine="509"/>
        <w:spacing w:after="0" w:line="241" w:lineRule="auto"/>
        <w:rPr>
          <w:sz w:val="20"/>
          <w:szCs w:val="20"/>
          <w:color w:val="auto"/>
        </w:rPr>
      </w:pPr>
      <w:r>
        <w:rPr>
          <w:rFonts w:ascii="Arial" w:cs="Arial" w:eastAsia="Arial" w:hAnsi="Arial"/>
          <w:sz w:val="18"/>
          <w:szCs w:val="18"/>
          <w:color w:val="auto"/>
        </w:rPr>
        <w:t>Day One Biopharmaceuticals, Inc., or the Company, is a clinical-stage biopharmaceutical company dedicated to developing and commercializing targeted therapies for patients of all ages with life-threatening diseases. The Company was formed as a limited liability company under the laws of the State of Delaware in November 2018, under the name Hero Therapeutics Holding Company, LLC. Subsequently, the Company changed its name to Day One Therapeutics Holding Company, LLC in December 2018 and to Day One Biopharmaceuticals Holding Company, LLC, or Day One Holding LLC, in March 2020.</w:t>
      </w:r>
    </w:p>
    <w:p>
      <w:pPr>
        <w:spacing w:after="0" w:line="81" w:lineRule="exact"/>
        <w:rPr>
          <w:sz w:val="20"/>
          <w:szCs w:val="20"/>
          <w:color w:val="auto"/>
        </w:rPr>
      </w:pPr>
    </w:p>
    <w:p>
      <w:pPr>
        <w:ind w:left="520" w:right="260" w:firstLine="509"/>
        <w:spacing w:after="0" w:line="262" w:lineRule="auto"/>
        <w:rPr>
          <w:sz w:val="20"/>
          <w:szCs w:val="20"/>
          <w:color w:val="auto"/>
        </w:rPr>
      </w:pPr>
      <w:r>
        <w:rPr>
          <w:rFonts w:ascii="Arial" w:cs="Arial" w:eastAsia="Arial" w:hAnsi="Arial"/>
          <w:sz w:val="17"/>
          <w:szCs w:val="17"/>
          <w:color w:val="auto"/>
        </w:rPr>
        <w:t>On May 26, 2021, the Company completed a conversion by filing a certificate of conversion with the Secretary of State of the State of Delaware and changed its name to Day One Biopharmaceuticals, Inc. Prior to December 31, 2021, the Company had two subsidiaries: DOT Therapeutics-2, Inc. (formerly Hero Therapeutics Inc. and Day One Biopharmaceuticals, Inc.), or DOT-2, incorporated in Delaware in November 2018, and DOT Therapeutics-1, Inc., or DOT-1, incorporated in Delaware in December 2019 (collectively, “the Subsidiaries.”)</w:t>
      </w:r>
    </w:p>
    <w:p>
      <w:pPr>
        <w:spacing w:after="0" w:line="267" w:lineRule="exact"/>
        <w:rPr>
          <w:sz w:val="20"/>
          <w:szCs w:val="20"/>
          <w:color w:val="auto"/>
        </w:rPr>
      </w:pPr>
    </w:p>
    <w:p>
      <w:pPr>
        <w:ind w:left="520" w:right="40" w:firstLine="509"/>
        <w:spacing w:after="0" w:line="248" w:lineRule="auto"/>
        <w:rPr>
          <w:sz w:val="20"/>
          <w:szCs w:val="20"/>
          <w:color w:val="auto"/>
        </w:rPr>
      </w:pPr>
      <w:r>
        <w:rPr>
          <w:rFonts w:ascii="Arial" w:cs="Arial" w:eastAsia="Arial" w:hAnsi="Arial"/>
          <w:sz w:val="18"/>
          <w:szCs w:val="18"/>
          <w:color w:val="auto"/>
        </w:rPr>
        <w:t>In December 2021, the Company’s board of directors approved the merger of the Subsidiaries with and into the Company, with the Company being the surviving corporation (collectively, the “Merger”), effective December 31, 2021. For more information on the financial statement impact of the Merger, refer to the section titled “Basis of Presentation.”</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Initial Public Offering, Corporate Conversion and Exchange of Takeda’s shares</w:t>
      </w:r>
    </w:p>
    <w:p>
      <w:pPr>
        <w:spacing w:after="0" w:line="104" w:lineRule="exact"/>
        <w:rPr>
          <w:sz w:val="20"/>
          <w:szCs w:val="20"/>
          <w:color w:val="auto"/>
        </w:rPr>
      </w:pPr>
    </w:p>
    <w:p>
      <w:pPr>
        <w:ind w:left="520" w:right="20" w:firstLine="509"/>
        <w:spacing w:after="0" w:line="241" w:lineRule="auto"/>
        <w:rPr>
          <w:sz w:val="20"/>
          <w:szCs w:val="20"/>
          <w:color w:val="auto"/>
        </w:rPr>
      </w:pPr>
      <w:r>
        <w:rPr>
          <w:rFonts w:ascii="Arial" w:cs="Arial" w:eastAsia="Arial" w:hAnsi="Arial"/>
          <w:sz w:val="18"/>
          <w:szCs w:val="18"/>
          <w:color w:val="auto"/>
        </w:rPr>
        <w:t>On June 1, 2021, the Company closed its initial public offering, or the IPO, in which it sold an aggregate of 11,500,000 shares of common stock at a price to the public of $16.00 per share, which included 1,500,000 shares issued upon the full exercise by the underwriters of their option to purchase additional shares of common stock. The Company received aggregate net proceeds from the IPO of $167.0 million, after deducting underwriting discounts and commissions and offering costs, of $17.0 million. The common stock began trading on the Nasdaq Global Select Market on May 27, 2021, under the symbol “DAWN.”</w:t>
      </w:r>
    </w:p>
    <w:p>
      <w:pPr>
        <w:spacing w:after="0" w:line="81" w:lineRule="exact"/>
        <w:rPr>
          <w:sz w:val="20"/>
          <w:szCs w:val="20"/>
          <w:color w:val="auto"/>
        </w:rPr>
      </w:pPr>
    </w:p>
    <w:p>
      <w:pPr>
        <w:ind w:left="520" w:right="380" w:firstLine="509"/>
        <w:spacing w:after="0" w:line="294" w:lineRule="auto"/>
        <w:rPr>
          <w:sz w:val="20"/>
          <w:szCs w:val="20"/>
          <w:color w:val="auto"/>
        </w:rPr>
      </w:pPr>
      <w:r>
        <w:rPr>
          <w:rFonts w:ascii="Arial" w:cs="Arial" w:eastAsia="Arial" w:hAnsi="Arial"/>
          <w:sz w:val="16"/>
          <w:szCs w:val="16"/>
          <w:color w:val="auto"/>
        </w:rPr>
        <w:t>In contemplation of the IPO, on May 26, 2021, the Company completed a legal entity conversion, or the Conversion, which included the following: Day One Holding LLC (i) converted from a Delaware limited liability company to a Delaware corporation by filing a certificate of conversion with the Secretary of State of the State of Delaware and (ii) changed its name to Day One Biopharmaceuticals, Inc.</w:t>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As part of the Conversion:</w:t>
      </w:r>
    </w:p>
    <w:p>
      <w:pPr>
        <w:spacing w:after="0" w:line="104" w:lineRule="exact"/>
        <w:rPr>
          <w:sz w:val="20"/>
          <w:szCs w:val="20"/>
          <w:color w:val="auto"/>
        </w:rPr>
      </w:pPr>
    </w:p>
    <w:p>
      <w:pPr>
        <w:ind w:left="1540" w:right="280" w:hanging="514"/>
        <w:spacing w:after="0" w:line="248"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holders of Series A redeemable convertible preferred shares of Day One Holding LLC received one share of Series A redeemable convertible preferred stock of the Company for each Series A redeemable convertible preferred share held immediately prior to the Conversion;</w:t>
      </w:r>
    </w:p>
    <w:p>
      <w:pPr>
        <w:spacing w:after="0" w:line="73" w:lineRule="exact"/>
        <w:rPr>
          <w:rFonts w:ascii="Arial" w:cs="Arial" w:eastAsia="Arial" w:hAnsi="Arial"/>
          <w:sz w:val="18"/>
          <w:szCs w:val="18"/>
          <w:color w:val="auto"/>
        </w:rPr>
      </w:pPr>
    </w:p>
    <w:p>
      <w:pPr>
        <w:ind w:left="1540" w:right="280" w:hanging="514"/>
        <w:spacing w:after="0" w:line="248"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holders of Series B redeemable convertible preferred shares of Day One Holding LLC received one share of Series B redeemable convertible preferred stock of the Company for each Series B redeemable convertible preferred share held immediately prior to the Conversion;</w:t>
      </w:r>
    </w:p>
    <w:p>
      <w:pPr>
        <w:spacing w:after="0" w:line="73" w:lineRule="exact"/>
        <w:rPr>
          <w:rFonts w:ascii="Arial" w:cs="Arial" w:eastAsia="Arial" w:hAnsi="Arial"/>
          <w:sz w:val="18"/>
          <w:szCs w:val="18"/>
          <w:color w:val="auto"/>
        </w:rPr>
      </w:pPr>
    </w:p>
    <w:p>
      <w:pPr>
        <w:ind w:left="1540" w:right="300" w:hanging="514"/>
        <w:spacing w:after="0" w:line="261"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holders of common shares of Day One Holding LLC received one share of common stock of the Company for each common share held immediately prior to the Conversion;</w:t>
      </w:r>
    </w:p>
    <w:p>
      <w:pPr>
        <w:spacing w:after="0" w:line="62" w:lineRule="exact"/>
        <w:rPr>
          <w:rFonts w:ascii="Arial" w:cs="Arial" w:eastAsia="Arial" w:hAnsi="Arial"/>
          <w:sz w:val="18"/>
          <w:szCs w:val="18"/>
          <w:color w:val="auto"/>
        </w:rPr>
      </w:pPr>
    </w:p>
    <w:p>
      <w:pPr>
        <w:ind w:left="1540" w:right="20" w:hanging="514"/>
        <w:spacing w:after="0" w:line="241"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outstanding incentive share in Day One Holding LLC converted into a number of shares of common stock of the Company based upon a conversion price determined by the board of directors. The conversion price was determined as a difference between the IPO price of $16.00 per share and the participating threshold for each incentive share. The Company issued 5,433,290 common stock shares upon the conversion of incentive shares of Day One Holding LLC, of which 4,719,605 common stock shares continue to vest as per the original vesting terms of the incentive shares awards.</w:t>
      </w:r>
    </w:p>
    <w:p>
      <w:pPr>
        <w:spacing w:after="0" w:line="81" w:lineRule="exact"/>
        <w:rPr>
          <w:sz w:val="20"/>
          <w:szCs w:val="20"/>
          <w:color w:val="auto"/>
        </w:rPr>
      </w:pPr>
    </w:p>
    <w:p>
      <w:pPr>
        <w:ind w:left="520" w:right="40" w:firstLine="509"/>
        <w:spacing w:after="0" w:line="271" w:lineRule="auto"/>
        <w:rPr>
          <w:sz w:val="20"/>
          <w:szCs w:val="20"/>
          <w:color w:val="auto"/>
        </w:rPr>
      </w:pPr>
      <w:r>
        <w:rPr>
          <w:rFonts w:ascii="Arial" w:cs="Arial" w:eastAsia="Arial" w:hAnsi="Arial"/>
          <w:sz w:val="16"/>
          <w:szCs w:val="16"/>
          <w:color w:val="auto"/>
        </w:rPr>
        <w:t>In connection with the IPO and the Conversion, pursuant to the terms of the Millennium Stock Exchange Agreement, or the Millennium Stock Exchange Agreement, and the Conversion, Millennium Pharmaceuticals, Inc. exchanged 9,857,143 shares of Series A redeemable convertible preferred stock of DOT-1, a subsidiary of Day One Holding LLC, for 6,470,382 shares of common stock of the Company, or the Exchange.</w:t>
      </w: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jc w:val="center"/>
        <w:ind w:right="-11"/>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8" w:lineRule="exact"/>
        <w:rPr>
          <w:sz w:val="20"/>
          <w:szCs w:val="20"/>
          <w:color w:val="auto"/>
        </w:rPr>
      </w:pPr>
    </w:p>
    <w:p>
      <w:pPr>
        <w:ind w:left="512" w:firstLine="509"/>
        <w:spacing w:after="0" w:line="241" w:lineRule="auto"/>
        <w:rPr>
          <w:sz w:val="20"/>
          <w:szCs w:val="20"/>
          <w:color w:val="auto"/>
        </w:rPr>
      </w:pPr>
      <w:r>
        <w:rPr>
          <w:rFonts w:ascii="Arial" w:cs="Arial" w:eastAsia="Arial" w:hAnsi="Arial"/>
          <w:sz w:val="18"/>
          <w:szCs w:val="18"/>
          <w:color w:val="auto"/>
        </w:rPr>
        <w:t>The Company holds all property and assets of Day One Holding LLC and assumed all of the debts and obligations of Day One Holding LLC. Effective on the date of the Conversion, each member of the board of directors and officers of Day One Holding LLC became a member of the board of directors and officers of the Company. The Conversion was a tax-free reorganization, that included authorization to issue capital stock consisting of 500,000,000 shares of common stock, $0.0001 par value per share, and 10,000,000 shares of undesignated preferred stock, $0.0001 par value per share.</w:t>
      </w:r>
    </w:p>
    <w:p>
      <w:pPr>
        <w:spacing w:after="0" w:line="81" w:lineRule="exact"/>
        <w:rPr>
          <w:sz w:val="20"/>
          <w:szCs w:val="20"/>
          <w:color w:val="auto"/>
        </w:rPr>
      </w:pPr>
    </w:p>
    <w:p>
      <w:pPr>
        <w:ind w:left="512" w:right="220" w:firstLine="509"/>
        <w:spacing w:after="0" w:line="248" w:lineRule="auto"/>
        <w:rPr>
          <w:sz w:val="20"/>
          <w:szCs w:val="20"/>
          <w:color w:val="auto"/>
        </w:rPr>
      </w:pPr>
      <w:r>
        <w:rPr>
          <w:rFonts w:ascii="Arial" w:cs="Arial" w:eastAsia="Arial" w:hAnsi="Arial"/>
          <w:sz w:val="18"/>
          <w:szCs w:val="18"/>
          <w:color w:val="auto"/>
        </w:rPr>
        <w:t>Upon the closing of the IPO, 32,489,398 shares of redeemable convertible preferred stock issued by the Company in the Conversion converted into an equal number of shares of common stock. The Company also granted options for 4,418,874 common stock shares at $16.00 per share upon the IPO date.</w:t>
      </w:r>
    </w:p>
    <w:p>
      <w:pPr>
        <w:spacing w:after="0" w:line="290"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Shares Split</w:t>
      </w:r>
    </w:p>
    <w:p>
      <w:pPr>
        <w:spacing w:after="0" w:line="104" w:lineRule="exact"/>
        <w:rPr>
          <w:sz w:val="20"/>
          <w:szCs w:val="20"/>
          <w:color w:val="auto"/>
        </w:rPr>
      </w:pPr>
    </w:p>
    <w:p>
      <w:pPr>
        <w:jc w:val="both"/>
        <w:ind w:left="512" w:right="220" w:firstLine="509"/>
        <w:spacing w:after="0" w:line="241" w:lineRule="auto"/>
        <w:rPr>
          <w:sz w:val="20"/>
          <w:szCs w:val="20"/>
          <w:color w:val="auto"/>
        </w:rPr>
      </w:pPr>
      <w:r>
        <w:rPr>
          <w:rFonts w:ascii="Arial" w:cs="Arial" w:eastAsia="Arial" w:hAnsi="Arial"/>
          <w:sz w:val="18"/>
          <w:szCs w:val="18"/>
          <w:color w:val="auto"/>
        </w:rPr>
        <w:t>On May 23, 2021, the board of directors of Day One Holding LLC approved an amendment to its operating agreement to effect a forward split of the Company’s shares at a 2.325-for-1 ratio, or the Stock Split. The Stock Split became effective on May 23, 2021, upon approval by the members and execution of the amended LLC operating agreement. All issued and outstanding common shares, redeemable convertible preferred shares, incentive shares and per share amounts contained in these condensed consolidated financial statements have been retroactively adjusted to reflect this Stock Split for all periods presented.</w:t>
      </w:r>
    </w:p>
    <w:p>
      <w:pPr>
        <w:spacing w:after="0" w:line="293" w:lineRule="exact"/>
        <w:rPr>
          <w:sz w:val="20"/>
          <w:szCs w:val="20"/>
          <w:color w:val="auto"/>
        </w:rPr>
      </w:pPr>
    </w:p>
    <w:p>
      <w:pPr>
        <w:ind w:left="512" w:hanging="512"/>
        <w:spacing w:after="0"/>
        <w:tabs>
          <w:tab w:leader="none" w:pos="51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08" w:lineRule="exact"/>
        <w:rPr>
          <w:sz w:val="20"/>
          <w:szCs w:val="20"/>
          <w:color w:val="auto"/>
        </w:rPr>
      </w:pPr>
    </w:p>
    <w:p>
      <w:pPr>
        <w:ind w:left="512" w:right="60" w:firstLine="509"/>
        <w:spacing w:after="0" w:line="248" w:lineRule="auto"/>
        <w:rPr>
          <w:sz w:val="20"/>
          <w:szCs w:val="20"/>
          <w:color w:val="auto"/>
        </w:rPr>
      </w:pPr>
      <w:r>
        <w:rPr>
          <w:rFonts w:ascii="Arial" w:cs="Arial" w:eastAsia="Arial" w:hAnsi="Arial"/>
          <w:sz w:val="18"/>
          <w:szCs w:val="18"/>
          <w:color w:val="1C1C1C"/>
        </w:rPr>
        <w:t>There have been no changes to the significant accounting policies as disclosed in Note 2 to the Company’s annual consolidated financial statements for the years ended December 31, 2021 and 2020 included in the Company’s Annual Report on Form 10-K for the year ended December 31, 2021, other than those described below.</w:t>
      </w:r>
    </w:p>
    <w:p>
      <w:pPr>
        <w:spacing w:after="0" w:line="290"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left="512" w:firstLine="509"/>
        <w:spacing w:after="0" w:line="259"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GAAP for interim financial information and with the instructions to Form 10-Q and Article 10 of Regulation S-X. Accordingly, they do not include all of the information and footnotes required by U.S. GAAP for complete financial statements. In the opinion of management, all adjustments (consisting of normal recurring accruals) considered necessary for a fair presentation have been included. Operating results for the six months ended June 30, 2022 are not necessarily indicative of the results that may be expected for the year ending December 31, 2022.</w:t>
      </w:r>
    </w:p>
    <w:p>
      <w:pPr>
        <w:spacing w:after="0" w:line="268" w:lineRule="exact"/>
        <w:rPr>
          <w:sz w:val="20"/>
          <w:szCs w:val="20"/>
          <w:color w:val="auto"/>
        </w:rPr>
      </w:pPr>
    </w:p>
    <w:p>
      <w:pPr>
        <w:ind w:left="512" w:right="60" w:firstLine="509"/>
        <w:spacing w:after="0" w:line="291" w:lineRule="auto"/>
        <w:rPr>
          <w:sz w:val="20"/>
          <w:szCs w:val="20"/>
          <w:color w:val="auto"/>
        </w:rPr>
      </w:pPr>
      <w:r>
        <w:rPr>
          <w:rFonts w:ascii="Arial" w:cs="Arial" w:eastAsia="Arial" w:hAnsi="Arial"/>
          <w:sz w:val="17"/>
          <w:szCs w:val="17"/>
          <w:color w:val="auto"/>
        </w:rPr>
        <w:t>The condensed consolidated balance sheet at December 31, 2021, has been derived from the audited consolidated financial statements at that date but does not include all of the information and footnotes required by U.S. GAAP for complete financial statements.</w:t>
      </w:r>
    </w:p>
    <w:p>
      <w:pPr>
        <w:spacing w:after="0" w:line="39" w:lineRule="exact"/>
        <w:rPr>
          <w:sz w:val="20"/>
          <w:szCs w:val="20"/>
          <w:color w:val="auto"/>
        </w:rPr>
      </w:pPr>
    </w:p>
    <w:p>
      <w:pPr>
        <w:ind w:left="512" w:right="140" w:firstLine="509"/>
        <w:spacing w:after="0" w:line="248" w:lineRule="auto"/>
        <w:rPr>
          <w:sz w:val="20"/>
          <w:szCs w:val="20"/>
          <w:color w:val="auto"/>
        </w:rPr>
      </w:pPr>
      <w:r>
        <w:rPr>
          <w:rFonts w:ascii="Arial" w:cs="Arial" w:eastAsia="Arial" w:hAnsi="Arial"/>
          <w:sz w:val="18"/>
          <w:szCs w:val="18"/>
          <w:color w:val="auto"/>
        </w:rPr>
        <w:t xml:space="preserve">Because the Merger (refer to the section “Organization and Business”) did not constitute a change in the reporting entity, as defined in ASC 250,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the Company has reported the assets and liabilities transferred from its Subsidiaries at historical carrying value, effective December 31, 2021.</w:t>
      </w:r>
    </w:p>
    <w:p>
      <w:pPr>
        <w:spacing w:after="0" w:line="74" w:lineRule="exact"/>
        <w:rPr>
          <w:sz w:val="20"/>
          <w:szCs w:val="20"/>
          <w:color w:val="auto"/>
        </w:rPr>
      </w:pPr>
    </w:p>
    <w:p>
      <w:pPr>
        <w:ind w:left="512" w:right="340" w:firstLine="509"/>
        <w:spacing w:after="0" w:line="261" w:lineRule="auto"/>
        <w:rPr>
          <w:sz w:val="20"/>
          <w:szCs w:val="20"/>
          <w:color w:val="auto"/>
        </w:rPr>
      </w:pPr>
      <w:r>
        <w:rPr>
          <w:rFonts w:ascii="Arial" w:cs="Arial" w:eastAsia="Arial" w:hAnsi="Arial"/>
          <w:sz w:val="18"/>
          <w:szCs w:val="18"/>
          <w:color w:val="auto"/>
        </w:rPr>
        <w:t>For further information, refer to the consolidated financial statements and footnotes thereto included in the Company's Annual Report on Form 10-K for the year ended December 31, 2021.</w:t>
      </w:r>
    </w:p>
    <w:p>
      <w:pPr>
        <w:spacing w:after="0" w:line="63" w:lineRule="exact"/>
        <w:rPr>
          <w:sz w:val="20"/>
          <w:szCs w:val="20"/>
          <w:color w:val="auto"/>
        </w:rPr>
      </w:pPr>
    </w:p>
    <w:p>
      <w:pPr>
        <w:ind w:left="512" w:right="40" w:firstLine="509"/>
        <w:spacing w:after="0" w:line="248" w:lineRule="auto"/>
        <w:rPr>
          <w:sz w:val="20"/>
          <w:szCs w:val="20"/>
          <w:color w:val="auto"/>
        </w:rPr>
      </w:pPr>
      <w:r>
        <w:rPr>
          <w:rFonts w:ascii="Arial" w:cs="Arial" w:eastAsia="Arial" w:hAnsi="Arial"/>
          <w:sz w:val="18"/>
          <w:szCs w:val="18"/>
          <w:color w:val="auto"/>
        </w:rPr>
        <w:t>Any reference in these notes to applicable guidance is meant to refer to the authoritative generally accepted accounting principles as found in the Accounting Standards Codification, or ASC, and Accounting Standards Updates, or ASU, of the Financial Accounting Standards Board, or FASB.</w:t>
      </w:r>
    </w:p>
    <w:p>
      <w:pPr>
        <w:spacing w:after="0" w:line="290"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left="512" w:firstLine="509"/>
        <w:spacing w:after="0" w:line="276"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reported amounts of assets, liabilities and disclosure of contingent assets and liabilities at the date of the condensed consolidated financial statements, and the reported amounts of expenses during the reporting period. Significant estimates and assumptions made in the accompanying condensed consolidated financial statements include, but are not limited to, the valuation of share-based awards, the valuation of deferred tax assets and income tax uncertainties, and accruals for research and development activities. The Company bases its estimates on historical experience and on various other assumptions that are believed to be reasonable. Actual results may differ from those estimates or assumptions.</w:t>
      </w:r>
    </w:p>
    <w:p>
      <w:pPr>
        <w:spacing w:after="0" w:line="269"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21" w:right="359" w:bottom="1440" w:gutter="0" w:footer="0" w:header="0"/>
        </w:sectPr>
      </w:pPr>
    </w:p>
    <w:bookmarkStart w:id="10" w:name="page11"/>
    <w:bookmarkEnd w:id="10"/>
    <w:p>
      <w:pPr>
        <w:ind w:left="28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8" w:lineRule="exact"/>
        <w:rPr>
          <w:sz w:val="20"/>
          <w:szCs w:val="20"/>
          <w:color w:val="auto"/>
        </w:rPr>
      </w:pPr>
    </w:p>
    <w:p>
      <w:pPr>
        <w:ind w:right="260" w:firstLine="509"/>
        <w:spacing w:after="0" w:line="241" w:lineRule="auto"/>
        <w:rPr>
          <w:sz w:val="20"/>
          <w:szCs w:val="20"/>
          <w:color w:val="auto"/>
        </w:rPr>
      </w:pPr>
      <w:r>
        <w:rPr>
          <w:rFonts w:ascii="Arial" w:cs="Arial" w:eastAsia="Arial" w:hAnsi="Arial"/>
          <w:sz w:val="18"/>
          <w:szCs w:val="18"/>
          <w:color w:val="auto"/>
        </w:rPr>
        <w:t>Financial instruments that subject the Company to significant concentrations of credit risk consist primarily of cash, cash equivalents, and short-term investments. The Company’s cash, cash equivalents, and short-term investments are held in more than one financial institution in the United States. Amounts on deposit may at times exceed federally insured limits. Management believes that the financial institutions that the Company's cash, cash equivalents, and short-term investments are held at are financially sound and, accordingly, minimal credit risk exists with respect to the financial institutions.</w:t>
      </w:r>
    </w:p>
    <w:p>
      <w:pPr>
        <w:spacing w:after="0" w:line="284" w:lineRule="exact"/>
        <w:rPr>
          <w:sz w:val="20"/>
          <w:szCs w:val="20"/>
          <w:color w:val="auto"/>
        </w:rPr>
      </w:pPr>
    </w:p>
    <w:p>
      <w:pPr>
        <w:ind w:right="180" w:firstLine="509"/>
        <w:spacing w:after="0" w:line="257" w:lineRule="auto"/>
        <w:rPr>
          <w:sz w:val="20"/>
          <w:szCs w:val="20"/>
          <w:color w:val="auto"/>
        </w:rPr>
      </w:pPr>
      <w:r>
        <w:rPr>
          <w:rFonts w:ascii="Arial" w:cs="Arial" w:eastAsia="Arial" w:hAnsi="Arial"/>
          <w:sz w:val="17"/>
          <w:szCs w:val="17"/>
          <w:color w:val="auto"/>
        </w:rPr>
        <w:t>The Company is subject to certain risks and uncertainties and believes that changes in any of the following areas could have a material adverse effect on the Company's future financial position or results of its operations: ability to obtain future financing; regulatory requirements for approval and market acceptance of, and reimbursement for, product candidates; performance of third-party clinical research organizations and manufacturers upon which the Company relies; development of sales channels; protection of the Company’s intellectual property; litigation or claims against the Company based on intellectual property, patent, product, regulatory or other factors; changes to the market landscape; and the Company’s ability to attract and retain employees necessary to support its growth.</w:t>
      </w:r>
    </w:p>
    <w:p>
      <w:pPr>
        <w:spacing w:after="0" w:line="270"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306" w:lineRule="exact"/>
        <w:rPr>
          <w:sz w:val="20"/>
          <w:szCs w:val="20"/>
          <w:color w:val="auto"/>
        </w:rPr>
      </w:pPr>
    </w:p>
    <w:p>
      <w:pPr>
        <w:ind w:right="380" w:firstLine="509"/>
        <w:spacing w:after="0" w:line="248"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time of purchase to be cash equivalents. The Company’s cash equivalents consist of investments in money market funds and U.S. government agency securities. Cash equivalents are recognized at amortized cost, which approximates fair value.</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306" w:lineRule="exact"/>
        <w:rPr>
          <w:sz w:val="20"/>
          <w:szCs w:val="20"/>
          <w:color w:val="auto"/>
        </w:rPr>
      </w:pPr>
    </w:p>
    <w:p>
      <w:pPr>
        <w:ind w:right="120" w:firstLine="509"/>
        <w:spacing w:after="0" w:line="257" w:lineRule="auto"/>
        <w:rPr>
          <w:sz w:val="20"/>
          <w:szCs w:val="20"/>
          <w:color w:val="auto"/>
        </w:rPr>
      </w:pPr>
      <w:r>
        <w:rPr>
          <w:rFonts w:ascii="Arial" w:cs="Arial" w:eastAsia="Arial" w:hAnsi="Arial"/>
          <w:sz w:val="17"/>
          <w:szCs w:val="17"/>
          <w:color w:val="auto"/>
        </w:rPr>
        <w:t>The Company’s investments are comprised of money market funds, U.S. government agency securities, and U.S. treasury securities. Investments are classified at the time of purchase, based on management’s intent, as held-to-maturity, available-for-sale, or trading. All of the Company’s investments are classified as available-for-sale. Available-for-sale securities are carried at estimated fair value with unrealized holdings gains and losses (net of tax effects) on such investments reported in other comprehensive (loss) income as a separate component on the condensed consolidated statements of comprehensive loss. Fair value is determined based on quoted market rates when observable or by utilizing data points that are observable, such as quoted prices, interest rates, and yield curves.</w:t>
      </w:r>
    </w:p>
    <w:p>
      <w:pPr>
        <w:spacing w:after="0" w:line="270"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For available-for-sale securities, the Company determines if any impairment is related to credit loss or non-credit loss. In making the assessment of whether a loss is from credit or other factors, management considers the extent to which fair value is less than amortized cost, any changes to the rating of the security by a rating agency and adverse conditions related to the security, among other factors. If this assessment indicates that a credit loss exists, the present value of cash flows expected to be collected from the security are compared to the amortized cost basis of the security. If the present value of cash flows is less than the amortized cost basis, a credit loss exists and an allowance is created, limited by the amount that the fair value is less than amortized cost basis. Subsequent activity related to the credit loss component in the form of write-offs or recoveries is recognized as part of the allowance for credit losses on available-for-sale securities.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Assets and liabilities recorded at fair value on a recurring basis in the condensed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6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53340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40" w:top="121" w:right="359" w:bottom="1440" w:gutter="0" w:footer="0" w:header="0"/>
        </w:sectPr>
      </w:pPr>
    </w:p>
    <w:bookmarkStart w:id="11" w:name="page12"/>
    <w:bookmarkEnd w:id="11"/>
    <w:p>
      <w:pPr>
        <w:ind w:left="3352"/>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8" w:lineRule="exact"/>
        <w:rPr>
          <w:sz w:val="20"/>
          <w:szCs w:val="20"/>
          <w:color w:val="auto"/>
        </w:rPr>
      </w:pPr>
    </w:p>
    <w:p>
      <w:pPr>
        <w:ind w:left="1012"/>
        <w:spacing w:after="0"/>
        <w:rPr>
          <w:sz w:val="20"/>
          <w:szCs w:val="20"/>
          <w:color w:val="auto"/>
        </w:rPr>
      </w:pPr>
      <w:r>
        <w:rPr>
          <w:rFonts w:ascii="Arial" w:cs="Arial" w:eastAsia="Arial" w:hAnsi="Arial"/>
          <w:sz w:val="16"/>
          <w:szCs w:val="16"/>
          <w:color w:val="auto"/>
        </w:rPr>
        <w:t>Level 1—Observable inputs such as unadjusted, quoted prices in active markets for identical assets or liabilities at the measurement date;</w:t>
      </w:r>
    </w:p>
    <w:p>
      <w:pPr>
        <w:spacing w:after="0" w:line="329" w:lineRule="exact"/>
        <w:rPr>
          <w:sz w:val="20"/>
          <w:szCs w:val="20"/>
          <w:color w:val="auto"/>
        </w:rPr>
      </w:pPr>
    </w:p>
    <w:p>
      <w:pPr>
        <w:ind w:left="1012" w:right="80"/>
        <w:spacing w:after="0" w:line="248" w:lineRule="auto"/>
        <w:rPr>
          <w:sz w:val="20"/>
          <w:szCs w:val="20"/>
          <w:color w:val="auto"/>
        </w:rPr>
      </w:pPr>
      <w:r>
        <w:rPr>
          <w:rFonts w:ascii="Arial" w:cs="Arial" w:eastAsia="Arial" w:hAnsi="Arial"/>
          <w:sz w:val="18"/>
          <w:szCs w:val="18"/>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r>
    </w:p>
    <w:p>
      <w:pPr>
        <w:spacing w:after="0" w:line="276" w:lineRule="exact"/>
        <w:rPr>
          <w:sz w:val="20"/>
          <w:szCs w:val="20"/>
          <w:color w:val="auto"/>
        </w:rPr>
      </w:pPr>
    </w:p>
    <w:p>
      <w:pPr>
        <w:ind w:left="1012" w:right="540"/>
        <w:spacing w:after="0" w:line="261"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65" w:lineRule="exact"/>
        <w:rPr>
          <w:sz w:val="20"/>
          <w:szCs w:val="20"/>
          <w:color w:val="auto"/>
        </w:rPr>
      </w:pPr>
    </w:p>
    <w:p>
      <w:pPr>
        <w:ind w:left="512" w:firstLine="509"/>
        <w:spacing w:after="0" w:line="243"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282" w:lineRule="exact"/>
        <w:rPr>
          <w:sz w:val="20"/>
          <w:szCs w:val="20"/>
          <w:color w:val="auto"/>
        </w:rPr>
      </w:pPr>
    </w:p>
    <w:p>
      <w:pPr>
        <w:ind w:left="512" w:right="60" w:firstLine="509"/>
        <w:spacing w:after="0" w:line="291" w:lineRule="auto"/>
        <w:rPr>
          <w:sz w:val="20"/>
          <w:szCs w:val="20"/>
          <w:color w:val="auto"/>
        </w:rPr>
      </w:pPr>
      <w:r>
        <w:rPr>
          <w:rFonts w:ascii="Arial" w:cs="Arial" w:eastAsia="Arial" w:hAnsi="Arial"/>
          <w:sz w:val="17"/>
          <w:szCs w:val="17"/>
          <w:color w:val="auto"/>
        </w:rPr>
        <w:t>The carrying amounts reflected in the accompanying condensed consolidated balance sheets for cash equivalents, prepaid expenses and other current assets, accounts payable and accrued expenses approximate their fair values, due to their short-term nature.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04" w:lineRule="exact"/>
        <w:rPr>
          <w:sz w:val="20"/>
          <w:szCs w:val="20"/>
          <w:color w:val="auto"/>
        </w:rPr>
      </w:pPr>
    </w:p>
    <w:p>
      <w:pPr>
        <w:ind w:left="512" w:right="40" w:firstLine="509"/>
        <w:spacing w:after="0" w:line="255"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72" w:lineRule="exact"/>
        <w:rPr>
          <w:sz w:val="20"/>
          <w:szCs w:val="20"/>
          <w:color w:val="auto"/>
        </w:rPr>
      </w:pPr>
    </w:p>
    <w:p>
      <w:pPr>
        <w:ind w:left="512" w:right="60" w:firstLine="509"/>
        <w:spacing w:after="0" w:line="248" w:lineRule="auto"/>
        <w:rPr>
          <w:sz w:val="20"/>
          <w:szCs w:val="20"/>
          <w:color w:val="auto"/>
        </w:rPr>
      </w:pPr>
      <w:r>
        <w:rPr>
          <w:rFonts w:ascii="Arial" w:cs="Arial" w:eastAsia="Arial" w:hAnsi="Arial"/>
          <w:sz w:val="18"/>
          <w:szCs w:val="18"/>
          <w:color w:val="auto"/>
        </w:rPr>
        <w:t>The JOBS Act does not preclude an emerging growth company from adopting a new or revised accounting standard earlier than the time that such standard applies to private companies. The Company expects to use the extended transition period for any other new or revised accounting standards during the period in which it remains an emerging growth company.</w:t>
      </w:r>
    </w:p>
    <w:p>
      <w:pPr>
        <w:spacing w:after="0" w:line="290"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4" w:lineRule="exact"/>
        <w:rPr>
          <w:sz w:val="20"/>
          <w:szCs w:val="20"/>
          <w:color w:val="auto"/>
        </w:rPr>
      </w:pPr>
    </w:p>
    <w:p>
      <w:pPr>
        <w:ind w:left="512" w:right="40" w:firstLine="509"/>
        <w:spacing w:after="0" w:line="257" w:lineRule="auto"/>
        <w:rPr>
          <w:sz w:val="20"/>
          <w:szCs w:val="20"/>
          <w:color w:val="auto"/>
        </w:rPr>
      </w:pPr>
      <w:r>
        <w:rPr>
          <w:rFonts w:ascii="Arial" w:cs="Arial" w:eastAsia="Arial" w:hAnsi="Arial"/>
          <w:sz w:val="17"/>
          <w:szCs w:val="17"/>
          <w:color w:val="auto"/>
        </w:rPr>
        <w:t>In December 2019, the FASB issued ASU 2019-12, Income Taxes (Topic 740): Simplifying the Accounting for Income Taxes, or ASU 2019-12, which eliminates certain exceptions related to the approach for intra-period tax allocation, the methodology for calculating income taxes in an interim period and the recognition of deferred tax liabilities for outside basis differences. ASU 2019-12 also clarifies and simplifies other aspects of the accounting for income taxes. The standard is effective for fiscal years, and interim periods within those fiscal years, beginning after December 15, 2020, with early adoption permitted. The Company adopted ASU 2019-12 on January 1, 2022, and this adoption had no material impact on the Company’s financial statements and related disclosures.</w:t>
      </w:r>
    </w:p>
    <w:p>
      <w:pPr>
        <w:spacing w:after="0" w:line="200" w:lineRule="exact"/>
        <w:rPr>
          <w:sz w:val="20"/>
          <w:szCs w:val="20"/>
          <w:color w:val="auto"/>
        </w:rPr>
      </w:pPr>
    </w:p>
    <w:p>
      <w:pPr>
        <w:spacing w:after="0" w:line="390" w:lineRule="exact"/>
        <w:rPr>
          <w:sz w:val="20"/>
          <w:szCs w:val="20"/>
          <w:color w:val="auto"/>
        </w:rPr>
      </w:pPr>
    </w:p>
    <w:p>
      <w:pPr>
        <w:ind w:left="512" w:hanging="512"/>
        <w:spacing w:after="0"/>
        <w:tabs>
          <w:tab w:leader="none" w:pos="51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Recurring Fair Value Measurements</w:t>
      </w:r>
    </w:p>
    <w:p>
      <w:pPr>
        <w:spacing w:after="0" w:line="108" w:lineRule="exact"/>
        <w:rPr>
          <w:sz w:val="20"/>
          <w:szCs w:val="20"/>
          <w:color w:val="auto"/>
        </w:rPr>
      </w:pPr>
    </w:p>
    <w:p>
      <w:pPr>
        <w:ind w:left="512" w:right="200" w:firstLine="509"/>
        <w:spacing w:after="0" w:line="261" w:lineRule="auto"/>
        <w:rPr>
          <w:sz w:val="20"/>
          <w:szCs w:val="20"/>
          <w:color w:val="auto"/>
        </w:rPr>
      </w:pPr>
      <w:r>
        <w:rPr>
          <w:rFonts w:ascii="Arial" w:cs="Arial" w:eastAsia="Arial" w:hAnsi="Arial"/>
          <w:sz w:val="18"/>
          <w:szCs w:val="18"/>
          <w:color w:val="auto"/>
        </w:rPr>
        <w:t>The following table sets forth the Company’s financial instruments as of June 30, 2022 and December 31, 2021, which are measured at fair value on a recurring basis by level within the fair value hierarchy (in thousands):</w:t>
      </w:r>
    </w:p>
    <w:p>
      <w:pPr>
        <w:spacing w:after="0" w:line="26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June 30, 2022</w:t>
            </w:r>
          </w:p>
        </w:tc>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Financial assets:</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120"/>
              <w:spacing w:after="0" w:line="202" w:lineRule="exact"/>
              <w:rPr>
                <w:sz w:val="20"/>
                <w:szCs w:val="20"/>
                <w:color w:val="auto"/>
              </w:rPr>
            </w:pPr>
            <w:r>
              <w:rPr>
                <w:rFonts w:ascii="Arial" w:cs="Arial" w:eastAsia="Arial" w:hAnsi="Arial"/>
                <w:sz w:val="18"/>
                <w:szCs w:val="18"/>
                <w:color w:val="auto"/>
              </w:rPr>
              <w:t>Money market funds</w:t>
            </w:r>
          </w:p>
        </w:tc>
        <w:tc>
          <w:tcPr>
            <w:tcW w:w="3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94,318</w:t>
            </w:r>
          </w:p>
        </w:tc>
        <w:tc>
          <w:tcPr>
            <w:tcW w:w="580" w:type="dxa"/>
            <w:vAlign w:val="bottom"/>
            <w:gridSpan w:val="3"/>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999"/>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94,318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U.S. treasury securities</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5,987</w:t>
            </w: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3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60" w:type="dxa"/>
            <w:vAlign w:val="bottom"/>
          </w:tcPr>
          <w:p>
            <w:pPr>
              <w:ind w:left="120"/>
              <w:spacing w:after="0" w:line="202" w:lineRule="exact"/>
              <w:rPr>
                <w:sz w:val="20"/>
                <w:szCs w:val="20"/>
                <w:color w:val="auto"/>
              </w:rPr>
            </w:pPr>
            <w:r>
              <w:rPr>
                <w:rFonts w:ascii="Arial" w:cs="Arial" w:eastAsia="Arial" w:hAnsi="Arial"/>
                <w:sz w:val="18"/>
                <w:szCs w:val="18"/>
                <w:color w:val="auto"/>
              </w:rPr>
              <w:t>U.S. government agency securities</w:t>
            </w: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99,802</w:t>
            </w:r>
          </w:p>
        </w:tc>
        <w:tc>
          <w:tcPr>
            <w:tcW w:w="24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99,802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assets measured at fair value</w:t>
            </w:r>
          </w:p>
        </w:tc>
        <w:tc>
          <w:tcPr>
            <w:tcW w:w="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94,318</w:t>
            </w:r>
          </w:p>
        </w:tc>
        <w:tc>
          <w:tcPr>
            <w:tcW w:w="2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105,789</w:t>
            </w:r>
          </w:p>
        </w:tc>
        <w:tc>
          <w:tcPr>
            <w:tcW w:w="24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999"/>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ind w:left="18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200,107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4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December 31, 2021</w:t>
            </w: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160" w:type="dxa"/>
            <w:vAlign w:val="bottom"/>
            <w:vMerge w:val="restart"/>
          </w:tcPr>
          <w:p>
            <w:pPr>
              <w:ind w:left="20"/>
              <w:spacing w:after="0"/>
              <w:rPr>
                <w:sz w:val="20"/>
                <w:szCs w:val="20"/>
                <w:color w:val="auto"/>
              </w:rPr>
            </w:pPr>
            <w:r>
              <w:rPr>
                <w:rFonts w:ascii="Arial" w:cs="Arial" w:eastAsia="Arial" w:hAnsi="Arial"/>
                <w:sz w:val="18"/>
                <w:szCs w:val="18"/>
                <w:color w:val="auto"/>
              </w:rPr>
              <w:t>Financial assets:</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477"/>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1180" w:type="dxa"/>
            <w:vAlign w:val="bottom"/>
          </w:tcPr>
          <w:p>
            <w:pPr>
              <w:jc w:val="right"/>
              <w:ind w:right="99"/>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60" w:type="dxa"/>
            <w:vAlign w:val="bottom"/>
            <w:vMerge w:val="continue"/>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auto"/>
            </w:tcBorders>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111,221</w:t>
            </w:r>
          </w:p>
        </w:tc>
        <w:tc>
          <w:tcPr>
            <w:tcW w:w="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999"/>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111,221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Pr>
          <w:p>
            <w:pPr>
              <w:ind w:left="20"/>
              <w:spacing w:after="0" w:line="196" w:lineRule="exact"/>
              <w:rPr>
                <w:sz w:val="20"/>
                <w:szCs w:val="20"/>
                <w:color w:val="auto"/>
              </w:rPr>
            </w:pPr>
            <w:r>
              <w:rPr>
                <w:rFonts w:ascii="Arial" w:cs="Arial" w:eastAsia="Arial" w:hAnsi="Arial"/>
                <w:sz w:val="18"/>
                <w:szCs w:val="18"/>
                <w:color w:val="auto"/>
              </w:rPr>
              <w:t>Total assets measured at fair value</w:t>
            </w:r>
          </w:p>
        </w:tc>
        <w:tc>
          <w:tcPr>
            <w:tcW w:w="34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111,221</w:t>
            </w:r>
          </w:p>
        </w:tc>
        <w:tc>
          <w:tcPr>
            <w:tcW w:w="40" w:type="dxa"/>
            <w:vAlign w:val="bottom"/>
          </w:tcPr>
          <w:p>
            <w:pPr>
              <w:spacing w:after="0"/>
              <w:rPr>
                <w:sz w:val="17"/>
                <w:szCs w:val="17"/>
                <w:color w:val="auto"/>
              </w:rPr>
            </w:pPr>
          </w:p>
        </w:tc>
        <w:tc>
          <w:tcPr>
            <w:tcW w:w="580" w:type="dxa"/>
            <w:vAlign w:val="bottom"/>
            <w:gridSpan w:val="3"/>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999"/>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ind w:left="18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111,221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-814070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-796925</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-814070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-796925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-814070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-796925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-796925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-159385</wp:posOffset>
            </wp:positionV>
            <wp:extent cx="7683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-159385</wp:posOffset>
            </wp:positionV>
            <wp:extent cx="7747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-159385</wp:posOffset>
            </wp:positionV>
            <wp:extent cx="6858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84" w:lineRule="exact"/>
        <w:rPr>
          <w:sz w:val="20"/>
          <w:szCs w:val="20"/>
          <w:color w:val="auto"/>
        </w:rPr>
      </w:pPr>
    </w:p>
    <w:p>
      <w:pPr>
        <w:ind w:left="520" w:right="340" w:firstLine="509"/>
        <w:spacing w:after="0" w:line="261" w:lineRule="auto"/>
        <w:rPr>
          <w:sz w:val="20"/>
          <w:szCs w:val="20"/>
          <w:color w:val="auto"/>
        </w:rPr>
      </w:pPr>
      <w:r>
        <w:rPr>
          <w:rFonts w:ascii="Arial" w:cs="Arial" w:eastAsia="Arial" w:hAnsi="Arial"/>
          <w:sz w:val="18"/>
          <w:szCs w:val="18"/>
          <w:color w:val="auto"/>
        </w:rPr>
        <w:t>The Company's money market funds are classified as Level 1 because they are measured using observable inputs from active markets for identical assets.</w:t>
      </w:r>
    </w:p>
    <w:p>
      <w:pPr>
        <w:spacing w:after="0" w:line="63" w:lineRule="exact"/>
        <w:rPr>
          <w:sz w:val="20"/>
          <w:szCs w:val="20"/>
          <w:color w:val="auto"/>
        </w:rPr>
      </w:pPr>
    </w:p>
    <w:p>
      <w:pPr>
        <w:ind w:left="520" w:right="60" w:firstLine="509"/>
        <w:spacing w:after="0" w:line="248" w:lineRule="auto"/>
        <w:rPr>
          <w:sz w:val="20"/>
          <w:szCs w:val="20"/>
          <w:color w:val="auto"/>
        </w:rPr>
      </w:pPr>
      <w:r>
        <w:rPr>
          <w:rFonts w:ascii="Arial" w:cs="Arial" w:eastAsia="Arial" w:hAnsi="Arial"/>
          <w:sz w:val="18"/>
          <w:szCs w:val="18"/>
          <w:color w:val="auto"/>
        </w:rPr>
        <w:t>The Company's U.S. treasury securities and U.S. government agency securities are classified as Level 2 because they are measured with inputs that are either directly or indirectly observable for the asset which include quoted prices for similar assets in active markets and quoted prices for identical or similar assets in markets that are not active.</w:t>
      </w:r>
    </w:p>
    <w:p>
      <w:pPr>
        <w:spacing w:after="0" w:line="7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There were no assets or liabilities classified as Level 3 as of June 30, 2022 and December 31, 2021.</w:t>
      </w:r>
    </w:p>
    <w:p>
      <w:pPr>
        <w:spacing w:after="0" w:line="10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There were no transfers between Level 1, Level 2 or Level 3 categories during the periods presented.</w:t>
      </w:r>
    </w:p>
    <w:p>
      <w:pPr>
        <w:spacing w:after="0" w:line="104" w:lineRule="exact"/>
        <w:rPr>
          <w:sz w:val="20"/>
          <w:szCs w:val="20"/>
          <w:color w:val="auto"/>
        </w:rPr>
      </w:pPr>
    </w:p>
    <w:p>
      <w:pPr>
        <w:ind w:left="520" w:right="180" w:firstLine="509"/>
        <w:spacing w:after="0" w:line="261" w:lineRule="auto"/>
        <w:rPr>
          <w:sz w:val="20"/>
          <w:szCs w:val="20"/>
          <w:color w:val="auto"/>
        </w:rPr>
      </w:pPr>
      <w:r>
        <w:rPr>
          <w:rFonts w:ascii="Arial" w:cs="Arial" w:eastAsia="Arial" w:hAnsi="Arial"/>
          <w:sz w:val="18"/>
          <w:szCs w:val="18"/>
          <w:color w:val="auto"/>
        </w:rPr>
        <w:t>The following tables summarize the estimated fair value of the Company's cash equivalents, available-for-sale securities classified as short-term investments, and unrealized gains and losses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3"/>
          </w:tcPr>
          <w:p>
            <w:pPr>
              <w:jc w:val="center"/>
              <w:ind w:left="17"/>
              <w:spacing w:after="0"/>
              <w:rPr>
                <w:sz w:val="20"/>
                <w:szCs w:val="20"/>
                <w:color w:val="auto"/>
              </w:rPr>
            </w:pPr>
            <w:r>
              <w:rPr>
                <w:rFonts w:ascii="Arial" w:cs="Arial" w:eastAsia="Arial" w:hAnsi="Arial"/>
                <w:sz w:val="14"/>
                <w:szCs w:val="14"/>
                <w:b w:val="1"/>
                <w:bCs w:val="1"/>
                <w:color w:val="auto"/>
                <w:w w:val="92"/>
              </w:rPr>
              <w:t>June 30, 2022</w:t>
            </w: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Unrealized Gains</w:t>
            </w:r>
          </w:p>
        </w:tc>
        <w:tc>
          <w:tcPr>
            <w:tcW w:w="24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Unrealized Losses</w:t>
            </w: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4"/>
              </w:rPr>
              <w:t>Estimated 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20" w:type="dxa"/>
            <w:vAlign w:val="bottom"/>
            <w:tcBorders>
              <w:right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160" w:type="dxa"/>
            <w:vAlign w:val="bottom"/>
            <w:shd w:val="clear" w:color="auto" w:fill="CFF0FC"/>
          </w:tcPr>
          <w:p>
            <w:pPr>
              <w:spacing w:after="0"/>
              <w:rPr>
                <w:sz w:val="17"/>
                <w:szCs w:val="17"/>
                <w:color w:val="auto"/>
              </w:rPr>
            </w:pPr>
          </w:p>
        </w:tc>
        <w:tc>
          <w:tcPr>
            <w:tcW w:w="1300" w:type="dxa"/>
            <w:vAlign w:val="bottom"/>
            <w:tcBorders>
              <w:right w:val="single" w:sz="8" w:color="CFF0FC"/>
            </w:tcBorders>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120"/>
              <w:spacing w:after="0" w:line="202" w:lineRule="exact"/>
              <w:rPr>
                <w:sz w:val="20"/>
                <w:szCs w:val="20"/>
                <w:color w:val="auto"/>
              </w:rPr>
            </w:pPr>
            <w:r>
              <w:rPr>
                <w:rFonts w:ascii="Arial" w:cs="Arial" w:eastAsia="Arial" w:hAnsi="Arial"/>
                <w:sz w:val="18"/>
                <w:szCs w:val="18"/>
                <w:color w:val="auto"/>
              </w:rPr>
              <w:t>Money market funds</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94,318</w:t>
            </w:r>
          </w:p>
        </w:tc>
        <w:tc>
          <w:tcPr>
            <w:tcW w:w="4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ind w:left="1260"/>
              <w:spacing w:after="0" w:line="202" w:lineRule="exact"/>
              <w:rPr>
                <w:sz w:val="20"/>
                <w:szCs w:val="20"/>
                <w:color w:val="auto"/>
              </w:rPr>
            </w:pPr>
            <w:r>
              <w:rPr>
                <w:rFonts w:ascii="Arial" w:cs="Arial" w:eastAsia="Arial" w:hAnsi="Arial"/>
                <w:sz w:val="18"/>
                <w:szCs w:val="18"/>
                <w:color w:val="auto"/>
                <w:w w:val="88"/>
              </w:rPr>
              <w:t>—</w:t>
            </w:r>
          </w:p>
        </w:tc>
        <w:tc>
          <w:tcPr>
            <w:tcW w:w="1600" w:type="dxa"/>
            <w:vAlign w:val="bottom"/>
            <w:gridSpan w:val="2"/>
          </w:tcPr>
          <w:p>
            <w:pPr>
              <w:jc w:val="right"/>
              <w:ind w:right="1179"/>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94,318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Borders>
              <w:right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FF0FC"/>
          </w:tcPr>
          <w:p>
            <w:pPr>
              <w:spacing w:after="0"/>
              <w:rPr>
                <w:sz w:val="17"/>
                <w:szCs w:val="17"/>
                <w:color w:val="auto"/>
              </w:rPr>
            </w:pPr>
          </w:p>
        </w:tc>
        <w:tc>
          <w:tcPr>
            <w:tcW w:w="13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99,820</w:t>
            </w:r>
          </w:p>
        </w:tc>
        <w:tc>
          <w:tcPr>
            <w:tcW w:w="26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tcBorders>
              <w:right w:val="single" w:sz="8" w:color="CFF0FC"/>
            </w:tcBorders>
            <w:shd w:val="clear" w:color="auto" w:fill="CFF0FC"/>
          </w:tcPr>
          <w:p>
            <w:pPr>
              <w:ind w:left="1260"/>
              <w:spacing w:after="0" w:line="202" w:lineRule="exact"/>
              <w:rPr>
                <w:sz w:val="20"/>
                <w:szCs w:val="20"/>
                <w:color w:val="auto"/>
              </w:rPr>
            </w:pPr>
            <w:r>
              <w:rPr>
                <w:rFonts w:ascii="Arial" w:cs="Arial" w:eastAsia="Arial" w:hAnsi="Arial"/>
                <w:sz w:val="18"/>
                <w:szCs w:val="18"/>
                <w:color w:val="auto"/>
                <w:w w:val="88"/>
              </w:rPr>
              <w:t>—</w:t>
            </w:r>
          </w:p>
        </w:tc>
        <w:tc>
          <w:tcPr>
            <w:tcW w:w="240" w:type="dxa"/>
            <w:vAlign w:val="bottom"/>
            <w:tcBorders>
              <w:right w:val="single" w:sz="8" w:color="CFF0FC"/>
            </w:tcBorders>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86"/>
              </w:rPr>
              <w:t>(18 )</w:t>
            </w: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99,802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tcPr>
          <w:p>
            <w:pPr>
              <w:ind w:left="20"/>
              <w:spacing w:after="0" w:line="196" w:lineRule="exact"/>
              <w:rPr>
                <w:sz w:val="20"/>
                <w:szCs w:val="20"/>
                <w:color w:val="auto"/>
              </w:rPr>
            </w:pPr>
            <w:r>
              <w:rPr>
                <w:rFonts w:ascii="Arial" w:cs="Arial" w:eastAsia="Arial" w:hAnsi="Arial"/>
                <w:sz w:val="18"/>
                <w:szCs w:val="18"/>
                <w:color w:val="auto"/>
              </w:rPr>
              <w:t>Total cash equivalents</w:t>
            </w:r>
          </w:p>
        </w:tc>
        <w:tc>
          <w:tcPr>
            <w:tcW w:w="16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194,138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ind w:left="1260"/>
              <w:spacing w:after="0" w:line="196" w:lineRule="exact"/>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w w:val="86"/>
              </w:rPr>
              <w:t>(18 )</w:t>
            </w:r>
          </w:p>
        </w:tc>
        <w:tc>
          <w:tcPr>
            <w:tcW w:w="10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194,120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Borders>
              <w:right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FF0FC"/>
          </w:tcPr>
          <w:p>
            <w:pPr>
              <w:spacing w:after="0"/>
              <w:rPr>
                <w:sz w:val="17"/>
                <w:szCs w:val="17"/>
                <w:color w:val="auto"/>
              </w:rPr>
            </w:pPr>
          </w:p>
        </w:tc>
        <w:tc>
          <w:tcPr>
            <w:tcW w:w="1300" w:type="dxa"/>
            <w:vAlign w:val="bottom"/>
            <w:tcBorders>
              <w:right w:val="single" w:sz="8" w:color="CFF0FC"/>
            </w:tcBorders>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120"/>
              <w:spacing w:after="0" w:line="202" w:lineRule="exact"/>
              <w:rPr>
                <w:sz w:val="20"/>
                <w:szCs w:val="20"/>
                <w:color w:val="auto"/>
              </w:rPr>
            </w:pPr>
            <w:r>
              <w:rPr>
                <w:rFonts w:ascii="Arial" w:cs="Arial" w:eastAsia="Arial" w:hAnsi="Arial"/>
                <w:sz w:val="18"/>
                <w:szCs w:val="18"/>
                <w:color w:val="auto"/>
              </w:rPr>
              <w:t>U.S. treasury securities</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5,990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ind w:left="1260"/>
              <w:spacing w:after="0" w:line="202" w:lineRule="exact"/>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(3 )</w:t>
            </w:r>
          </w:p>
        </w:tc>
        <w:tc>
          <w:tcPr>
            <w:tcW w:w="1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5,987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20" w:type="dxa"/>
            <w:vAlign w:val="bottom"/>
            <w:tcBorders>
              <w:bottom w:val="single" w:sz="8" w:color="CFF0FC"/>
              <w:right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short-term investments</w:t>
            </w:r>
          </w:p>
        </w:tc>
        <w:tc>
          <w:tcPr>
            <w:tcW w:w="160" w:type="dxa"/>
            <w:vAlign w:val="bottom"/>
            <w:tcBorders>
              <w:top w:val="single" w:sz="8" w:color="auto"/>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5,990</w:t>
            </w:r>
          </w:p>
        </w:tc>
        <w:tc>
          <w:tcPr>
            <w:tcW w:w="260" w:type="dxa"/>
            <w:vAlign w:val="bottom"/>
            <w:tcBorders>
              <w:bottom w:val="single" w:sz="8" w:color="CFF0FC"/>
              <w:right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right w:val="single" w:sz="8" w:color="CFF0FC"/>
            </w:tcBorders>
            <w:shd w:val="clear" w:color="auto" w:fill="CFF0FC"/>
          </w:tcPr>
          <w:p>
            <w:pPr>
              <w:ind w:left="1260"/>
              <w:spacing w:after="0" w:line="196" w:lineRule="exact"/>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right w:val="single" w:sz="8" w:color="CFF0FC"/>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ind w:right="1179"/>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5,987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4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3"/>
          </w:tcPr>
          <w:p>
            <w:pPr>
              <w:jc w:val="center"/>
              <w:ind w:left="17"/>
              <w:spacing w:after="0"/>
              <w:rPr>
                <w:sz w:val="20"/>
                <w:szCs w:val="20"/>
                <w:color w:val="auto"/>
              </w:rPr>
            </w:pPr>
            <w:r>
              <w:rPr>
                <w:rFonts w:ascii="Arial" w:cs="Arial" w:eastAsia="Arial" w:hAnsi="Arial"/>
                <w:sz w:val="14"/>
                <w:szCs w:val="14"/>
                <w:b w:val="1"/>
                <w:bCs w:val="1"/>
                <w:color w:val="auto"/>
                <w:w w:val="91"/>
              </w:rPr>
              <w:t>December 31, 2021</w:t>
            </w: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120" w:type="dxa"/>
            <w:vAlign w:val="bottom"/>
            <w:vMerge w:val="restart"/>
          </w:tcPr>
          <w:p>
            <w:pPr>
              <w:ind w:left="20"/>
              <w:spacing w:after="0"/>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4"/>
                <w:szCs w:val="14"/>
                <w:color w:val="auto"/>
              </w:rPr>
            </w:pPr>
          </w:p>
        </w:tc>
        <w:tc>
          <w:tcPr>
            <w:tcW w:w="1300" w:type="dxa"/>
            <w:vAlign w:val="bottom"/>
          </w:tcPr>
          <w:p>
            <w:pPr>
              <w:jc w:val="right"/>
              <w:ind w:right="174"/>
              <w:spacing w:after="0"/>
              <w:rPr>
                <w:sz w:val="20"/>
                <w:szCs w:val="20"/>
                <w:color w:val="auto"/>
              </w:rPr>
            </w:pPr>
            <w:r>
              <w:rPr>
                <w:rFonts w:ascii="Arial" w:cs="Arial" w:eastAsia="Arial" w:hAnsi="Arial"/>
                <w:sz w:val="14"/>
                <w:szCs w:val="14"/>
                <w:b w:val="1"/>
                <w:bCs w:val="1"/>
                <w:color w:val="auto"/>
                <w:w w:val="98"/>
              </w:rPr>
              <w:t>Amortized Cost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Arial" w:cs="Arial" w:eastAsia="Arial" w:hAnsi="Arial"/>
                <w:sz w:val="14"/>
                <w:szCs w:val="14"/>
                <w:b w:val="1"/>
                <w:bCs w:val="1"/>
                <w:color w:val="auto"/>
              </w:rPr>
              <w:t>Unrealized Gains</w:t>
            </w:r>
          </w:p>
        </w:tc>
        <w:tc>
          <w:tcPr>
            <w:tcW w:w="2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Unrealized Losses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ind w:right="34"/>
              <w:spacing w:after="0"/>
              <w:rPr>
                <w:sz w:val="20"/>
                <w:szCs w:val="20"/>
                <w:color w:val="auto"/>
              </w:rPr>
            </w:pPr>
            <w:r>
              <w:rPr>
                <w:rFonts w:ascii="Arial" w:cs="Arial" w:eastAsia="Arial" w:hAnsi="Arial"/>
                <w:sz w:val="14"/>
                <w:szCs w:val="14"/>
                <w:b w:val="1"/>
                <w:bCs w:val="1"/>
                <w:color w:val="auto"/>
                <w:w w:val="94"/>
              </w:rPr>
              <w:t>Estimated 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Borders>
              <w:bottom w:val="single" w:sz="8" w:color="CFF0FC"/>
              <w:right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Money market funds</w:t>
            </w:r>
          </w:p>
        </w:tc>
        <w:tc>
          <w:tcPr>
            <w:tcW w:w="160" w:type="dxa"/>
            <w:vAlign w:val="bottom"/>
            <w:tcBorders>
              <w:bottom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111,221</w:t>
            </w:r>
          </w:p>
        </w:tc>
        <w:tc>
          <w:tcPr>
            <w:tcW w:w="260" w:type="dxa"/>
            <w:vAlign w:val="bottom"/>
            <w:tcBorders>
              <w:bottom w:val="single" w:sz="8" w:color="CFF0FC"/>
              <w:right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right w:val="single" w:sz="8" w:color="CFF0FC"/>
            </w:tcBorders>
            <w:shd w:val="clear" w:color="auto" w:fill="CFF0FC"/>
          </w:tcPr>
          <w:p>
            <w:pPr>
              <w:ind w:left="1260"/>
              <w:spacing w:after="0" w:line="202" w:lineRule="exact"/>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right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1179"/>
              <w:spacing w:after="0" w:line="202" w:lineRule="exact"/>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111,221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tcPr>
          <w:p>
            <w:pPr>
              <w:ind w:left="20"/>
              <w:spacing w:after="0" w:line="196" w:lineRule="exact"/>
              <w:rPr>
                <w:sz w:val="20"/>
                <w:szCs w:val="20"/>
                <w:color w:val="auto"/>
              </w:rPr>
            </w:pPr>
            <w:r>
              <w:rPr>
                <w:rFonts w:ascii="Arial" w:cs="Arial" w:eastAsia="Arial" w:hAnsi="Arial"/>
                <w:sz w:val="18"/>
                <w:szCs w:val="18"/>
                <w:color w:val="auto"/>
              </w:rPr>
              <w:t>Total cash equivalents</w:t>
            </w:r>
          </w:p>
        </w:tc>
        <w:tc>
          <w:tcPr>
            <w:tcW w:w="1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111,221</w:t>
            </w:r>
          </w:p>
        </w:tc>
        <w:tc>
          <w:tcPr>
            <w:tcW w:w="4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460" w:type="dxa"/>
            <w:vAlign w:val="bottom"/>
          </w:tcPr>
          <w:p>
            <w:pPr>
              <w:ind w:left="1260"/>
              <w:spacing w:after="0" w:line="196" w:lineRule="exact"/>
              <w:rPr>
                <w:sz w:val="20"/>
                <w:szCs w:val="20"/>
                <w:color w:val="auto"/>
              </w:rPr>
            </w:pPr>
            <w:r>
              <w:rPr>
                <w:rFonts w:ascii="Arial" w:cs="Arial" w:eastAsia="Arial" w:hAnsi="Arial"/>
                <w:sz w:val="18"/>
                <w:szCs w:val="18"/>
                <w:color w:val="auto"/>
                <w:w w:val="88"/>
              </w:rPr>
              <w:t>—</w:t>
            </w:r>
          </w:p>
        </w:tc>
        <w:tc>
          <w:tcPr>
            <w:tcW w:w="1600" w:type="dxa"/>
            <w:vAlign w:val="bottom"/>
            <w:gridSpan w:val="2"/>
          </w:tcPr>
          <w:p>
            <w:pPr>
              <w:jc w:val="right"/>
              <w:ind w:right="1179"/>
              <w:spacing w:after="0" w:line="196"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111,221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-1479550</wp:posOffset>
            </wp:positionV>
            <wp:extent cx="7747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-1479550</wp:posOffset>
            </wp:positionV>
            <wp:extent cx="7683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-1479550</wp:posOffset>
            </wp:positionV>
            <wp:extent cx="6858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-1479550</wp:posOffset>
            </wp:positionV>
            <wp:extent cx="6858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-814070</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-796290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-814070</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-796290</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-814070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-796290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-159385</wp:posOffset>
            </wp:positionV>
            <wp:extent cx="7747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-159385</wp:posOffset>
            </wp:positionV>
            <wp:extent cx="7747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-159385</wp:posOffset>
            </wp:positionV>
            <wp:extent cx="6858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7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the maturities of our available-for-sale securities as of June 30, 2022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40" w:type="dxa"/>
            <w:vAlign w:val="bottom"/>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Amortized Cost</w:t>
            </w:r>
          </w:p>
        </w:tc>
        <w:tc>
          <w:tcPr>
            <w:tcW w:w="6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96"/>
        </w:trPr>
        <w:tc>
          <w:tcPr>
            <w:tcW w:w="61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Mature in one year or less</w:t>
            </w:r>
          </w:p>
        </w:tc>
        <w:tc>
          <w:tcPr>
            <w:tcW w:w="1720" w:type="dxa"/>
            <w:vAlign w:val="bottom"/>
            <w:tcBorders>
              <w:bottom w:val="single" w:sz="8" w:color="auto"/>
            </w:tcBorders>
            <w:shd w:val="clear" w:color="auto" w:fill="CFF0FC"/>
          </w:tcPr>
          <w:p>
            <w:pPr>
              <w:jc w:val="right"/>
              <w:ind w:right="1536"/>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2"/>
              </w:rPr>
              <w:t>200,128</w:t>
            </w:r>
          </w:p>
        </w:tc>
        <w:tc>
          <w:tcPr>
            <w:tcW w:w="30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200,107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14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720" w:type="dxa"/>
            <w:vAlign w:val="bottom"/>
          </w:tcPr>
          <w:p>
            <w:pPr>
              <w:jc w:val="right"/>
              <w:ind w:right="1536"/>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w w:val="92"/>
              </w:rPr>
              <w:t>200,128</w:t>
            </w:r>
          </w:p>
        </w:tc>
        <w:tc>
          <w:tcPr>
            <w:tcW w:w="780" w:type="dxa"/>
            <w:vAlign w:val="bottom"/>
            <w:gridSpan w:val="2"/>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200,107</w:t>
            </w:r>
          </w:p>
        </w:tc>
        <w:tc>
          <w:tcPr>
            <w:tcW w:w="100" w:type="dxa"/>
            <w:vAlign w:val="bottom"/>
          </w:tcPr>
          <w:p>
            <w:pPr>
              <w:spacing w:after="0"/>
              <w:rPr>
                <w:sz w:val="17"/>
                <w:szCs w:val="17"/>
                <w:color w:val="auto"/>
              </w:rPr>
            </w:pPr>
          </w:p>
        </w:tc>
      </w:tr>
      <w:tr>
        <w:trPr>
          <w:trHeight w:val="20"/>
        </w:trPr>
        <w:tc>
          <w:tcPr>
            <w:tcW w:w="61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-159385</wp:posOffset>
            </wp:positionV>
            <wp:extent cx="6858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74" w:lineRule="exact"/>
        <w:rPr>
          <w:sz w:val="20"/>
          <w:szCs w:val="20"/>
          <w:color w:val="auto"/>
        </w:rPr>
      </w:pPr>
    </w:p>
    <w:p>
      <w:pPr>
        <w:ind w:left="520" w:right="140" w:firstLine="509"/>
        <w:spacing w:after="0" w:line="261" w:lineRule="auto"/>
        <w:rPr>
          <w:sz w:val="20"/>
          <w:szCs w:val="20"/>
          <w:color w:val="auto"/>
        </w:rPr>
      </w:pPr>
      <w:r>
        <w:rPr>
          <w:rFonts w:ascii="Arial" w:cs="Arial" w:eastAsia="Arial" w:hAnsi="Arial"/>
          <w:sz w:val="18"/>
          <w:szCs w:val="18"/>
          <w:color w:val="auto"/>
        </w:rPr>
        <w:t>The following table presents the breakdown of the Company's available-for-sale securities with gross unrealized losses and the duration that those losses had been unrealized as June 30, 2022 (in thousands):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June 30, 2022</w:t>
            </w:r>
          </w:p>
        </w:tc>
        <w:tc>
          <w:tcPr>
            <w:tcW w:w="5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3100" w:type="dxa"/>
            <w:vAlign w:val="bottom"/>
          </w:tcPr>
          <w:p>
            <w:pPr>
              <w:spacing w:after="0"/>
              <w:rPr>
                <w:sz w:val="13"/>
                <w:szCs w:val="13"/>
                <w:color w:val="auto"/>
              </w:rPr>
            </w:pPr>
          </w:p>
        </w:tc>
        <w:tc>
          <w:tcPr>
            <w:tcW w:w="2780" w:type="dxa"/>
            <w:vAlign w:val="bottom"/>
            <w:gridSpan w:val="6"/>
          </w:tcPr>
          <w:p>
            <w:pPr>
              <w:jc w:val="right"/>
              <w:ind w:right="280"/>
              <w:spacing w:after="0" w:line="160" w:lineRule="exact"/>
              <w:rPr>
                <w:sz w:val="20"/>
                <w:szCs w:val="20"/>
                <w:color w:val="auto"/>
              </w:rPr>
            </w:pPr>
            <w:r>
              <w:rPr>
                <w:rFonts w:ascii="Arial" w:cs="Arial" w:eastAsia="Arial" w:hAnsi="Arial"/>
                <w:sz w:val="14"/>
                <w:szCs w:val="14"/>
                <w:b w:val="1"/>
                <w:bCs w:val="1"/>
                <w:color w:val="auto"/>
                <w:w w:val="92"/>
              </w:rPr>
              <w:t>Unrealized Losses Less Than 12 Months</w:t>
            </w:r>
          </w:p>
        </w:tc>
        <w:tc>
          <w:tcPr>
            <w:tcW w:w="2520" w:type="dxa"/>
            <w:vAlign w:val="bottom"/>
            <w:gridSpan w:val="5"/>
          </w:tcPr>
          <w:p>
            <w:pPr>
              <w:jc w:val="right"/>
              <w:spacing w:after="0" w:line="160" w:lineRule="exact"/>
              <w:rPr>
                <w:sz w:val="20"/>
                <w:szCs w:val="20"/>
                <w:color w:val="auto"/>
              </w:rPr>
            </w:pPr>
            <w:r>
              <w:rPr>
                <w:rFonts w:ascii="Arial" w:cs="Arial" w:eastAsia="Arial" w:hAnsi="Arial"/>
                <w:sz w:val="14"/>
                <w:szCs w:val="14"/>
                <w:b w:val="1"/>
                <w:bCs w:val="1"/>
                <w:color w:val="auto"/>
                <w:w w:val="92"/>
              </w:rPr>
              <w:t>Unrealized Losses 12 Months or Greater</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gridSpan w:val="2"/>
          </w:tcPr>
          <w:p>
            <w:pPr>
              <w:jc w:val="right"/>
              <w:ind w:right="348"/>
              <w:spacing w:after="0" w:line="160" w:lineRule="exact"/>
              <w:rPr>
                <w:sz w:val="20"/>
                <w:szCs w:val="20"/>
                <w:color w:val="auto"/>
              </w:rPr>
            </w:pPr>
            <w:r>
              <w:rPr>
                <w:rFonts w:ascii="Arial" w:cs="Arial" w:eastAsia="Arial" w:hAnsi="Arial"/>
                <w:sz w:val="14"/>
                <w:szCs w:val="14"/>
                <w:b w:val="1"/>
                <w:bCs w:val="1"/>
                <w:color w:val="auto"/>
              </w:rPr>
              <w:t>Total</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3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115"/>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6"/>
                <w:szCs w:val="16"/>
                <w:color w:val="auto"/>
              </w:rPr>
            </w:pPr>
          </w:p>
        </w:tc>
        <w:tc>
          <w:tcPr>
            <w:tcW w:w="14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Unrealized Losses</w:t>
            </w:r>
          </w:p>
        </w:tc>
        <w:tc>
          <w:tcPr>
            <w:tcW w:w="160" w:type="dxa"/>
            <w:vAlign w:val="bottom"/>
          </w:tcPr>
          <w:p>
            <w:pPr>
              <w:spacing w:after="0"/>
              <w:rPr>
                <w:sz w:val="16"/>
                <w:szCs w:val="16"/>
                <w:color w:val="auto"/>
              </w:rPr>
            </w:pPr>
          </w:p>
        </w:tc>
        <w:tc>
          <w:tcPr>
            <w:tcW w:w="92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Unrealized Losses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115"/>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6"/>
                <w:szCs w:val="16"/>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Unrealized Losses</w:t>
            </w:r>
          </w:p>
        </w:tc>
      </w:tr>
      <w:tr>
        <w:trPr>
          <w:trHeight w:val="196"/>
        </w:trPr>
        <w:tc>
          <w:tcPr>
            <w:tcW w:w="3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Financial assets:</w:t>
            </w: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100" w:type="dxa"/>
            <w:vAlign w:val="bottom"/>
          </w:tcPr>
          <w:p>
            <w:pPr>
              <w:ind w:left="120"/>
              <w:spacing w:after="0" w:line="202" w:lineRule="exact"/>
              <w:rPr>
                <w:sz w:val="20"/>
                <w:szCs w:val="20"/>
                <w:color w:val="auto"/>
              </w:rPr>
            </w:pPr>
            <w:r>
              <w:rPr>
                <w:rFonts w:ascii="Arial" w:cs="Arial" w:eastAsia="Arial" w:hAnsi="Arial"/>
                <w:sz w:val="18"/>
                <w:szCs w:val="18"/>
                <w:color w:val="auto"/>
              </w:rPr>
              <w:t>U.S. government agency securities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99,802</w:t>
            </w:r>
          </w:p>
        </w:tc>
        <w:tc>
          <w:tcPr>
            <w:tcW w:w="800" w:type="dxa"/>
            <w:vAlign w:val="bottom"/>
            <w:gridSpan w:val="2"/>
          </w:tcPr>
          <w:p>
            <w:pPr>
              <w:jc w:val="right"/>
              <w:ind w:right="359"/>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(18 )</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ind w:left="72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528"/>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99,802</w:t>
            </w:r>
          </w:p>
        </w:tc>
        <w:tc>
          <w:tcPr>
            <w:tcW w:w="800" w:type="dxa"/>
            <w:vAlign w:val="bottom"/>
            <w:gridSpan w:val="2"/>
          </w:tcPr>
          <w:p>
            <w:pPr>
              <w:jc w:val="right"/>
              <w:ind w:right="408"/>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(18 )</w:t>
            </w:r>
          </w:p>
        </w:tc>
      </w:tr>
      <w:tr>
        <w:trPr>
          <w:trHeight w:val="203"/>
        </w:trPr>
        <w:tc>
          <w:tcPr>
            <w:tcW w:w="31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U.S. treasury securities</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5,987</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(3 )</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ind w:left="72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5,987</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(3 )</w:t>
            </w:r>
          </w:p>
        </w:tc>
      </w:tr>
      <w:tr>
        <w:trPr>
          <w:trHeight w:val="20"/>
        </w:trPr>
        <w:tc>
          <w:tcPr>
            <w:tcW w:w="3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3100" w:type="dxa"/>
            <w:vAlign w:val="bottom"/>
          </w:tcPr>
          <w:p>
            <w:pPr>
              <w:ind w:left="20"/>
              <w:spacing w:after="0" w:line="196" w:lineRule="exact"/>
              <w:rPr>
                <w:sz w:val="20"/>
                <w:szCs w:val="20"/>
                <w:color w:val="auto"/>
              </w:rPr>
            </w:pPr>
            <w:r>
              <w:rPr>
                <w:rFonts w:ascii="Arial" w:cs="Arial" w:eastAsia="Arial" w:hAnsi="Arial"/>
                <w:sz w:val="18"/>
                <w:szCs w:val="18"/>
                <w:color w:val="auto"/>
              </w:rPr>
              <w:t>Total financial assets</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105,789</w:t>
            </w:r>
          </w:p>
        </w:tc>
        <w:tc>
          <w:tcPr>
            <w:tcW w:w="240" w:type="dxa"/>
            <w:vAlign w:val="bottom"/>
          </w:tcPr>
          <w:p>
            <w:pPr>
              <w:spacing w:after="0"/>
              <w:rPr>
                <w:sz w:val="17"/>
                <w:szCs w:val="17"/>
                <w:color w:val="auto"/>
              </w:rPr>
            </w:pPr>
          </w:p>
        </w:tc>
        <w:tc>
          <w:tcPr>
            <w:tcW w:w="560" w:type="dxa"/>
            <w:vAlign w:val="bottom"/>
          </w:tcPr>
          <w:p>
            <w:pPr>
              <w:jc w:val="right"/>
              <w:ind w:right="359"/>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(21 )</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ind w:left="72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528"/>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105,789</w:t>
            </w:r>
          </w:p>
        </w:tc>
        <w:tc>
          <w:tcPr>
            <w:tcW w:w="800" w:type="dxa"/>
            <w:vAlign w:val="bottom"/>
            <w:gridSpan w:val="2"/>
          </w:tcPr>
          <w:p>
            <w:pPr>
              <w:jc w:val="right"/>
              <w:ind w:right="408"/>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(21 )</w:t>
            </w:r>
          </w:p>
        </w:tc>
      </w:tr>
      <w:tr>
        <w:trPr>
          <w:trHeight w:val="20"/>
        </w:trPr>
        <w:tc>
          <w:tcPr>
            <w:tcW w:w="3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-159385</wp:posOffset>
            </wp:positionV>
            <wp:extent cx="7683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-159385</wp:posOffset>
            </wp:positionV>
            <wp:extent cx="7747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-159385</wp:posOffset>
            </wp:positionV>
            <wp:extent cx="6858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-159385</wp:posOffset>
            </wp:positionV>
            <wp:extent cx="6858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-159385</wp:posOffset>
            </wp:positionV>
            <wp:extent cx="6858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8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Company did not have available-for-sale securities with gross unrealized losses as of December 31, 2021.</w:t>
      </w:r>
    </w:p>
    <w:p>
      <w:pPr>
        <w:spacing w:after="0" w:line="104" w:lineRule="exact"/>
        <w:rPr>
          <w:sz w:val="20"/>
          <w:szCs w:val="20"/>
          <w:color w:val="auto"/>
        </w:rPr>
      </w:pPr>
    </w:p>
    <w:p>
      <w:pPr>
        <w:ind w:left="520" w:right="40" w:firstLine="509"/>
        <w:spacing w:after="0" w:line="243" w:lineRule="auto"/>
        <w:rPr>
          <w:sz w:val="20"/>
          <w:szCs w:val="20"/>
          <w:color w:val="auto"/>
        </w:rPr>
      </w:pPr>
      <w:r>
        <w:rPr>
          <w:rFonts w:ascii="Arial" w:cs="Arial" w:eastAsia="Arial" w:hAnsi="Arial"/>
          <w:sz w:val="18"/>
          <w:szCs w:val="18"/>
          <w:color w:val="auto"/>
        </w:rPr>
        <w:t>The Company regularly reviews the changes to the rating of its securities and monitors the surrounding economic conditions to assess the risk of expected credit losses. As of June 30, 2022 and December 31, 2021, there were no securities that were in an unrealized loss position for more than 12 months. The Company has not recorded any impairments, as it believes that such losses would be immaterial based on the nature of such securities being U.S. treasury securities.</w:t>
      </w:r>
    </w:p>
    <w:p>
      <w:pPr>
        <w:spacing w:after="0" w:line="292"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Items</w:t>
      </w:r>
    </w:p>
    <w:p>
      <w:pPr>
        <w:spacing w:after="0" w:line="32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Prepaid Expenses and Other Current Assets</w:t>
      </w:r>
    </w:p>
    <w:p>
      <w:pPr>
        <w:spacing w:after="0" w:line="103"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8"/>
          <w:szCs w:val="18"/>
          <w:color w:val="auto"/>
        </w:rPr>
        <w:t>Prepaid and other current assets consisted of the following (in thousands):</w:t>
      </w:r>
    </w:p>
    <w:p>
      <w:pPr>
        <w:spacing w:after="0" w:line="231"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55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Prepaid insurance</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3,339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2,099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5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Prepaid research and development expenses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3,461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1,945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556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Other prepaid expenses and other assets</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86"/>
              </w:rPr>
              <w:t>839</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1,015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55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prepaid expenses and other current assets</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7,639</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5,059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40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400" w:type="dxa"/>
            <w:vAlign w:val="bottom"/>
            <w:gridSpan w:val="3"/>
          </w:tcPr>
          <w:p>
            <w:pPr>
              <w:ind w:left="50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235"/>
              <w:spacing w:after="0"/>
              <w:rPr>
                <w:sz w:val="20"/>
                <w:szCs w:val="20"/>
                <w:color w:val="auto"/>
              </w:rPr>
            </w:pPr>
            <w:r>
              <w:rPr>
                <w:rFonts w:ascii="Arial" w:cs="Arial" w:eastAsia="Arial" w:hAnsi="Arial"/>
                <w:sz w:val="14"/>
                <w:szCs w:val="14"/>
                <w:b w:val="1"/>
                <w:bCs w:val="1"/>
                <w:color w:val="auto"/>
                <w:w w:val="99"/>
              </w:rPr>
              <w:t>June 30,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8"/>
              </w:rPr>
              <w:t>December 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Furniture and fixtures</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w:t>
            </w:r>
          </w:p>
        </w:tc>
        <w:tc>
          <w:tcPr>
            <w:tcW w:w="80" w:type="dxa"/>
            <w:vAlign w:val="bottom"/>
            <w:shd w:val="clear" w:color="auto" w:fill="CFF0FC"/>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2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Property and equipment, gross</w:t>
            </w: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114</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93</w:t>
            </w:r>
          </w:p>
        </w:tc>
        <w:tc>
          <w:tcPr>
            <w:tcW w:w="80" w:type="dxa"/>
            <w:vAlign w:val="bottom"/>
            <w:tcBorders>
              <w:top w:val="single" w:sz="8" w:color="CFF0FC"/>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(47 )</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(36 )</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w:t>
            </w:r>
          </w:p>
        </w:tc>
        <w:tc>
          <w:tcPr>
            <w:tcW w:w="80" w:type="dxa"/>
            <w:vAlign w:val="bottom"/>
            <w:tcBorders>
              <w:top w:val="single" w:sz="8" w:color="CFF0FC"/>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-1873885</wp:posOffset>
            </wp:positionV>
            <wp:extent cx="5143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-1873885</wp:posOffset>
            </wp:positionV>
            <wp:extent cx="5143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-424815</wp:posOffset>
            </wp:positionV>
            <wp:extent cx="5143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-424815</wp:posOffset>
            </wp:positionV>
            <wp:extent cx="4318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-159385</wp:posOffset>
            </wp:positionV>
            <wp:extent cx="5143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-159385</wp:posOffset>
            </wp:positionV>
            <wp:extent cx="4318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Depreciation expense for each of the three and six months ended June 30, 2022 and 2021 was immaterial.</w:t>
      </w:r>
    </w:p>
    <w:p>
      <w:pPr>
        <w:spacing w:after="0" w:line="3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0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55"/>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115"/>
              <w:spacing w:after="0"/>
              <w:rPr>
                <w:sz w:val="20"/>
                <w:szCs w:val="20"/>
                <w:color w:val="auto"/>
              </w:rPr>
            </w:pPr>
            <w:r>
              <w:rPr>
                <w:rFonts w:ascii="Arial" w:cs="Arial" w:eastAsia="Arial" w:hAnsi="Arial"/>
                <w:sz w:val="14"/>
                <w:szCs w:val="14"/>
                <w:b w:val="1"/>
                <w:bCs w:val="1"/>
                <w:color w:val="auto"/>
                <w:w w:val="94"/>
              </w:rPr>
              <w:t>December 31,</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85"/>
        </w:trPr>
        <w:tc>
          <w:tcPr>
            <w:tcW w:w="13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1360" w:type="dxa"/>
            <w:vAlign w:val="bottom"/>
          </w:tcPr>
          <w:p>
            <w:pPr>
              <w:spacing w:after="0"/>
              <w:rPr>
                <w:sz w:val="17"/>
                <w:szCs w:val="17"/>
                <w:color w:val="auto"/>
              </w:rPr>
            </w:pPr>
          </w:p>
        </w:tc>
        <w:tc>
          <w:tcPr>
            <w:tcW w:w="3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Accrued payroll related expenses</w:t>
            </w:r>
          </w:p>
        </w:tc>
        <w:tc>
          <w:tcPr>
            <w:tcW w:w="18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2,788</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3,308</w:t>
            </w:r>
          </w:p>
        </w:tc>
        <w:tc>
          <w:tcPr>
            <w:tcW w:w="80" w:type="dxa"/>
            <w:vAlign w:val="bottom"/>
            <w:shd w:val="clear" w:color="auto" w:fill="CFF0FC"/>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1360" w:type="dxa"/>
            <w:vAlign w:val="bottom"/>
          </w:tcPr>
          <w:p>
            <w:pPr>
              <w:spacing w:after="0"/>
              <w:rPr>
                <w:sz w:val="17"/>
                <w:szCs w:val="17"/>
                <w:color w:val="auto"/>
              </w:rPr>
            </w:pPr>
          </w:p>
        </w:tc>
        <w:tc>
          <w:tcPr>
            <w:tcW w:w="3920" w:type="dxa"/>
            <w:vAlign w:val="bottom"/>
          </w:tcPr>
          <w:p>
            <w:pPr>
              <w:ind w:left="20"/>
              <w:spacing w:after="0" w:line="202" w:lineRule="exact"/>
              <w:rPr>
                <w:sz w:val="20"/>
                <w:szCs w:val="20"/>
                <w:color w:val="auto"/>
              </w:rPr>
            </w:pPr>
            <w:r>
              <w:rPr>
                <w:rFonts w:ascii="Arial" w:cs="Arial" w:eastAsia="Arial" w:hAnsi="Arial"/>
                <w:sz w:val="18"/>
                <w:szCs w:val="18"/>
                <w:color w:val="auto"/>
              </w:rPr>
              <w:t>Accrued research and development expenses</w:t>
            </w: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6,933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2,565</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1360" w:type="dxa"/>
            <w:vAlign w:val="bottom"/>
          </w:tcPr>
          <w:p>
            <w:pPr>
              <w:spacing w:after="0"/>
              <w:rPr>
                <w:sz w:val="17"/>
                <w:szCs w:val="17"/>
                <w:color w:val="auto"/>
              </w:rPr>
            </w:pPr>
          </w:p>
        </w:tc>
        <w:tc>
          <w:tcPr>
            <w:tcW w:w="3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professional service expenses</w:t>
            </w:r>
          </w:p>
        </w:tc>
        <w:tc>
          <w:tcPr>
            <w:tcW w:w="1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2,051</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732</w:t>
            </w:r>
          </w:p>
        </w:tc>
        <w:tc>
          <w:tcPr>
            <w:tcW w:w="80" w:type="dxa"/>
            <w:vAlign w:val="bottom"/>
            <w:shd w:val="clear" w:color="auto" w:fill="CFF0FC"/>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1360" w:type="dxa"/>
            <w:vAlign w:val="bottom"/>
          </w:tcPr>
          <w:p>
            <w:pPr>
              <w:spacing w:after="0"/>
              <w:rPr>
                <w:sz w:val="17"/>
                <w:szCs w:val="17"/>
                <w:color w:val="auto"/>
              </w:rPr>
            </w:pPr>
          </w:p>
        </w:tc>
        <w:tc>
          <w:tcPr>
            <w:tcW w:w="392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18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161</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6"/>
        </w:trPr>
        <w:tc>
          <w:tcPr>
            <w:tcW w:w="1360" w:type="dxa"/>
            <w:vAlign w:val="bottom"/>
          </w:tcPr>
          <w:p>
            <w:pPr>
              <w:spacing w:after="0"/>
              <w:rPr>
                <w:sz w:val="20"/>
                <w:szCs w:val="20"/>
                <w:color w:val="auto"/>
              </w:rPr>
            </w:pPr>
          </w:p>
        </w:tc>
        <w:tc>
          <w:tcPr>
            <w:tcW w:w="39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95"/>
              </w:rPr>
              <w:t>Total accrued expenses and other current liabilities</w:t>
            </w:r>
          </w:p>
        </w:tc>
        <w:tc>
          <w:tcPr>
            <w:tcW w:w="18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11,933</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6,709</w:t>
            </w:r>
          </w:p>
        </w:tc>
        <w:tc>
          <w:tcPr>
            <w:tcW w:w="80" w:type="dxa"/>
            <w:vAlign w:val="bottom"/>
            <w:tcBorders>
              <w:bottom w:val="single" w:sz="8" w:color="CFF0FC"/>
            </w:tcBorders>
            <w:shd w:val="clear" w:color="auto" w:fill="CFF0FC"/>
          </w:tcPr>
          <w:p>
            <w:pPr>
              <w:spacing w:after="0"/>
              <w:rPr>
                <w:sz w:val="20"/>
                <w:szCs w:val="20"/>
                <w:color w:val="auto"/>
              </w:rPr>
            </w:pPr>
          </w:p>
        </w:tc>
        <w:tc>
          <w:tcPr>
            <w:tcW w:w="1360" w:type="dxa"/>
            <w:vAlign w:val="bottom"/>
          </w:tcPr>
          <w:p>
            <w:pPr>
              <w:spacing w:after="0"/>
              <w:rPr>
                <w:sz w:val="20"/>
                <w:szCs w:val="20"/>
                <w:color w:val="auto"/>
              </w:rPr>
            </w:pPr>
          </w:p>
        </w:tc>
      </w:tr>
      <w:tr>
        <w:trPr>
          <w:trHeight w:val="399"/>
        </w:trPr>
        <w:tc>
          <w:tcPr>
            <w:tcW w:w="13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80" w:type="dxa"/>
            <w:vAlign w:val="bottom"/>
          </w:tcPr>
          <w:p>
            <w:pPr>
              <w:jc w:val="right"/>
              <w:ind w:right="135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01"/>
        </w:trPr>
        <w:tc>
          <w:tcPr>
            <w:tcW w:w="1360" w:type="dxa"/>
            <w:vAlign w:val="bottom"/>
            <w:tcBorders>
              <w:bottom w:val="single" w:sz="8" w:color="9A9A9A"/>
            </w:tcBorders>
          </w:tcPr>
          <w:p>
            <w:pPr>
              <w:spacing w:after="0"/>
              <w:rPr>
                <w:sz w:val="8"/>
                <w:szCs w:val="8"/>
                <w:color w:val="auto"/>
              </w:rPr>
            </w:pPr>
          </w:p>
        </w:tc>
        <w:tc>
          <w:tcPr>
            <w:tcW w:w="392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-367665</wp:posOffset>
            </wp:positionV>
            <wp:extent cx="51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-350520</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-367665</wp:posOffset>
            </wp:positionV>
            <wp:extent cx="514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-350520</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11"/>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20" w:lineRule="exact"/>
        <w:rPr>
          <w:sz w:val="20"/>
          <w:szCs w:val="20"/>
          <w:color w:val="auto"/>
        </w:rPr>
      </w:pPr>
    </w:p>
    <w:p>
      <w:pPr>
        <w:ind w:left="512" w:hanging="512"/>
        <w:spacing w:after="0"/>
        <w:tabs>
          <w:tab w:leader="none" w:pos="51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Agreements</w:t>
      </w:r>
    </w:p>
    <w:p>
      <w:pPr>
        <w:spacing w:after="0" w:line="324"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License agreement with Merck KGaA, Darmstadt, Germany</w:t>
      </w:r>
    </w:p>
    <w:p>
      <w:pPr>
        <w:spacing w:after="0" w:line="104" w:lineRule="exact"/>
        <w:rPr>
          <w:sz w:val="20"/>
          <w:szCs w:val="20"/>
          <w:color w:val="auto"/>
        </w:rPr>
      </w:pPr>
    </w:p>
    <w:p>
      <w:pPr>
        <w:ind w:left="512" w:right="40" w:firstLine="509"/>
        <w:spacing w:after="0" w:line="254" w:lineRule="auto"/>
        <w:rPr>
          <w:sz w:val="20"/>
          <w:szCs w:val="20"/>
          <w:color w:val="auto"/>
        </w:rPr>
      </w:pPr>
      <w:r>
        <w:rPr>
          <w:rFonts w:ascii="Arial" w:cs="Arial" w:eastAsia="Arial" w:hAnsi="Arial"/>
          <w:sz w:val="17"/>
          <w:szCs w:val="17"/>
          <w:color w:val="auto"/>
        </w:rPr>
        <w:t>On February 10, 2021, DOT-2, the Company’s subsidiary, entered into a license agreement, or the MRKDG License Agreement, with Merck KGaA, Darmstadt, Germany, a pharmaceutical corporation located in Darmstadt, Germany. Under the MRKDG License Agreement, Merck KGaA, Darmstadt, Germany granted to the Company an exclusive worldwide license, with the right to grant sublicenses through multiple tiers, under specified patent rights and know-how for the Company to research, develop, manufacture, and commercialize products containing and comprising the pimasertib and MSC2015103B compounds. The Company also received clinical inventories supplies to use in its research and development activities. The Company’s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w:t>
      </w:r>
    </w:p>
    <w:p>
      <w:pPr>
        <w:spacing w:after="0" w:line="73" w:lineRule="exact"/>
        <w:rPr>
          <w:sz w:val="20"/>
          <w:szCs w:val="20"/>
          <w:color w:val="auto"/>
        </w:rPr>
      </w:pPr>
    </w:p>
    <w:p>
      <w:pPr>
        <w:ind w:left="512" w:right="100" w:firstLine="509"/>
        <w:spacing w:after="0" w:line="261" w:lineRule="auto"/>
        <w:rPr>
          <w:sz w:val="20"/>
          <w:szCs w:val="20"/>
          <w:color w:val="auto"/>
        </w:rPr>
      </w:pPr>
      <w:r>
        <w:rPr>
          <w:rFonts w:ascii="Arial" w:cs="Arial" w:eastAsia="Arial" w:hAnsi="Arial"/>
          <w:sz w:val="18"/>
          <w:szCs w:val="18"/>
          <w:color w:val="auto"/>
        </w:rPr>
        <w:t>Under the MRKDG License Agreement, the Company has obligations to use commercially reasonable efforts to develop and commercialize at least two licensed products in at least two specified major market countries by the year 2029.</w:t>
      </w:r>
    </w:p>
    <w:p>
      <w:pPr>
        <w:spacing w:after="0" w:line="63" w:lineRule="exact"/>
        <w:rPr>
          <w:sz w:val="20"/>
          <w:szCs w:val="20"/>
          <w:color w:val="auto"/>
        </w:rPr>
      </w:pPr>
    </w:p>
    <w:p>
      <w:pPr>
        <w:ind w:left="512" w:right="60" w:firstLine="509"/>
        <w:spacing w:after="0" w:line="254" w:lineRule="auto"/>
        <w:rPr>
          <w:sz w:val="20"/>
          <w:szCs w:val="20"/>
          <w:color w:val="auto"/>
        </w:rPr>
      </w:pPr>
      <w:r>
        <w:rPr>
          <w:rFonts w:ascii="Arial" w:cs="Arial" w:eastAsia="Arial" w:hAnsi="Arial"/>
          <w:sz w:val="17"/>
          <w:szCs w:val="17"/>
          <w:color w:val="auto"/>
        </w:rPr>
        <w:t>In consideration for the rights granted under the MRKDG License Agreement and clinical supplies, the Company made an upfront payment of $8.0 million, which was recorded as research and development expenses, as the technology does not have an alternative future use and supplies are used for research activities. Additionally, the Company made a milestone payment of $2.5 million, which was recorded as research and development expenses due to the nature of the license agreement and the milestone event relating to the first dosing of a patient in a first clinical trial of a product containing pimasertib, in the second quarter of 2022. The Company may also be required to make additional payments of up to $364.5 million based upon the achievement of specified development, regulatory, and commercial milestones, as well a high, single-digit royalty percentage on future net sales of licensed products, if any. Milestones and royalties are contingent upon future events and will be recorded when the milestones are achieved and when payments are due.</w:t>
      </w:r>
    </w:p>
    <w:p>
      <w:pPr>
        <w:spacing w:after="0" w:line="73" w:lineRule="exact"/>
        <w:rPr>
          <w:sz w:val="20"/>
          <w:szCs w:val="20"/>
          <w:color w:val="auto"/>
        </w:rPr>
      </w:pPr>
    </w:p>
    <w:p>
      <w:pPr>
        <w:ind w:left="512" w:right="160" w:firstLine="509"/>
        <w:spacing w:after="0" w:line="243" w:lineRule="auto"/>
        <w:rPr>
          <w:sz w:val="20"/>
          <w:szCs w:val="20"/>
          <w:color w:val="auto"/>
        </w:rPr>
      </w:pPr>
      <w:r>
        <w:rPr>
          <w:rFonts w:ascii="Arial" w:cs="Arial" w:eastAsia="Arial" w:hAnsi="Arial"/>
          <w:sz w:val="18"/>
          <w:szCs w:val="18"/>
          <w:color w:val="auto"/>
        </w:rPr>
        <w:t>The term of the MRKDG License Agreement will expire on a licensed product-by-licensed product and country-by-country basis upon the expiration of the Company’s obligation to pay royalties to the licensor with respect to such licensed product in such country and will expire in its entirety upon the expiration of all of the Company’s payment obligations with respect to all licensed products and all countries under the MRKDG License Agreement.</w:t>
      </w:r>
    </w:p>
    <w:p>
      <w:pPr>
        <w:spacing w:after="0" w:line="80" w:lineRule="exact"/>
        <w:rPr>
          <w:sz w:val="20"/>
          <w:szCs w:val="20"/>
          <w:color w:val="auto"/>
        </w:rPr>
      </w:pPr>
    </w:p>
    <w:p>
      <w:pPr>
        <w:ind w:left="512" w:right="560" w:firstLine="509"/>
        <w:spacing w:after="0" w:line="261" w:lineRule="auto"/>
        <w:rPr>
          <w:sz w:val="20"/>
          <w:szCs w:val="20"/>
          <w:color w:val="auto"/>
        </w:rPr>
      </w:pPr>
      <w:r>
        <w:rPr>
          <w:rFonts w:ascii="Arial" w:cs="Arial" w:eastAsia="Arial" w:hAnsi="Arial"/>
          <w:sz w:val="18"/>
          <w:szCs w:val="18"/>
          <w:color w:val="auto"/>
        </w:rPr>
        <w:t>Effective December 31, 2021, DOT-2 was merged with and into the Company, with the Company being the surviving corporation and assuming DOT-2’s obligations under the MRKDG License Agreement.</w:t>
      </w:r>
    </w:p>
    <w:p>
      <w:pPr>
        <w:spacing w:after="0" w:line="279"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Takeda Assets Purchase Agreement</w:t>
      </w:r>
    </w:p>
    <w:p>
      <w:pPr>
        <w:spacing w:after="0" w:line="104" w:lineRule="exact"/>
        <w:rPr>
          <w:sz w:val="20"/>
          <w:szCs w:val="20"/>
          <w:color w:val="auto"/>
        </w:rPr>
      </w:pPr>
    </w:p>
    <w:p>
      <w:pPr>
        <w:ind w:left="512" w:firstLine="509"/>
        <w:spacing w:after="0" w:line="270" w:lineRule="auto"/>
        <w:rPr>
          <w:sz w:val="20"/>
          <w:szCs w:val="20"/>
          <w:color w:val="auto"/>
        </w:rPr>
      </w:pPr>
      <w:r>
        <w:rPr>
          <w:rFonts w:ascii="Arial" w:cs="Arial" w:eastAsia="Arial" w:hAnsi="Arial"/>
          <w:sz w:val="16"/>
          <w:szCs w:val="16"/>
          <w:color w:val="auto"/>
        </w:rPr>
        <w:t>On December 16, 2019, DOT-1 entered into an asset purchase agreement, or the Takeda Asset Agreement, with Millennium Pharmaceuticals, Inc., a related party and an affiliate of Takeda Pharmaceutical Company Limited, or Takeda. Pursuant to the Takeda Asset Agreement, DOT-1 purchased certain technology rights and know -how related to TAK-580 (which is now tovorafenib (DAY101)) that provides a new approach for treating patients with primary brain tumors or brain metastases of solid tumors. DOT-1 also received clinical inventories supplies to use in the Company’s research and development activities of such RAF-inhibitor and an assigned investigator clinical trial agreement. Takeda also assigned to DOT-1 its exclusive license agreement, or the Viracta License Agreement, with Viracta Therapeutics, Inc. (f/k/a Sunesis Pharmaceuticals, Inc.), or Viracta. Takeda also granted DOT-1 a worldwide, sublicensable exclusive license under specified patents and know-how and non-exclusive license under other patents and know-how generated by Takeda under the Takeda Asset Agreement. The Company also granted Takeda a grant back license, as defined in the Takeda Asset Agreement, which is terminable either automatically or by DOT-1 in the event Takeda does not achieve specified development milestones within the applicable timeframes set forth under the Takeda Asset Agreement. This grant back license to Takeda was terminated at the time of Conversion in connection with the Millennium Stock Exchange Agreement.</w:t>
      </w:r>
    </w:p>
    <w:p>
      <w:pPr>
        <w:spacing w:after="0" w:line="59" w:lineRule="exact"/>
        <w:rPr>
          <w:sz w:val="20"/>
          <w:szCs w:val="20"/>
          <w:color w:val="auto"/>
        </w:rPr>
      </w:pPr>
    </w:p>
    <w:p>
      <w:pPr>
        <w:ind w:left="512" w:firstLine="509"/>
        <w:spacing w:after="0"/>
        <w:rPr>
          <w:sz w:val="20"/>
          <w:szCs w:val="20"/>
          <w:color w:val="auto"/>
        </w:rPr>
      </w:pPr>
      <w:r>
        <w:rPr>
          <w:rFonts w:ascii="Arial" w:cs="Arial" w:eastAsia="Arial" w:hAnsi="Arial"/>
          <w:sz w:val="18"/>
          <w:szCs w:val="18"/>
          <w:color w:val="auto"/>
        </w:rPr>
        <w:t>In consideration for the sale and assignment of assets and the grant of the license under the Takeda Asset Agreement, DOT-1 made an upfront payment of $1.0 million in cash and issued 9,857,143 shares of Series A redeemable convertible preferred stock in DOT-1 in December 2019. The fair value of issued shares was estimated as $9.9 million, based on the price paid by other investors for issued shares in the Series A financing of DOT-1. Based on the terms of the Millennium Stock Exchange Agreement, Takeda exchanged the 9,857,143 shares of Series A redeemable convertible preferred stock of DOT-1 for 6,470,382 shares of the Company’s common stock upon the effectiveness of the Conversion, on May 26, 2021.</w:t>
      </w:r>
    </w:p>
    <w:p>
      <w:pPr>
        <w:spacing w:after="0" w:line="257" w:lineRule="exact"/>
        <w:rPr>
          <w:sz w:val="20"/>
          <w:szCs w:val="20"/>
          <w:color w:val="auto"/>
        </w:rPr>
      </w:pPr>
    </w:p>
    <w:p>
      <w:pPr>
        <w:ind w:left="512" w:right="40" w:firstLine="509"/>
        <w:spacing w:after="0" w:line="239" w:lineRule="auto"/>
        <w:rPr>
          <w:sz w:val="20"/>
          <w:szCs w:val="20"/>
          <w:color w:val="auto"/>
        </w:rPr>
      </w:pPr>
      <w:r>
        <w:rPr>
          <w:rFonts w:ascii="Arial" w:cs="Arial" w:eastAsia="Arial" w:hAnsi="Arial"/>
          <w:sz w:val="18"/>
          <w:szCs w:val="18"/>
          <w:color w:val="auto"/>
        </w:rPr>
        <w:t>The term of the Takeda Asset Agreement will expire on a country-by-country basis upon expiration of all assigned patent rights and all licensed patent rights in such country. Takeda may terminate the Takeda Asset Agreement prior to the Company's first commercial sale of a product if we cease conducting any development activities for a continuous and specified period of time and such cessation is not agreed upon by the parties and is not done in response to guidance from a regulatory authority.</w:t>
      </w:r>
    </w:p>
    <w:p>
      <w:pPr>
        <w:spacing w:after="0" w:line="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21" w:right="359" w:bottom="1440" w:gutter="0" w:footer="0" w:header="0"/>
        </w:sectPr>
      </w:pPr>
    </w:p>
    <w:bookmarkStart w:id="15" w:name="page16"/>
    <w:bookmarkEnd w:id="15"/>
    <w:p>
      <w:pPr>
        <w:jc w:val="center"/>
        <w:ind w:right="-11"/>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8" w:lineRule="exact"/>
        <w:rPr>
          <w:sz w:val="20"/>
          <w:szCs w:val="20"/>
          <w:color w:val="auto"/>
        </w:rPr>
      </w:pPr>
    </w:p>
    <w:p>
      <w:pPr>
        <w:ind w:left="512" w:right="20"/>
        <w:spacing w:after="0" w:line="243" w:lineRule="auto"/>
        <w:rPr>
          <w:sz w:val="20"/>
          <w:szCs w:val="20"/>
          <w:color w:val="auto"/>
        </w:rPr>
      </w:pPr>
      <w:r>
        <w:rPr>
          <w:rFonts w:ascii="Arial" w:cs="Arial" w:eastAsia="Arial" w:hAnsi="Arial"/>
          <w:sz w:val="18"/>
          <w:szCs w:val="18"/>
          <w:color w:val="auto"/>
        </w:rPr>
        <w:t>Additionally, Takeda can terminate the Takeda Asset Agreement in the event of the Company's bankruptcy. In the event of termination of the Takeda Asset Agreement by Takeda as a result of our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spacing w:after="0" w:line="80" w:lineRule="exact"/>
        <w:rPr>
          <w:sz w:val="20"/>
          <w:szCs w:val="20"/>
          <w:color w:val="auto"/>
        </w:rPr>
      </w:pPr>
    </w:p>
    <w:p>
      <w:pPr>
        <w:ind w:left="512" w:right="580" w:firstLine="509"/>
        <w:spacing w:after="0" w:line="261" w:lineRule="auto"/>
        <w:rPr>
          <w:sz w:val="20"/>
          <w:szCs w:val="20"/>
          <w:color w:val="auto"/>
        </w:rPr>
      </w:pPr>
      <w:r>
        <w:rPr>
          <w:rFonts w:ascii="Arial" w:cs="Arial" w:eastAsia="Arial" w:hAnsi="Arial"/>
          <w:sz w:val="18"/>
          <w:szCs w:val="18"/>
          <w:color w:val="auto"/>
        </w:rPr>
        <w:t>Effective December 31, 2021, DOT-1 was merged with and into the Company, with the Company being the surviving corporation and assuming DOT-1’s obligations under the Takeda Assets Purchase Agreement.</w:t>
      </w:r>
    </w:p>
    <w:p>
      <w:pPr>
        <w:spacing w:after="0" w:line="279"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Viracta License Agreement</w:t>
      </w:r>
    </w:p>
    <w:p>
      <w:pPr>
        <w:spacing w:after="0" w:line="104" w:lineRule="exact"/>
        <w:rPr>
          <w:sz w:val="20"/>
          <w:szCs w:val="20"/>
          <w:color w:val="auto"/>
        </w:rPr>
      </w:pPr>
    </w:p>
    <w:p>
      <w:pPr>
        <w:ind w:left="512" w:right="260" w:firstLine="509"/>
        <w:spacing w:after="0" w:line="270" w:lineRule="auto"/>
        <w:rPr>
          <w:sz w:val="20"/>
          <w:szCs w:val="20"/>
          <w:color w:val="auto"/>
        </w:rPr>
      </w:pPr>
      <w:r>
        <w:rPr>
          <w:rFonts w:ascii="Arial" w:cs="Arial" w:eastAsia="Arial" w:hAnsi="Arial"/>
          <w:sz w:val="17"/>
          <w:szCs w:val="17"/>
          <w:color w:val="auto"/>
        </w:rPr>
        <w:t>On December 16, 2019, DOT-1 amended and restated the Viracta License Agreement that was assigned pursuant to the Takeda Asset Agreement. Under the Viracta License Agreement, DOT-1 received a worldwide exclusive license under specified patent rights and know-how to develop, use, manufacture, and commercialize products containing compounds binding the RAF protein family.</w:t>
      </w:r>
    </w:p>
    <w:p>
      <w:pPr>
        <w:spacing w:after="0" w:line="56" w:lineRule="exact"/>
        <w:rPr>
          <w:sz w:val="20"/>
          <w:szCs w:val="20"/>
          <w:color w:val="auto"/>
        </w:rPr>
      </w:pPr>
    </w:p>
    <w:p>
      <w:pPr>
        <w:ind w:left="512" w:right="20" w:firstLine="509"/>
        <w:spacing w:after="0" w:line="251" w:lineRule="auto"/>
        <w:rPr>
          <w:sz w:val="20"/>
          <w:szCs w:val="20"/>
          <w:color w:val="auto"/>
        </w:rPr>
      </w:pPr>
      <w:r>
        <w:rPr>
          <w:rFonts w:ascii="Arial" w:cs="Arial" w:eastAsia="Arial" w:hAnsi="Arial"/>
          <w:sz w:val="17"/>
          <w:szCs w:val="17"/>
          <w:color w:val="auto"/>
        </w:rPr>
        <w:t>DOT-1 paid $2.0 million upfront in cash to Viracta, which was recorded as research and development expenses in 2019. DOT-1 made a milestone payment of $3.0 million to Viracta in February 2021, which was recorded as research and development expense when the milestone was achieved in April 2021. DOT-1 is also required to make additional milestone payments of up to $54.0 million upon achievement of specified development and regulatory milestones for each licensed product in two indications, with milestones payable for the second indication to achieve a specified milestone event being lower than milestones payable for the first indication. Additionally, if DOT-1 obtains a priority review voucher with respect to a licensed product and sells such priority review voucher to a third party or uses such priority review voucher, DOT-1 is obligated to pay Viracta a specified percentage in the mid-teen digits of all net consideration received from any such sale or of the value of such used priority review voucher, as applicable. Commencing on the first commercial sale of a licensed product in a country, DOT-1 is obligated to pay tiered royalties ranging in the mid-single-digit percentages on net sales of licensed products, if any. The obligation to pay royalties will end on a country-by-country and licensed product-by-licensed product basis commencing on the first commercial sale in a country and continuing until the later of: (i) the expiration of the last valid claim of the Viracta licensed patents, jointly owned collaboration patents or specified patents owned by the Company covering the use or sale of such product in such country, (ii) the expiration of the last statutory exclusivity pertaining to such product in such country or (iii) the tenth anniversary of the first commercial sale of such product in such country. No other milestones, except as discussed above, were achieved and due as of June 30, 2022.</w:t>
      </w:r>
    </w:p>
    <w:p>
      <w:pPr>
        <w:spacing w:after="0" w:line="81" w:lineRule="exact"/>
        <w:rPr>
          <w:sz w:val="20"/>
          <w:szCs w:val="20"/>
          <w:color w:val="auto"/>
        </w:rPr>
      </w:pPr>
    </w:p>
    <w:p>
      <w:pPr>
        <w:ind w:left="512" w:right="80" w:firstLine="509"/>
        <w:spacing w:after="0" w:line="270" w:lineRule="auto"/>
        <w:rPr>
          <w:sz w:val="20"/>
          <w:szCs w:val="20"/>
          <w:color w:val="auto"/>
        </w:rPr>
      </w:pPr>
      <w:r>
        <w:rPr>
          <w:rFonts w:ascii="Arial" w:cs="Arial" w:eastAsia="Arial" w:hAnsi="Arial"/>
          <w:sz w:val="17"/>
          <w:szCs w:val="17"/>
          <w:color w:val="auto"/>
        </w:rPr>
        <w:t>The term of the Viracta License Agreement will expire on a licensed product-by-licensed product and country-by-country basis upon the expiration of the Company’s obligation to pay royalties to Viracta with respect to such product in such country. DOT-1 has the right to terminate the Viracta License Agreement with respect to any or all of the licensed products at will upon a specified notice period.</w:t>
      </w:r>
    </w:p>
    <w:p>
      <w:pPr>
        <w:spacing w:after="0" w:line="56" w:lineRule="exact"/>
        <w:rPr>
          <w:sz w:val="20"/>
          <w:szCs w:val="20"/>
          <w:color w:val="auto"/>
        </w:rPr>
      </w:pPr>
    </w:p>
    <w:p>
      <w:pPr>
        <w:ind w:left="512" w:right="580" w:firstLine="509"/>
        <w:spacing w:after="0" w:line="261" w:lineRule="auto"/>
        <w:rPr>
          <w:sz w:val="20"/>
          <w:szCs w:val="20"/>
          <w:color w:val="auto"/>
        </w:rPr>
      </w:pPr>
      <w:r>
        <w:rPr>
          <w:rFonts w:ascii="Arial" w:cs="Arial" w:eastAsia="Arial" w:hAnsi="Arial"/>
          <w:sz w:val="18"/>
          <w:szCs w:val="18"/>
          <w:color w:val="auto"/>
        </w:rPr>
        <w:t>Effective December 31, 2021, DOT-1 was merged with and into the Company, with the Company being the surviving corporation and assuming DOT-1’s obligations under Viracta License Agreement.</w:t>
      </w:r>
    </w:p>
    <w:p>
      <w:pPr>
        <w:spacing w:after="0" w:line="275" w:lineRule="exact"/>
        <w:rPr>
          <w:sz w:val="20"/>
          <w:szCs w:val="20"/>
          <w:color w:val="auto"/>
        </w:rPr>
      </w:pPr>
    </w:p>
    <w:p>
      <w:pPr>
        <w:ind w:left="512" w:hanging="512"/>
        <w:spacing w:after="0"/>
        <w:tabs>
          <w:tab w:leader="none" w:pos="51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324"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ind w:left="512" w:right="20" w:firstLine="509"/>
        <w:spacing w:after="0" w:line="254" w:lineRule="auto"/>
        <w:rPr>
          <w:sz w:val="20"/>
          <w:szCs w:val="20"/>
          <w:color w:val="auto"/>
        </w:rPr>
      </w:pPr>
      <w:r>
        <w:rPr>
          <w:rFonts w:ascii="Arial" w:cs="Arial" w:eastAsia="Arial" w:hAnsi="Arial"/>
          <w:sz w:val="17"/>
          <w:szCs w:val="17"/>
          <w:color w:val="auto"/>
        </w:rPr>
        <w:t>The Company entered into a lease agreement for its corporate office facility in South San Francisco, California in March 2020, which expires in January 2023. Such agreement was determined to be a lease since the right to control the use of the identified asset was conveyed to the Company for a period of time in exchange for consideration. The Company can extend the lease term for additional three years at market rates upon the notice of extension. The Company is obligated to pay monthly rent expense and its pro rata share of utilities, common area maintenance expenses and property taxes. The landlord also provided an allowance of $10,000 for any tenant improvements. The Company concluded that it is an operating lease. Common area expenses are a non-lease component and a variable consideration and included in operating expenses as incurred. The extension period has not been included in the determination of the Right of Use, or ROU, asset or the lease liability for operating leases as the Company concluded that it is not reasonably certain that it would exercise this option.</w:t>
      </w:r>
    </w:p>
    <w:p>
      <w:pPr>
        <w:spacing w:after="0" w:line="73" w:lineRule="exact"/>
        <w:rPr>
          <w:sz w:val="20"/>
          <w:szCs w:val="20"/>
          <w:color w:val="auto"/>
        </w:rPr>
      </w:pPr>
    </w:p>
    <w:p>
      <w:pPr>
        <w:ind w:left="512" w:firstLine="509"/>
        <w:spacing w:after="0" w:line="267" w:lineRule="auto"/>
        <w:rPr>
          <w:sz w:val="20"/>
          <w:szCs w:val="20"/>
          <w:color w:val="auto"/>
        </w:rPr>
      </w:pPr>
      <w:r>
        <w:rPr>
          <w:rFonts w:ascii="Arial" w:cs="Arial" w:eastAsia="Arial" w:hAnsi="Arial"/>
          <w:sz w:val="16"/>
          <w:szCs w:val="16"/>
          <w:color w:val="auto"/>
        </w:rPr>
        <w:t>In April 2022, the Company entered into a lease agreement for approximately 12,000 square feet of general use office space in Brisbane, California. Such agreement was determined to be a lease since the right to control the use of the identified asset was conveyed to the Company for a period of time in exchange for consideration. The term of the lease is for 31 months and commenced in May 2022. There is no option to extend the lease term nor is there an option to terminate the lease term prior to its expiration. The Company is obligated to pay monthly rent expense and its pro rata share of the landlord's operating expenses which include utilities, common area maintenance expenses, and property taxes. Such expenses are a non-lease component and a variable consideration and included in the Company's operating expenses as incurred. The Company</w:t>
      </w:r>
    </w:p>
    <w:p>
      <w:pPr>
        <w:spacing w:after="0" w:line="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6" w:name="page17"/>
    <w:bookmarkEnd w:id="16"/>
    <w:p>
      <w:pPr>
        <w:jc w:val="center"/>
        <w:ind w:right="5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concluded that this lease is also an operating lease. The total payments for base rent over the term of the lease is approximately $1.1 million.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Company paid a security deposit of approximately $40,000.</w:t>
      </w:r>
    </w:p>
    <w:p>
      <w:pPr>
        <w:spacing w:after="0" w:line="88"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The Company determined the lease incremental borrowing rate, or IBR, based on the information available at the applicable lease commencement date as the Company’s leases do not provide an implicit rate. The IBR is determined by using the rate of interest that the Company would pay to borrow on a collateralized basis an amount equal to the lease payments for a similar term and in a similar economic environment where the asset is located. As of June 30, 2022, the weighted-average remaining lease term and weighted-average discount rate were 2.2 years and 8.9%, respectively.</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Company’s leases do not require any contingent rental payments, impose financial restrictions, or contain any residual value guarantees.</w:t>
      </w:r>
    </w:p>
    <w:p>
      <w:pPr>
        <w:spacing w:after="0" w:line="127" w:lineRule="exact"/>
        <w:rPr>
          <w:sz w:val="20"/>
          <w:szCs w:val="20"/>
          <w:color w:val="auto"/>
        </w:rPr>
      </w:pPr>
    </w:p>
    <w:p>
      <w:pPr>
        <w:ind w:right="260" w:firstLine="509"/>
        <w:spacing w:after="0" w:line="241" w:lineRule="auto"/>
        <w:rPr>
          <w:sz w:val="20"/>
          <w:szCs w:val="20"/>
          <w:color w:val="auto"/>
        </w:rPr>
      </w:pPr>
      <w:r>
        <w:rPr>
          <w:rFonts w:ascii="Arial" w:cs="Arial" w:eastAsia="Arial" w:hAnsi="Arial"/>
          <w:sz w:val="18"/>
          <w:szCs w:val="18"/>
          <w:color w:val="auto"/>
        </w:rPr>
        <w:t>Lease expense of right-of-use assets is recognized on a straight-line basis over the applicable lease term. Lease expense was $148,000 and $44,000 for the three months ended June 30, 2022 and 2021, respectively, and was $195,000 and $88,000 for the six months ended June 30, 2022 and 2021, respectively. Cash paid for amounts included in the measurement of operating lease liabilities was $143,000 and $102,000 for the six months ended June 30, 2022 and 2021, respectively. Variable payments expensed during the three and six months ended June 30, 2022 and 2021 were immaterial.</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2022, the future lease obligations were as follows (in thousands):</w:t>
      </w:r>
    </w:p>
    <w:p>
      <w:pPr>
        <w:spacing w:after="0" w:line="231"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For the Years Ending December 31,</w:t>
            </w:r>
          </w:p>
        </w:tc>
        <w:tc>
          <w:tcPr>
            <w:tcW w:w="240" w:type="dxa"/>
            <w:vAlign w:val="bottom"/>
          </w:tcPr>
          <w:p>
            <w:pPr>
              <w:spacing w:after="0"/>
              <w:rPr>
                <w:sz w:val="14"/>
                <w:szCs w:val="14"/>
                <w:color w:val="auto"/>
              </w:rPr>
            </w:pPr>
          </w:p>
        </w:tc>
        <w:tc>
          <w:tcPr>
            <w:tcW w:w="980" w:type="dxa"/>
            <w:vAlign w:val="bottom"/>
          </w:tcPr>
          <w:p>
            <w:pPr>
              <w:jc w:val="right"/>
              <w:ind w:right="274"/>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46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Remaining in 2022</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424</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60" w:type="dxa"/>
            <w:vAlign w:val="bottom"/>
          </w:tcPr>
          <w:p>
            <w:pPr>
              <w:spacing w:after="0" w:line="196" w:lineRule="exact"/>
              <w:rPr>
                <w:sz w:val="20"/>
                <w:szCs w:val="20"/>
                <w:color w:val="auto"/>
              </w:rPr>
            </w:pPr>
            <w:r>
              <w:rPr>
                <w:rFonts w:ascii="Arial" w:cs="Arial" w:eastAsia="Arial" w:hAnsi="Arial"/>
                <w:sz w:val="18"/>
                <w:szCs w:val="18"/>
                <w:color w:val="auto"/>
              </w:rPr>
              <w:t>Total future minimum lease payments</w:t>
            </w:r>
          </w:p>
        </w:tc>
        <w:tc>
          <w:tcPr>
            <w:tcW w:w="2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1,155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60" w:type="dxa"/>
            <w:vAlign w:val="bottom"/>
          </w:tcPr>
          <w:p>
            <w:pPr>
              <w:spacing w:after="0" w:line="196" w:lineRule="exact"/>
              <w:rPr>
                <w:sz w:val="20"/>
                <w:szCs w:val="20"/>
                <w:color w:val="auto"/>
              </w:rPr>
            </w:pPr>
            <w:r>
              <w:rPr>
                <w:rFonts w:ascii="Arial" w:cs="Arial" w:eastAsia="Arial" w:hAnsi="Arial"/>
                <w:sz w:val="18"/>
                <w:szCs w:val="18"/>
                <w:color w:val="auto"/>
              </w:rPr>
              <w:t>Present value of operating lease liabilities</w:t>
            </w:r>
          </w:p>
        </w:tc>
        <w:tc>
          <w:tcPr>
            <w:tcW w:w="2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1,044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current portion of operating lease liabilities</w:t>
            </w: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427</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60" w:type="dxa"/>
            <w:vAlign w:val="bottom"/>
          </w:tcPr>
          <w:p>
            <w:pPr>
              <w:spacing w:after="0" w:line="196" w:lineRule="exact"/>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5349875</wp:posOffset>
            </wp:positionH>
            <wp:positionV relativeFrom="paragraph">
              <wp:posOffset>-690880</wp:posOffset>
            </wp:positionV>
            <wp:extent cx="3429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5349875</wp:posOffset>
            </wp:positionH>
            <wp:positionV relativeFrom="paragraph">
              <wp:posOffset>-159385</wp:posOffset>
            </wp:positionV>
            <wp:extent cx="3429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Agreements</w:t>
      </w:r>
    </w:p>
    <w:p>
      <w:pPr>
        <w:spacing w:after="0" w:line="104"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The Company enters into contracts in the normal course of business with clinical research organizations for clinical trials, with contract manufacturing organizations for clinical supplies manufacturing and with other vendors for preclinical studies, supplies and other services and products for operating purposes. These contracts generally provide for termination on notice, with the exception of one vendor with a potential termination fee if a purchase order is cancelled within a specified time, and another vendor where labor costs are non-cancellable after the approval of the project plan. As of June 30, 2022 and December 31, 2021, there were no amounts accrued related to termination and cancellation charges as these are not probable.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0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Company entered into the license agreements, as disclosed in Note 5, pursuant to which the Company is required to pay milestones contingent upon meeting of specific events. The first milestone related to the Viracta License Agreement was achieved and recorded to research and development expense during the year ended December 31, 2021. The second milestone related to the MRKDG License Agreement was achieved and recorded to research and development during the six months ended June 30, 2022. The Company may be required to pay royalties on sales of products developed under these agreements. All products are in development as of June 30, 2022 and December 31, 2021, and no such royalties were due.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04" w:lineRule="exact"/>
        <w:rPr>
          <w:sz w:val="20"/>
          <w:szCs w:val="20"/>
          <w:color w:val="auto"/>
        </w:rPr>
      </w:pPr>
    </w:p>
    <w:p>
      <w:pPr>
        <w:ind w:right="340" w:firstLine="509"/>
        <w:spacing w:after="0" w:line="291" w:lineRule="auto"/>
        <w:rPr>
          <w:sz w:val="20"/>
          <w:szCs w:val="20"/>
          <w:color w:val="auto"/>
        </w:rPr>
      </w:pPr>
      <w:r>
        <w:rPr>
          <w:rFonts w:ascii="Arial" w:cs="Arial" w:eastAsia="Arial" w:hAnsi="Arial"/>
          <w:sz w:val="17"/>
          <w:szCs w:val="17"/>
          <w:color w:val="auto"/>
        </w:rPr>
        <w:t>The Company, from time to time, may be party to litigation arising in the ordinary course of business. The Company is not subject to any material legal proceedings, and to the best of its knowledge, no material legal proceedings are currently pending or threatened.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indemnification for certain liabilities. The exposure under these agreements is unknown because it involves claims that may be made against it in the future but have not yet been made. To date, the Company has not paid any claims or been required to defend any action related to its indemnification obligations. However, the Company</w:t>
      </w:r>
    </w:p>
    <w:p>
      <w:pPr>
        <w:spacing w:after="0" w:line="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43180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21" w:right="339" w:bottom="1440" w:gutter="0" w:footer="0" w:header="0"/>
        </w:sectPr>
      </w:pPr>
    </w:p>
    <w:bookmarkStart w:id="17" w:name="page18"/>
    <w:bookmarkEnd w:id="17"/>
    <w:p>
      <w:pPr>
        <w:jc w:val="center"/>
        <w:ind w:right="-11"/>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8" w:lineRule="exact"/>
        <w:rPr>
          <w:sz w:val="20"/>
          <w:szCs w:val="20"/>
          <w:color w:val="auto"/>
        </w:rPr>
      </w:pPr>
    </w:p>
    <w:p>
      <w:pPr>
        <w:jc w:val="both"/>
        <w:ind w:left="512" w:right="40"/>
        <w:spacing w:after="0" w:line="262" w:lineRule="auto"/>
        <w:rPr>
          <w:sz w:val="20"/>
          <w:szCs w:val="20"/>
          <w:color w:val="auto"/>
        </w:rPr>
      </w:pPr>
      <w:r>
        <w:rPr>
          <w:rFonts w:ascii="Arial" w:cs="Arial" w:eastAsia="Arial" w:hAnsi="Arial"/>
          <w:sz w:val="17"/>
          <w:szCs w:val="17"/>
          <w:color w:val="auto"/>
        </w:rPr>
        <w:t>may record charges in the future as a result of these indemnification obligations. The Company also has indemnification obligations to its directors and executive officers for specified events or occurrences, subject to some limits, while they are serving at its request in such capacities. There have been no claims, to date and the Company believes the fair value of these indemnification agreements is minimal. Accordingly, the Company had not recorded any liabilities for these agreements as of June 30, 2022 and December 31, 2021.</w:t>
      </w:r>
    </w:p>
    <w:p>
      <w:pPr>
        <w:spacing w:after="0" w:line="200" w:lineRule="exact"/>
        <w:rPr>
          <w:sz w:val="20"/>
          <w:szCs w:val="20"/>
          <w:color w:val="auto"/>
        </w:rPr>
      </w:pPr>
    </w:p>
    <w:p>
      <w:pPr>
        <w:spacing w:after="0" w:line="387" w:lineRule="exact"/>
        <w:rPr>
          <w:sz w:val="20"/>
          <w:szCs w:val="20"/>
          <w:color w:val="auto"/>
        </w:rPr>
      </w:pPr>
    </w:p>
    <w:p>
      <w:pPr>
        <w:ind w:left="512" w:hanging="512"/>
        <w:spacing w:after="0"/>
        <w:tabs>
          <w:tab w:leader="none" w:pos="51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Shares</w:t>
      </w:r>
    </w:p>
    <w:p>
      <w:pPr>
        <w:spacing w:after="0" w:line="202" w:lineRule="exact"/>
        <w:rPr>
          <w:sz w:val="20"/>
          <w:szCs w:val="20"/>
          <w:color w:val="auto"/>
        </w:rPr>
      </w:pPr>
    </w:p>
    <w:p>
      <w:pPr>
        <w:ind w:left="512" w:right="200" w:firstLine="509"/>
        <w:spacing w:after="0" w:line="248" w:lineRule="auto"/>
        <w:rPr>
          <w:sz w:val="20"/>
          <w:szCs w:val="20"/>
          <w:color w:val="auto"/>
        </w:rPr>
      </w:pPr>
      <w:r>
        <w:rPr>
          <w:rFonts w:ascii="Arial" w:cs="Arial" w:eastAsia="Arial" w:hAnsi="Arial"/>
          <w:sz w:val="18"/>
          <w:szCs w:val="18"/>
          <w:color w:val="auto"/>
        </w:rPr>
        <w:t>On June 1, 2021, the Company completed its IPO, selling an aggregate of 11,500,000 shares of common stock</w:t>
      </w:r>
      <w:r>
        <w:rPr>
          <w:rFonts w:ascii="Arial" w:cs="Arial" w:eastAsia="Arial" w:hAnsi="Arial"/>
          <w:sz w:val="18"/>
          <w:szCs w:val="18"/>
          <w:color w:val="0E0E0E"/>
        </w:rPr>
        <w:t>. All outstanding redeemable</w:t>
      </w:r>
      <w:r>
        <w:rPr>
          <w:rFonts w:ascii="Arial" w:cs="Arial" w:eastAsia="Arial" w:hAnsi="Arial"/>
          <w:sz w:val="18"/>
          <w:szCs w:val="18"/>
          <w:color w:val="auto"/>
        </w:rPr>
        <w:t xml:space="preserve"> </w:t>
      </w:r>
      <w:r>
        <w:rPr>
          <w:rFonts w:ascii="Arial" w:cs="Arial" w:eastAsia="Arial" w:hAnsi="Arial"/>
          <w:sz w:val="18"/>
          <w:szCs w:val="18"/>
          <w:color w:val="0E0E0E"/>
        </w:rPr>
        <w:t>convertible preferred shares were converted into 32,489,398 shares of common stock upon the completion of the IPO. As of June 30, 2022, the Company did not have any outstanding shares of redeemable convertible preferred shares.</w:t>
      </w:r>
    </w:p>
    <w:p>
      <w:pPr>
        <w:spacing w:after="0" w:line="168" w:lineRule="exact"/>
        <w:rPr>
          <w:sz w:val="20"/>
          <w:szCs w:val="20"/>
          <w:color w:val="auto"/>
        </w:rPr>
      </w:pPr>
    </w:p>
    <w:p>
      <w:pPr>
        <w:ind w:left="512" w:right="160" w:firstLine="509"/>
        <w:spacing w:after="0" w:line="261" w:lineRule="auto"/>
        <w:rPr>
          <w:sz w:val="20"/>
          <w:szCs w:val="20"/>
          <w:color w:val="auto"/>
        </w:rPr>
      </w:pPr>
      <w:r>
        <w:rPr>
          <w:rFonts w:ascii="Arial" w:cs="Arial" w:eastAsia="Arial" w:hAnsi="Arial"/>
          <w:sz w:val="18"/>
          <w:szCs w:val="18"/>
          <w:color w:val="auto"/>
        </w:rPr>
        <w:t>In February 2021, the Company issued 9,638,141 Series B redeemable convertible preferred shares at a price of $13.488 per share for gross cash proceeds of $130.0 million. The Company incurred issuance costs of $243,000.</w:t>
      </w:r>
    </w:p>
    <w:p>
      <w:pPr>
        <w:spacing w:after="0" w:line="275" w:lineRule="exact"/>
        <w:rPr>
          <w:sz w:val="20"/>
          <w:szCs w:val="20"/>
          <w:color w:val="auto"/>
        </w:rPr>
      </w:pPr>
    </w:p>
    <w:p>
      <w:pPr>
        <w:ind w:left="512" w:hanging="512"/>
        <w:spacing w:after="0"/>
        <w:tabs>
          <w:tab w:leader="none" w:pos="51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08" w:lineRule="exact"/>
        <w:rPr>
          <w:sz w:val="20"/>
          <w:szCs w:val="20"/>
          <w:color w:val="auto"/>
        </w:rPr>
      </w:pPr>
    </w:p>
    <w:p>
      <w:pPr>
        <w:ind w:left="1012"/>
        <w:spacing w:after="0"/>
        <w:rPr>
          <w:sz w:val="20"/>
          <w:szCs w:val="20"/>
          <w:color w:val="auto"/>
        </w:rPr>
      </w:pPr>
      <w:r>
        <w:rPr>
          <w:rFonts w:ascii="Arial" w:cs="Arial" w:eastAsia="Arial" w:hAnsi="Arial"/>
          <w:sz w:val="16"/>
          <w:szCs w:val="16"/>
          <w:color w:val="auto"/>
        </w:rPr>
        <w:t>Pursuant to its certificate of incorporation, the Company is authorized to issue 500.0 million shares of common stock at a par value $0.0001.</w:t>
      </w:r>
    </w:p>
    <w:p>
      <w:pPr>
        <w:spacing w:after="0" w:line="35" w:lineRule="exact"/>
        <w:rPr>
          <w:sz w:val="20"/>
          <w:szCs w:val="20"/>
          <w:color w:val="auto"/>
        </w:rPr>
      </w:pPr>
    </w:p>
    <w:p>
      <w:pPr>
        <w:ind w:left="512"/>
        <w:spacing w:after="0"/>
        <w:rPr>
          <w:sz w:val="20"/>
          <w:szCs w:val="20"/>
          <w:color w:val="auto"/>
        </w:rPr>
      </w:pPr>
      <w:r>
        <w:rPr>
          <w:rFonts w:ascii="Arial" w:cs="Arial" w:eastAsia="Arial" w:hAnsi="Arial"/>
          <w:sz w:val="18"/>
          <w:szCs w:val="18"/>
          <w:color w:val="auto"/>
        </w:rPr>
        <w:t>As of June 30, 2022, 73,461,100 shares of common stock were issued and outstanding.</w:t>
      </w:r>
    </w:p>
    <w:p>
      <w:pPr>
        <w:spacing w:after="0" w:line="88" w:lineRule="exact"/>
        <w:rPr>
          <w:sz w:val="20"/>
          <w:szCs w:val="20"/>
          <w:color w:val="auto"/>
        </w:rPr>
      </w:pPr>
    </w:p>
    <w:p>
      <w:pPr>
        <w:ind w:left="512" w:firstLine="509"/>
        <w:spacing w:after="0" w:line="239" w:lineRule="auto"/>
        <w:rPr>
          <w:sz w:val="20"/>
          <w:szCs w:val="20"/>
          <w:color w:val="auto"/>
        </w:rPr>
      </w:pPr>
      <w:r>
        <w:rPr>
          <w:rFonts w:ascii="Arial" w:cs="Arial" w:eastAsia="Arial" w:hAnsi="Arial"/>
          <w:sz w:val="18"/>
          <w:szCs w:val="18"/>
          <w:color w:val="auto"/>
        </w:rPr>
        <w:t>In November 2018, the Company entered into common shares purchase agreements with two founders of the Company. The individuals purchased a total of 2,790,000 common shares for a total purchase price of $300. Shares vested monthly for two and four years, respectively. Vesting for a certain number of shares was accelerated upon the Company’s closing of its Series A redeemable convertible preferred share financing. The Company also has an option for a period of ninety days after the individual’s employment is terminated either voluntarily or involuntarily to repurchase the unvested common shares at a price that is the lower of the original price per share paid by the founder for such stock or the fair value as of the date of such repurchase. The founders’ shares were converted to common stock in the Conversion. As of June 30, 2022, all founders’ common stock were vested.</w:t>
      </w:r>
    </w:p>
    <w:p>
      <w:pPr>
        <w:spacing w:after="0" w:line="299"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104" w:lineRule="exact"/>
        <w:rPr>
          <w:sz w:val="20"/>
          <w:szCs w:val="20"/>
          <w:color w:val="auto"/>
        </w:rPr>
      </w:pPr>
    </w:p>
    <w:p>
      <w:pPr>
        <w:ind w:left="512" w:right="200" w:firstLine="509"/>
        <w:spacing w:after="0" w:line="243" w:lineRule="auto"/>
        <w:rPr>
          <w:sz w:val="20"/>
          <w:szCs w:val="20"/>
          <w:color w:val="auto"/>
        </w:rPr>
      </w:pPr>
      <w:r>
        <w:rPr>
          <w:rFonts w:ascii="Arial" w:cs="Arial" w:eastAsia="Arial" w:hAnsi="Arial"/>
          <w:sz w:val="18"/>
          <w:szCs w:val="18"/>
          <w:color w:val="auto"/>
        </w:rPr>
        <w:t>In June 2022, the Company entered into an equity distribution agreement with Piper Sandler &amp; Co. and JonesTrading Institutional Services LLC, as sales agents, relating to the issuance and sale of shares of the Company’s common stock for an aggregate offering price of up to $150.0 million under an at-the-market offering program, or the 2022 ATM. During the three months ended June 30, 2022, the Company did not make any sales under the 2022 ATM.</w:t>
      </w:r>
    </w:p>
    <w:p>
      <w:pPr>
        <w:spacing w:after="0" w:line="80"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June 2022 Follow-On Offering</w:t>
      </w:r>
    </w:p>
    <w:p>
      <w:pPr>
        <w:spacing w:after="0" w:line="306" w:lineRule="exact"/>
        <w:rPr>
          <w:sz w:val="20"/>
          <w:szCs w:val="20"/>
          <w:color w:val="auto"/>
        </w:rPr>
      </w:pPr>
    </w:p>
    <w:p>
      <w:pPr>
        <w:jc w:val="both"/>
        <w:ind w:left="512" w:right="160" w:firstLine="509"/>
        <w:spacing w:after="0" w:line="270" w:lineRule="auto"/>
        <w:rPr>
          <w:sz w:val="20"/>
          <w:szCs w:val="20"/>
          <w:color w:val="auto"/>
        </w:rPr>
      </w:pPr>
      <w:r>
        <w:rPr>
          <w:rFonts w:ascii="Arial" w:cs="Arial" w:eastAsia="Arial" w:hAnsi="Arial"/>
          <w:sz w:val="17"/>
          <w:szCs w:val="17"/>
          <w:color w:val="auto"/>
        </w:rPr>
        <w:t>In June 2022, the Company completed a follow-on offering and issued and sold 11,500,000 shares of common stock (including the exercise by the underwriters of their option to purchase an additional 1,500,000 shares of common stock) at a price to the public of $15.00 per share for net proceeds of approximately $161.6 million, after deducting underwriting discounts, commissions, and offering costs.</w:t>
      </w:r>
    </w:p>
    <w:p>
      <w:pPr>
        <w:spacing w:after="0" w:line="200" w:lineRule="exact"/>
        <w:rPr>
          <w:sz w:val="20"/>
          <w:szCs w:val="20"/>
          <w:color w:val="auto"/>
        </w:rPr>
      </w:pPr>
    </w:p>
    <w:p>
      <w:pPr>
        <w:spacing w:after="0" w:line="261" w:lineRule="exact"/>
        <w:rPr>
          <w:sz w:val="20"/>
          <w:szCs w:val="20"/>
          <w:color w:val="auto"/>
        </w:rPr>
      </w:pPr>
    </w:p>
    <w:p>
      <w:pPr>
        <w:ind w:left="1012"/>
        <w:spacing w:after="0"/>
        <w:rPr>
          <w:sz w:val="20"/>
          <w:szCs w:val="20"/>
          <w:color w:val="auto"/>
        </w:rPr>
      </w:pPr>
      <w:r>
        <w:rPr>
          <w:rFonts w:ascii="Arial" w:cs="Arial" w:eastAsia="Arial" w:hAnsi="Arial"/>
          <w:sz w:val="18"/>
          <w:szCs w:val="18"/>
          <w:color w:val="auto"/>
        </w:rPr>
        <w:t>The Company has reserved shares of common stock for future issuances as follows:</w:t>
      </w:r>
    </w:p>
    <w:p>
      <w:pPr>
        <w:spacing w:after="0" w:line="203"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June 30,</w:t>
      </w:r>
    </w:p>
    <w:p>
      <w:pPr>
        <w:spacing w:after="0" w:line="4"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5066030</wp:posOffset>
            </wp:positionH>
            <wp:positionV relativeFrom="paragraph">
              <wp:posOffset>5080</wp:posOffset>
            </wp:positionV>
            <wp:extent cx="13030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p>
      <w:pPr>
        <w:spacing w:after="0" w:line="9"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Common stock options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5080</wp:posOffset>
            </wp:positionV>
            <wp:extent cx="5700395"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00395" cy="128905"/>
                    </a:xfrm>
                    <a:prstGeom prst="rect">
                      <a:avLst/>
                    </a:prstGeom>
                    <a:noFill/>
                  </pic:spPr>
                </pic:pic>
              </a:graphicData>
            </a:graphic>
          </wp:anchor>
        </w:drawing>
      </w:r>
    </w:p>
    <w:p>
      <w:pPr>
        <w:ind w:left="1132"/>
        <w:spacing w:after="0"/>
        <w:rPr>
          <w:sz w:val="20"/>
          <w:szCs w:val="20"/>
          <w:color w:val="auto"/>
        </w:rPr>
      </w:pPr>
      <w:r>
        <w:rPr>
          <w:rFonts w:ascii="Arial" w:cs="Arial" w:eastAsia="Arial" w:hAnsi="Arial"/>
          <w:sz w:val="18"/>
          <w:szCs w:val="18"/>
          <w:color w:val="auto"/>
        </w:rPr>
        <w:t>Common stock available for future grants</w:t>
      </w:r>
    </w:p>
    <w:p>
      <w:pPr>
        <w:ind w:left="1132"/>
        <w:spacing w:after="0" w:line="234" w:lineRule="auto"/>
        <w:rPr>
          <w:sz w:val="20"/>
          <w:szCs w:val="20"/>
          <w:color w:val="auto"/>
        </w:rPr>
      </w:pPr>
      <w:r>
        <w:rPr>
          <w:rFonts w:ascii="Arial" w:cs="Arial" w:eastAsia="Arial" w:hAnsi="Arial"/>
          <w:sz w:val="18"/>
          <w:szCs w:val="18"/>
          <w:color w:val="auto"/>
        </w:rPr>
        <w:t>Common stock available for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0</wp:posOffset>
            </wp:positionV>
            <wp:extent cx="5700395"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32"/>
        <w:spacing w:after="0"/>
        <w:rPr>
          <w:sz w:val="20"/>
          <w:szCs w:val="20"/>
          <w:color w:val="auto"/>
        </w:rPr>
      </w:pPr>
      <w:r>
        <w:rPr>
          <w:rFonts w:ascii="Arial" w:cs="Arial" w:eastAsia="Arial" w:hAnsi="Arial"/>
          <w:sz w:val="18"/>
          <w:szCs w:val="18"/>
          <w:color w:val="auto"/>
        </w:rPr>
        <w:t>Restricted stock units issued and outstanding</w:t>
      </w:r>
    </w:p>
    <w:p>
      <w:pPr>
        <w:spacing w:after="0" w:line="7"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Total</w:t>
      </w:r>
    </w:p>
    <w:p>
      <w:pPr>
        <w:spacing w:after="0" w:line="224" w:lineRule="exact"/>
        <w:rPr>
          <w:sz w:val="20"/>
          <w:szCs w:val="20"/>
          <w:color w:val="auto"/>
        </w:rPr>
      </w:pPr>
    </w:p>
    <w:p>
      <w:pPr>
        <w:jc w:val="right"/>
        <w:ind w:right="27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220"/>
        <w:spacing w:after="0"/>
        <w:rPr>
          <w:sz w:val="20"/>
          <w:szCs w:val="20"/>
          <w:color w:val="auto"/>
        </w:rPr>
      </w:pPr>
      <w:r>
        <w:rPr>
          <w:rFonts w:ascii="Arial" w:cs="Arial" w:eastAsia="Arial" w:hAnsi="Arial"/>
          <w:sz w:val="18"/>
          <w:szCs w:val="18"/>
          <w:color w:val="auto"/>
        </w:rPr>
        <w:t>7,525,836</w:t>
      </w:r>
    </w:p>
    <w:p>
      <w:pPr>
        <w:spacing w:after="0" w:line="5"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1,270,452</w:t>
      </w:r>
    </w:p>
    <w:p>
      <w:pPr>
        <w:jc w:val="right"/>
        <w:ind w:right="1220"/>
        <w:spacing w:after="0" w:line="234" w:lineRule="auto"/>
        <w:rPr>
          <w:sz w:val="20"/>
          <w:szCs w:val="20"/>
          <w:color w:val="auto"/>
        </w:rPr>
      </w:pPr>
      <w:r>
        <w:rPr>
          <w:rFonts w:ascii="Arial" w:cs="Arial" w:eastAsia="Arial" w:hAnsi="Arial"/>
          <w:sz w:val="18"/>
          <w:szCs w:val="18"/>
          <w:color w:val="auto"/>
        </w:rPr>
        <w:t>1,149,998</w:t>
      </w:r>
    </w:p>
    <w:p>
      <w:pPr>
        <w:spacing w:after="0" w:line="1"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430,850</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10,377,136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12065</wp:posOffset>
            </wp:positionV>
            <wp:extent cx="13030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-770255</wp:posOffset>
            </wp:positionH>
            <wp:positionV relativeFrom="paragraph">
              <wp:posOffset>29210</wp:posOffset>
            </wp:positionV>
            <wp:extent cx="13030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ectPr>
          <w:pgSz w:w="11900" w:h="16838" w:orient="portrait"/>
          <w:cols w:equalWidth="0" w:num="2">
            <w:col w:w="8472" w:space="720"/>
            <w:col w:w="2040"/>
          </w:cols>
          <w:pgMar w:left="328" w:top="121"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w:t>
      </w:r>
    </w:p>
    <w:p>
      <w:pPr>
        <w:spacing w:after="0" w:line="108" w:lineRule="exact"/>
        <w:rPr>
          <w:sz w:val="20"/>
          <w:szCs w:val="20"/>
          <w:color w:val="auto"/>
        </w:rPr>
      </w:pPr>
    </w:p>
    <w:p>
      <w:pPr>
        <w:ind w:left="520" w:right="200" w:firstLine="509"/>
        <w:spacing w:after="0" w:line="255" w:lineRule="auto"/>
        <w:rPr>
          <w:sz w:val="20"/>
          <w:szCs w:val="20"/>
          <w:color w:val="auto"/>
        </w:rPr>
      </w:pPr>
      <w:r>
        <w:rPr>
          <w:rFonts w:ascii="Arial" w:cs="Arial" w:eastAsia="Arial" w:hAnsi="Arial"/>
          <w:sz w:val="17"/>
          <w:szCs w:val="17"/>
          <w:color w:val="auto"/>
        </w:rPr>
        <w:t>Prior to the Conversion, Day One Holding LLC granted incentive shares under the Incentive Share Plan and was authorized to issue 8,924,177 incentive shares. Incentive shares were a separate non-voting class of shares that participated in distributions only after incentive shares vested, unless it was approved by the board of directors and included at least two of the preferred members, and a participation threshold was met. The incentive shares represented profits interests in Day One Holding LLC, which was an interest in the increase in the Company’s value over the participation threshold, as defined in its operating agreement and as determined at the time of grant. A holder of incentive shares had the right to participate in distributions of profits only in excess of the participation threshold. The participation threshold was based on the valuation of the Company’s common shares on or around the grant date.</w:t>
      </w:r>
    </w:p>
    <w:p>
      <w:pPr>
        <w:spacing w:after="0" w:line="7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fair value of the incentive shares was estimated using an option pricing model with the following assumptions:</w:t>
      </w:r>
    </w:p>
    <w:p>
      <w:pPr>
        <w:spacing w:after="0" w:line="231"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75"/>
        </w:trPr>
        <w:tc>
          <w:tcPr>
            <w:tcW w:w="468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5"/>
                <w:szCs w:val="15"/>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r>
      <w:tr>
        <w:trPr>
          <w:trHeight w:val="185"/>
        </w:trPr>
        <w:tc>
          <w:tcPr>
            <w:tcW w:w="46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880" w:type="dxa"/>
            <w:vAlign w:val="bottom"/>
            <w:gridSpan w:val="3"/>
          </w:tcPr>
          <w:p>
            <w:pPr>
              <w:jc w:val="center"/>
              <w:ind w:left="33"/>
              <w:spacing w:after="0"/>
              <w:rPr>
                <w:sz w:val="20"/>
                <w:szCs w:val="20"/>
                <w:color w:val="auto"/>
              </w:rPr>
            </w:pPr>
            <w:r>
              <w:rPr>
                <w:rFonts w:ascii="Arial" w:cs="Arial" w:eastAsia="Arial" w:hAnsi="Arial"/>
                <w:sz w:val="14"/>
                <w:szCs w:val="14"/>
                <w:b w:val="1"/>
                <w:bCs w:val="1"/>
                <w:color w:val="auto"/>
                <w:w w:val="89"/>
              </w:rPr>
              <w:t>2021</w:t>
            </w:r>
          </w:p>
        </w:tc>
      </w:tr>
      <w:tr>
        <w:trPr>
          <w:trHeight w:val="196"/>
        </w:trPr>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Common share fair value</w:t>
            </w:r>
          </w:p>
        </w:tc>
        <w:tc>
          <w:tcPr>
            <w:tcW w:w="174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88"/>
              </w:rPr>
              <w:t>$8.89</w:t>
            </w:r>
          </w:p>
        </w:tc>
        <w:tc>
          <w:tcPr>
            <w:tcW w:w="14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$6.36</w:t>
            </w:r>
          </w:p>
        </w:tc>
        <w:tc>
          <w:tcPr>
            <w:tcW w:w="9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$8.89</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Participating threshold</w:t>
            </w:r>
          </w:p>
        </w:tc>
        <w:tc>
          <w:tcPr>
            <w:tcW w:w="1740" w:type="dxa"/>
            <w:vAlign w:val="bottom"/>
          </w:tcPr>
          <w:p>
            <w:pPr>
              <w:jc w:val="center"/>
              <w:spacing w:after="0" w:line="202" w:lineRule="exact"/>
              <w:rPr>
                <w:sz w:val="20"/>
                <w:szCs w:val="20"/>
                <w:color w:val="auto"/>
              </w:rPr>
            </w:pPr>
            <w:r>
              <w:rPr>
                <w:rFonts w:ascii="Arial" w:cs="Arial" w:eastAsia="Arial" w:hAnsi="Arial"/>
                <w:sz w:val="18"/>
                <w:szCs w:val="18"/>
                <w:color w:val="auto"/>
                <w:w w:val="88"/>
              </w:rPr>
              <w:t>$7.51</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$6.36</w:t>
            </w:r>
          </w:p>
        </w:tc>
        <w:tc>
          <w:tcPr>
            <w:tcW w:w="920" w:type="dxa"/>
            <w:vAlign w:val="bottom"/>
          </w:tcPr>
          <w:p>
            <w:pPr>
              <w:ind w:left="20"/>
              <w:spacing w:after="0" w:line="202" w:lineRule="exact"/>
              <w:rPr>
                <w:sz w:val="20"/>
                <w:szCs w:val="20"/>
                <w:color w:val="auto"/>
              </w:rPr>
            </w:pPr>
            <w:r>
              <w:rPr>
                <w:rFonts w:ascii="Arial" w:cs="Arial" w:eastAsia="Arial" w:hAnsi="Arial"/>
                <w:sz w:val="18"/>
                <w:szCs w:val="18"/>
                <w:color w:val="auto"/>
              </w:rPr>
              <w:t>- $7.51</w:t>
            </w:r>
          </w:p>
        </w:tc>
      </w:tr>
      <w:tr>
        <w:trPr>
          <w:trHeight w:val="203"/>
        </w:trPr>
        <w:tc>
          <w:tcPr>
            <w:tcW w:w="4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Risk free rate</w:t>
            </w:r>
          </w:p>
        </w:tc>
        <w:tc>
          <w:tcPr>
            <w:tcW w:w="17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0"/>
              </w:rPr>
              <w:t>0.14%</w:t>
            </w:r>
          </w:p>
        </w:tc>
        <w:tc>
          <w:tcPr>
            <w:tcW w:w="1880" w:type="dxa"/>
            <w:vAlign w:val="bottom"/>
            <w:gridSpan w:val="3"/>
            <w:shd w:val="clear" w:color="auto" w:fill="CFF0FC"/>
          </w:tcPr>
          <w:p>
            <w:pPr>
              <w:jc w:val="center"/>
              <w:ind w:left="53"/>
              <w:spacing w:after="0" w:line="202" w:lineRule="exact"/>
              <w:rPr>
                <w:sz w:val="20"/>
                <w:szCs w:val="20"/>
                <w:color w:val="auto"/>
              </w:rPr>
            </w:pPr>
            <w:r>
              <w:rPr>
                <w:rFonts w:ascii="Arial" w:cs="Arial" w:eastAsia="Arial" w:hAnsi="Arial"/>
                <w:sz w:val="18"/>
                <w:szCs w:val="18"/>
                <w:color w:val="auto"/>
                <w:w w:val="90"/>
              </w:rPr>
              <w:t>0.14%</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Volatility</w:t>
            </w:r>
          </w:p>
        </w:tc>
        <w:tc>
          <w:tcPr>
            <w:tcW w:w="1740" w:type="dxa"/>
            <w:vAlign w:val="bottom"/>
          </w:tcPr>
          <w:p>
            <w:pPr>
              <w:jc w:val="center"/>
              <w:spacing w:after="0" w:line="202" w:lineRule="exact"/>
              <w:rPr>
                <w:sz w:val="20"/>
                <w:szCs w:val="20"/>
                <w:color w:val="auto"/>
              </w:rPr>
            </w:pPr>
            <w:r>
              <w:rPr>
                <w:rFonts w:ascii="Arial" w:cs="Arial" w:eastAsia="Arial" w:hAnsi="Arial"/>
                <w:sz w:val="18"/>
                <w:szCs w:val="18"/>
                <w:color w:val="auto"/>
                <w:w w:val="91"/>
              </w:rPr>
              <w:t>72.90%</w:t>
            </w:r>
          </w:p>
        </w:tc>
        <w:tc>
          <w:tcPr>
            <w:tcW w:w="1880" w:type="dxa"/>
            <w:vAlign w:val="bottom"/>
            <w:gridSpan w:val="3"/>
          </w:tcPr>
          <w:p>
            <w:pPr>
              <w:jc w:val="center"/>
              <w:ind w:left="33"/>
              <w:spacing w:after="0" w:line="202" w:lineRule="exact"/>
              <w:rPr>
                <w:sz w:val="20"/>
                <w:szCs w:val="20"/>
                <w:color w:val="auto"/>
              </w:rPr>
            </w:pPr>
            <w:r>
              <w:rPr>
                <w:rFonts w:ascii="Arial" w:cs="Arial" w:eastAsia="Arial" w:hAnsi="Arial"/>
                <w:sz w:val="18"/>
                <w:szCs w:val="18"/>
                <w:color w:val="auto"/>
                <w:w w:val="91"/>
              </w:rPr>
              <w:t>72.90%</w:t>
            </w:r>
          </w:p>
        </w:tc>
      </w:tr>
      <w:tr>
        <w:trPr>
          <w:trHeight w:val="203"/>
        </w:trPr>
        <w:tc>
          <w:tcPr>
            <w:tcW w:w="4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Time to liquidity (in years)</w:t>
            </w:r>
          </w:p>
        </w:tc>
        <w:tc>
          <w:tcPr>
            <w:tcW w:w="17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0"/>
              </w:rPr>
              <w:t>0.20 - 1.80</w:t>
            </w:r>
          </w:p>
        </w:tc>
        <w:tc>
          <w:tcPr>
            <w:tcW w:w="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0.20</w:t>
            </w:r>
          </w:p>
        </w:tc>
        <w:tc>
          <w:tcPr>
            <w:tcW w:w="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- 1.80</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Grant date fair value</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$4.24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920" w:type="dxa"/>
            <w:vAlign w:val="bottom"/>
          </w:tcPr>
          <w:p>
            <w:pPr>
              <w:ind w:left="20"/>
              <w:spacing w:after="0"/>
              <w:rPr>
                <w:sz w:val="20"/>
                <w:szCs w:val="20"/>
                <w:color w:val="auto"/>
              </w:rPr>
            </w:pPr>
            <w:r>
              <w:rPr>
                <w:rFonts w:ascii="Arial" w:cs="Arial" w:eastAsia="Arial" w:hAnsi="Arial"/>
                <w:sz w:val="18"/>
                <w:szCs w:val="18"/>
                <w:color w:val="auto"/>
              </w:rPr>
              <w:t>- $4.52</w:t>
            </w:r>
          </w:p>
        </w:tc>
      </w:tr>
    </w:tbl>
    <w:p>
      <w:pPr>
        <w:spacing w:after="0" w:line="268" w:lineRule="exact"/>
        <w:rPr>
          <w:sz w:val="20"/>
          <w:szCs w:val="20"/>
          <w:color w:val="auto"/>
        </w:rPr>
      </w:pPr>
    </w:p>
    <w:p>
      <w:pPr>
        <w:ind w:left="520" w:right="200" w:firstLine="509"/>
        <w:spacing w:after="0" w:line="261" w:lineRule="auto"/>
        <w:rPr>
          <w:sz w:val="20"/>
          <w:szCs w:val="20"/>
          <w:color w:val="auto"/>
        </w:rPr>
      </w:pPr>
      <w:r>
        <w:rPr>
          <w:rFonts w:ascii="Arial" w:cs="Arial" w:eastAsia="Arial" w:hAnsi="Arial"/>
          <w:sz w:val="18"/>
          <w:szCs w:val="18"/>
          <w:color w:val="auto"/>
        </w:rPr>
        <w:t>During the Conversion, the Company converted all incentive shares to vested and unvested shares of common stock. As such, there was no incentive shares activity for the three and six months ended June 30, 2022.</w:t>
      </w:r>
    </w:p>
    <w:p>
      <w:pPr>
        <w:spacing w:after="0" w:line="63" w:lineRule="exact"/>
        <w:rPr>
          <w:sz w:val="20"/>
          <w:szCs w:val="20"/>
          <w:color w:val="auto"/>
        </w:rPr>
      </w:pPr>
    </w:p>
    <w:p>
      <w:pPr>
        <w:ind w:left="520" w:right="120" w:firstLine="509"/>
        <w:spacing w:after="0" w:line="241" w:lineRule="auto"/>
        <w:rPr>
          <w:sz w:val="20"/>
          <w:szCs w:val="20"/>
          <w:color w:val="auto"/>
        </w:rPr>
      </w:pPr>
      <w:r>
        <w:rPr>
          <w:rFonts w:ascii="Arial" w:cs="Arial" w:eastAsia="Arial" w:hAnsi="Arial"/>
          <w:sz w:val="18"/>
          <w:szCs w:val="18"/>
          <w:color w:val="auto"/>
        </w:rPr>
        <w:t>The Company used the option pricing model to estimate the fair value of each incentive shares award on the date of grant. The members’ equity value was based on a recent enterprise valuation analysis performed and common share fair value. The participation threshold amounts were determined by the board of directors at the time of grant. The expected life of the awards granted during the period was determined based on an expected time to the liquidation event. The Company applied the risk-free interest rate based on the U.S. Treasury yield in effect at the time of the grant.</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0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following table provides a summary of the unvested common stock awards activity during the six months ended June 30, 2022.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39"/>
              <w:spacing w:after="0"/>
              <w:rPr>
                <w:sz w:val="20"/>
                <w:szCs w:val="20"/>
                <w:color w:val="auto"/>
              </w:rPr>
            </w:pPr>
            <w:r>
              <w:rPr>
                <w:rFonts w:ascii="Arial" w:cs="Arial" w:eastAsia="Arial" w:hAnsi="Arial"/>
                <w:sz w:val="14"/>
                <w:szCs w:val="14"/>
                <w:b w:val="1"/>
                <w:bCs w:val="1"/>
                <w:color w:val="auto"/>
                <w:w w:val="95"/>
              </w:rPr>
              <w:t>Weighted</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7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94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Per Share</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2"/>
              </w:rPr>
              <w:t>Unvested common stock as of December 31, 2021</w:t>
            </w:r>
          </w:p>
        </w:tc>
        <w:tc>
          <w:tcPr>
            <w:tcW w:w="158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3,753,862</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16.00</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740" w:type="dxa"/>
            <w:vAlign w:val="bottom"/>
          </w:tcPr>
          <w:p>
            <w:pPr>
              <w:spacing w:after="0" w:line="202" w:lineRule="exact"/>
              <w:rPr>
                <w:sz w:val="20"/>
                <w:szCs w:val="20"/>
                <w:color w:val="auto"/>
              </w:rPr>
            </w:pPr>
            <w:r>
              <w:rPr>
                <w:rFonts w:ascii="Arial" w:cs="Arial" w:eastAsia="Arial" w:hAnsi="Arial"/>
                <w:sz w:val="18"/>
                <w:szCs w:val="18"/>
                <w:color w:val="auto"/>
              </w:rPr>
              <w:t>Vested</w:t>
            </w:r>
          </w:p>
        </w:tc>
        <w:tc>
          <w:tcPr>
            <w:tcW w:w="29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(905,402 )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16.00</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Forfeiture</w:t>
            </w:r>
          </w:p>
        </w:tc>
        <w:tc>
          <w:tcPr>
            <w:tcW w:w="15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(40,363 )</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16.00</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74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Unvested common stock as of June 30, 2022</w:t>
            </w:r>
          </w:p>
        </w:tc>
        <w:tc>
          <w:tcPr>
            <w:tcW w:w="1580" w:type="dxa"/>
            <w:vAlign w:val="bottom"/>
            <w:tcBorders>
              <w:top w:val="single" w:sz="8" w:color="CFF0FC"/>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2,808,097</w:t>
            </w: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16.00</w:t>
            </w:r>
          </w:p>
        </w:tc>
        <w:tc>
          <w:tcPr>
            <w:tcW w:w="80" w:type="dxa"/>
            <w:vAlign w:val="bottom"/>
            <w:tcBorders>
              <w:top w:val="single" w:sz="8" w:color="CFF0FC"/>
            </w:tcBorders>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80" w:type="dxa"/>
            <w:vAlign w:val="bottom"/>
            <w:vMerge w:val="restart"/>
          </w:tcPr>
          <w:p>
            <w:pPr>
              <w:jc w:val="right"/>
              <w:ind w:right="1210"/>
              <w:spacing w:after="0"/>
              <w:rPr>
                <w:sz w:val="20"/>
                <w:szCs w:val="20"/>
                <w:color w:val="auto"/>
              </w:rPr>
            </w:pPr>
            <w:r>
              <w:rPr>
                <w:rFonts w:ascii="Arial" w:cs="Arial" w:eastAsia="Arial" w:hAnsi="Arial"/>
                <w:sz w:val="18"/>
                <w:szCs w:val="18"/>
                <w:color w:val="auto"/>
              </w:rPr>
              <w:t>19</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74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-502285</wp:posOffset>
            </wp:positionV>
            <wp:extent cx="5143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10" w:lineRule="exact"/>
        <w:rPr>
          <w:sz w:val="20"/>
          <w:szCs w:val="20"/>
          <w:color w:val="auto"/>
        </w:rPr>
      </w:pPr>
    </w:p>
    <w:p>
      <w:pPr>
        <w:ind w:left="520" w:right="20" w:firstLine="509"/>
        <w:spacing w:after="0" w:line="269" w:lineRule="auto"/>
        <w:rPr>
          <w:sz w:val="20"/>
          <w:szCs w:val="20"/>
          <w:color w:val="auto"/>
        </w:rPr>
      </w:pPr>
      <w:r>
        <w:rPr>
          <w:rFonts w:ascii="Arial" w:cs="Arial" w:eastAsia="Arial" w:hAnsi="Arial"/>
          <w:sz w:val="16"/>
          <w:szCs w:val="16"/>
          <w:color w:val="auto"/>
        </w:rPr>
        <w:t>In May 2021, in connection with the IPO, the board of directors and stockholders approved the 2021 Equity Incentive Plan, or the 2021 Plan, which became effective on the day before the date of the effectiveness of the IPO. The 2021 Plan provides for the grant of incentive stock options, non-statutory stock options, stock appreciation rights, awards of restricted stock, restricted stock units and other stock-based awards. The number of shares of common stock reserved for issuance under the 2021 Plan is equal to the sum of: (x) 6,369,000 shares of common stock; plus (y) 4,719,605 shares of common stock issued in respect of the Conversion of incentive shares that were subject to vesting immediately prior to the effectiveness of the registration statement for the IPO that expire, terminate or are otherwise surrendered, canceled, forfeited or repurchased by us at their original issuance price pursuant to a contractual repurchase right. The number of shares available for grant and issuance under the 2021 Plan will be automatically increased on the first day of each fiscal year, beginning with the fiscal year commencing on January 1, 2021 and continuing for each fiscal year until, and including, the fiscal year commencing on January 1, 2031, by the lesser of (a) 5% of the number of shares of all classes of the Company’s common stock, plus the total number of shares of Company common stock issuable upon conversion of any preferred stock or exercise of any warrants to acquire shares of Company common stock for a nominal exercise price issued and outstanding on each December 31 immediately prior to the date of increase or (b) such number of shares determined by the board of directors.</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provides a summary of stock option activity under the 2021 Plan during the six months ended June 30, 2022.</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89"/>
              </w:rPr>
              <w:t>Aggregate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9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0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Per Share</w:t>
            </w:r>
          </w:p>
        </w:tc>
        <w:tc>
          <w:tcPr>
            <w:tcW w:w="1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December 31, 2021</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5,071,896</w:t>
            </w:r>
          </w:p>
        </w:tc>
        <w:tc>
          <w:tcPr>
            <w:tcW w:w="2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16.90</w:t>
            </w:r>
          </w:p>
        </w:tc>
        <w:tc>
          <w:tcPr>
            <w:tcW w:w="18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2,540,780</w:t>
            </w:r>
          </w:p>
        </w:tc>
        <w:tc>
          <w:tcPr>
            <w:tcW w:w="2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13.93</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Forfeiture</w:t>
            </w:r>
          </w:p>
        </w:tc>
        <w:tc>
          <w:tcPr>
            <w:tcW w:w="12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(86,840 )</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17.64</w:t>
            </w: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Outstanding at June 30, 2022</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7,525,836</w:t>
            </w:r>
          </w:p>
        </w:tc>
        <w:tc>
          <w:tcPr>
            <w:tcW w:w="20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CFF0FC"/>
            </w:tcBorders>
          </w:tcPr>
          <w:p>
            <w:pPr>
              <w:jc w:val="right"/>
              <w:spacing w:after="0" w:line="196" w:lineRule="exact"/>
              <w:rPr>
                <w:sz w:val="20"/>
                <w:szCs w:val="20"/>
                <w:color w:val="auto"/>
              </w:rPr>
            </w:pPr>
            <w:r>
              <w:rPr>
                <w:rFonts w:ascii="Arial" w:cs="Arial" w:eastAsia="Arial" w:hAnsi="Arial"/>
                <w:sz w:val="18"/>
                <w:szCs w:val="18"/>
                <w:color w:val="auto"/>
              </w:rPr>
              <w:t>15.89</w:t>
            </w:r>
          </w:p>
        </w:tc>
        <w:tc>
          <w:tcPr>
            <w:tcW w:w="1300" w:type="dxa"/>
            <w:vAlign w:val="bottom"/>
            <w:tcBorders>
              <w:top w:val="single" w:sz="8" w:color="CFF0FC"/>
            </w:tcBorders>
            <w:gridSpan w:val="2"/>
          </w:tcPr>
          <w:p>
            <w:pPr>
              <w:jc w:val="right"/>
              <w:spacing w:after="0" w:line="196" w:lineRule="exact"/>
              <w:rPr>
                <w:sz w:val="20"/>
                <w:szCs w:val="20"/>
                <w:color w:val="auto"/>
              </w:rPr>
            </w:pPr>
            <w:r>
              <w:rPr>
                <w:rFonts w:ascii="Arial" w:cs="Arial" w:eastAsia="Arial" w:hAnsi="Arial"/>
                <w:sz w:val="18"/>
                <w:szCs w:val="18"/>
                <w:color w:val="auto"/>
              </w:rPr>
              <w:t>9.2</w:t>
            </w:r>
          </w:p>
        </w:tc>
        <w:tc>
          <w:tcPr>
            <w:tcW w:w="320" w:type="dxa"/>
            <w:vAlign w:val="bottom"/>
            <w:tcBorders>
              <w:top w:val="single" w:sz="8" w:color="CFF0FC"/>
            </w:tcBorders>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CFF0FC"/>
            </w:tcBorders>
          </w:tcPr>
          <w:p>
            <w:pPr>
              <w:jc w:val="right"/>
              <w:spacing w:after="0" w:line="196" w:lineRule="exact"/>
              <w:rPr>
                <w:sz w:val="20"/>
                <w:szCs w:val="20"/>
                <w:color w:val="auto"/>
              </w:rPr>
            </w:pPr>
            <w:r>
              <w:rPr>
                <w:rFonts w:ascii="Arial" w:cs="Arial" w:eastAsia="Arial" w:hAnsi="Arial"/>
                <w:sz w:val="18"/>
                <w:szCs w:val="18"/>
                <w:color w:val="auto"/>
              </w:rPr>
              <w:t>18,367</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Exercisable at June 30, 2022</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1,448,186</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15.91</w:t>
            </w:r>
          </w:p>
        </w:tc>
        <w:tc>
          <w:tcPr>
            <w:tcW w:w="1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9.0</w:t>
            </w:r>
          </w:p>
        </w:tc>
        <w:tc>
          <w:tcPr>
            <w:tcW w:w="3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2,985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-270510</wp:posOffset>
            </wp:positionV>
            <wp:extent cx="5143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384" w:lineRule="exact"/>
        <w:rPr>
          <w:sz w:val="20"/>
          <w:szCs w:val="20"/>
          <w:color w:val="auto"/>
        </w:rPr>
      </w:pPr>
    </w:p>
    <w:p>
      <w:pPr>
        <w:ind w:left="520" w:right="20" w:firstLine="509"/>
        <w:spacing w:after="0" w:line="261" w:lineRule="auto"/>
        <w:rPr>
          <w:sz w:val="20"/>
          <w:szCs w:val="20"/>
          <w:color w:val="auto"/>
        </w:rPr>
      </w:pPr>
      <w:r>
        <w:rPr>
          <w:rFonts w:ascii="Arial" w:cs="Arial" w:eastAsia="Arial" w:hAnsi="Arial"/>
          <w:sz w:val="18"/>
          <w:szCs w:val="18"/>
          <w:color w:val="auto"/>
        </w:rPr>
        <w:t>Aggregate intrinsic value represents the difference between the estimated fair value of the underlying common stock and the exercise price of outstanding, in-the-money options.</w:t>
      </w:r>
    </w:p>
    <w:p>
      <w:pPr>
        <w:spacing w:after="0" w:line="265" w:lineRule="exact"/>
        <w:rPr>
          <w:sz w:val="20"/>
          <w:szCs w:val="20"/>
          <w:color w:val="auto"/>
        </w:rPr>
      </w:pPr>
    </w:p>
    <w:p>
      <w:pPr>
        <w:ind w:left="520" w:right="40" w:firstLine="509"/>
        <w:spacing w:after="0" w:line="261" w:lineRule="auto"/>
        <w:rPr>
          <w:sz w:val="20"/>
          <w:szCs w:val="20"/>
          <w:color w:val="auto"/>
        </w:rPr>
      </w:pPr>
      <w:r>
        <w:rPr>
          <w:rFonts w:ascii="Arial" w:cs="Arial" w:eastAsia="Arial" w:hAnsi="Arial"/>
          <w:sz w:val="18"/>
          <w:szCs w:val="18"/>
          <w:color w:val="auto"/>
        </w:rPr>
        <w:t>The total fair value of options that vested during the six months ended June 30, 2022 was $10.1 million. The weighted-average grant date fair value of options granted during the six months ended June 30, 2022 was $8.36 per share.</w:t>
      </w:r>
    </w:p>
    <w:p>
      <w:pPr>
        <w:spacing w:after="0" w:line="63" w:lineRule="exact"/>
        <w:rPr>
          <w:sz w:val="20"/>
          <w:szCs w:val="20"/>
          <w:color w:val="auto"/>
        </w:rPr>
      </w:pPr>
    </w:p>
    <w:p>
      <w:pPr>
        <w:ind w:left="520" w:right="200" w:firstLine="509"/>
        <w:spacing w:after="0" w:line="261" w:lineRule="auto"/>
        <w:rPr>
          <w:sz w:val="20"/>
          <w:szCs w:val="20"/>
          <w:color w:val="auto"/>
        </w:rPr>
      </w:pPr>
      <w:r>
        <w:rPr>
          <w:rFonts w:ascii="Arial" w:cs="Arial" w:eastAsia="Arial" w:hAnsi="Arial"/>
          <w:sz w:val="18"/>
          <w:szCs w:val="18"/>
          <w:color w:val="auto"/>
        </w:rPr>
        <w:t>Unamortized stock-based compensation for stock options as of June 30, 2022 was $53.1 million, which is expected to be recognized over a weighted-average period of 3.1 years.</w:t>
      </w:r>
    </w:p>
    <w:p>
      <w:pPr>
        <w:spacing w:after="0" w:line="26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following table provides a summary of restricted stock units activity under the 2021 Plan during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18"/>
              <w:spacing w:after="0"/>
              <w:rPr>
                <w:sz w:val="20"/>
                <w:szCs w:val="20"/>
                <w:color w:val="auto"/>
              </w:rPr>
            </w:pPr>
            <w:r>
              <w:rPr>
                <w:rFonts w:ascii="Arial" w:cs="Arial" w:eastAsia="Arial" w:hAnsi="Arial"/>
                <w:sz w:val="14"/>
                <w:szCs w:val="14"/>
                <w:b w:val="1"/>
                <w:bCs w:val="1"/>
                <w:color w:val="auto"/>
                <w:w w:val="91"/>
              </w:rPr>
              <w:t>Weighted Average</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220" w:type="dxa"/>
            <w:vAlign w:val="bottom"/>
          </w:tcPr>
          <w:p>
            <w:pPr>
              <w:jc w:val="right"/>
              <w:ind w:right="98"/>
              <w:spacing w:after="0" w:line="149" w:lineRule="exact"/>
              <w:rPr>
                <w:sz w:val="20"/>
                <w:szCs w:val="20"/>
                <w:color w:val="auto"/>
              </w:rPr>
            </w:pPr>
            <w:r>
              <w:rPr>
                <w:rFonts w:ascii="Arial" w:cs="Arial" w:eastAsia="Arial" w:hAnsi="Arial"/>
                <w:sz w:val="14"/>
                <w:szCs w:val="14"/>
                <w:b w:val="1"/>
                <w:bCs w:val="1"/>
                <w:color w:val="auto"/>
              </w:rPr>
              <w:t>Grant Date Fair</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22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Per Share</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5"/>
              </w:rPr>
              <w:t>Unvested restricted stock units at December 31, 2021</w:t>
            </w:r>
          </w:p>
        </w:tc>
        <w:tc>
          <w:tcPr>
            <w:tcW w:w="198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96,890</w:t>
            </w: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22.93</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1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3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368,145</w:t>
            </w:r>
          </w:p>
        </w:tc>
        <w:tc>
          <w:tcPr>
            <w:tcW w:w="2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13.69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Vested</w:t>
            </w:r>
          </w:p>
        </w:tc>
        <w:tc>
          <w:tcPr>
            <w:tcW w:w="3460" w:type="dxa"/>
            <w:vAlign w:val="bottom"/>
            <w:gridSpan w:val="3"/>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(28,175 )</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14.26</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120" w:type="dxa"/>
            <w:vAlign w:val="bottom"/>
          </w:tcPr>
          <w:p>
            <w:pPr>
              <w:spacing w:after="0" w:line="202" w:lineRule="exact"/>
              <w:rPr>
                <w:sz w:val="20"/>
                <w:szCs w:val="20"/>
                <w:color w:val="auto"/>
              </w:rPr>
            </w:pPr>
            <w:r>
              <w:rPr>
                <w:rFonts w:ascii="Arial" w:cs="Arial" w:eastAsia="Arial" w:hAnsi="Arial"/>
                <w:sz w:val="18"/>
                <w:szCs w:val="18"/>
                <w:color w:val="auto"/>
              </w:rPr>
              <w:t>Forfeiture</w:t>
            </w:r>
          </w:p>
        </w:tc>
        <w:tc>
          <w:tcPr>
            <w:tcW w:w="34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(6,010 )</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1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Unvested restricted stock units at June 30, 2022</w:t>
            </w:r>
          </w:p>
        </w:tc>
        <w:tc>
          <w:tcPr>
            <w:tcW w:w="198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430,850</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15.64</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11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980" w:type="dxa"/>
            <w:vAlign w:val="bottom"/>
          </w:tcPr>
          <w:p>
            <w:pPr>
              <w:jc w:val="right"/>
              <w:ind w:right="1430"/>
              <w:spacing w:after="0"/>
              <w:rPr>
                <w:sz w:val="20"/>
                <w:szCs w:val="20"/>
                <w:color w:val="auto"/>
              </w:rPr>
            </w:pPr>
            <w:r>
              <w:rPr>
                <w:rFonts w:ascii="Arial" w:cs="Arial" w:eastAsia="Arial" w:hAnsi="Arial"/>
                <w:sz w:val="18"/>
                <w:szCs w:val="18"/>
                <w:color w:val="auto"/>
              </w:rPr>
              <w:t>20</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412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-359410</wp:posOffset>
            </wp:positionV>
            <wp:extent cx="603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-342265</wp:posOffset>
            </wp:positionV>
            <wp:extent cx="603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0" w:lineRule="exact"/>
        <w:rPr>
          <w:sz w:val="20"/>
          <w:szCs w:val="20"/>
          <w:color w:val="auto"/>
        </w:rPr>
      </w:pPr>
    </w:p>
    <w:p>
      <w:pPr>
        <w:spacing w:after="0" w:line="218" w:lineRule="exact"/>
        <w:rPr>
          <w:sz w:val="20"/>
          <w:szCs w:val="20"/>
          <w:color w:val="auto"/>
        </w:rPr>
      </w:pPr>
    </w:p>
    <w:p>
      <w:pPr>
        <w:ind w:left="520" w:right="360" w:firstLine="509"/>
        <w:spacing w:after="0" w:line="324" w:lineRule="auto"/>
        <w:rPr>
          <w:sz w:val="20"/>
          <w:szCs w:val="20"/>
          <w:color w:val="auto"/>
        </w:rPr>
      </w:pPr>
      <w:r>
        <w:rPr>
          <w:rFonts w:ascii="Arial" w:cs="Arial" w:eastAsia="Arial" w:hAnsi="Arial"/>
          <w:sz w:val="16"/>
          <w:szCs w:val="16"/>
          <w:color w:val="auto"/>
        </w:rPr>
        <w:t>Restricted stock units vest quarterly over four years with a one-year cliff from the grant date. Unamortized stock-based compensation for restricted stock units as of June 30, 2022 was $6.1 million, which is expected to be recognized over a weighted-average period of 3.5 years.</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04" w:lineRule="exact"/>
        <w:rPr>
          <w:sz w:val="20"/>
          <w:szCs w:val="20"/>
          <w:color w:val="auto"/>
        </w:rPr>
      </w:pPr>
    </w:p>
    <w:p>
      <w:pPr>
        <w:ind w:left="520" w:right="60" w:firstLine="509"/>
        <w:spacing w:after="0" w:line="254" w:lineRule="auto"/>
        <w:rPr>
          <w:sz w:val="20"/>
          <w:szCs w:val="20"/>
          <w:color w:val="auto"/>
        </w:rPr>
      </w:pPr>
      <w:r>
        <w:rPr>
          <w:rFonts w:ascii="Arial" w:cs="Arial" w:eastAsia="Arial" w:hAnsi="Arial"/>
          <w:sz w:val="17"/>
          <w:szCs w:val="17"/>
          <w:color w:val="auto"/>
        </w:rPr>
        <w:t>In May 2021, the board of directors adopted, and the stockholders approved the 2021 Employee Stock Purchase Plan, or the ESPP, which became effective on May 26, 2021. A total of 603,000 shares of common stock were initially reserved for issuance under the ESPP. The number of shares of the common stock reserved for issuance under the ESPP will automatically increase on the first day of each fiscal year, beginning with the fiscal year commencing on January 1, 2021 and continuing for each fiscal year until, and including, the fiscal year commencing on January 1, 2031, by the lesser of: (a) 1% of the total number of outstanding shares of common stock of the Company (on an as converted basis outstanding on the immediately preceding December 31 (rounded down to the nearest whole share) and (b) an amount determined by the board of directors. 72,524 shares have been issued under the ESPP as of June 30, 2022. The Company recognized $0.3 million compensation expense related to the ESPP plan for the three and six months ending June 30, 2022.</w:t>
      </w:r>
    </w:p>
    <w:p>
      <w:pPr>
        <w:spacing w:after="0" w:line="73" w:lineRule="exact"/>
        <w:rPr>
          <w:sz w:val="20"/>
          <w:szCs w:val="20"/>
          <w:color w:val="auto"/>
        </w:rPr>
      </w:pPr>
    </w:p>
    <w:p>
      <w:pPr>
        <w:ind w:left="520" w:firstLine="554"/>
        <w:spacing w:after="0" w:line="261" w:lineRule="auto"/>
        <w:rPr>
          <w:sz w:val="20"/>
          <w:szCs w:val="20"/>
          <w:color w:val="auto"/>
        </w:rPr>
      </w:pPr>
      <w:r>
        <w:rPr>
          <w:rFonts w:ascii="Arial" w:cs="Arial" w:eastAsia="Arial" w:hAnsi="Arial"/>
          <w:sz w:val="18"/>
          <w:szCs w:val="18"/>
          <w:color w:val="auto"/>
        </w:rPr>
        <w:t>The fair value of our common stock to be issued under the ESPP is estimated at the date of grant using a Black-Scholes option-pricing model with the following assumptions: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180" w:type="dxa"/>
            <w:vAlign w:val="bottom"/>
            <w:gridSpan w:val="3"/>
          </w:tcPr>
          <w:p>
            <w:pPr>
              <w:jc w:val="center"/>
              <w:ind w:left="798"/>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3"/>
          </w:tcPr>
          <w:p>
            <w:pPr>
              <w:jc w:val="center"/>
              <w:ind w:left="799"/>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00" w:type="dxa"/>
            <w:vAlign w:val="bottom"/>
          </w:tcPr>
          <w:p>
            <w:pPr>
              <w:spacing w:after="0"/>
              <w:rPr>
                <w:sz w:val="16"/>
                <w:szCs w:val="16"/>
                <w:color w:val="auto"/>
              </w:rPr>
            </w:pPr>
          </w:p>
        </w:tc>
        <w:tc>
          <w:tcPr>
            <w:tcW w:w="2180" w:type="dxa"/>
            <w:vAlign w:val="bottom"/>
            <w:gridSpan w:val="3"/>
          </w:tcPr>
          <w:p>
            <w:pPr>
              <w:jc w:val="center"/>
              <w:ind w:left="798"/>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3"/>
          </w:tcPr>
          <w:p>
            <w:pPr>
              <w:jc w:val="center"/>
              <w:ind w:left="799"/>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00" w:type="dxa"/>
            <w:vAlign w:val="bottom"/>
            <w:vMerge w:val="restart"/>
          </w:tcPr>
          <w:p>
            <w:pPr>
              <w:ind w:left="20"/>
              <w:spacing w:after="0"/>
              <w:rPr>
                <w:sz w:val="20"/>
                <w:szCs w:val="20"/>
                <w:color w:val="auto"/>
              </w:rPr>
            </w:pPr>
            <w:r>
              <w:rPr>
                <w:rFonts w:ascii="Arial" w:cs="Arial" w:eastAsia="Arial" w:hAnsi="Arial"/>
                <w:sz w:val="18"/>
                <w:szCs w:val="18"/>
                <w:color w:val="auto"/>
              </w:rPr>
              <w:t>Expected term (in years)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b w:val="1"/>
                <w:bCs w:val="1"/>
                <w:color w:val="auto"/>
                <w:w w:val="89"/>
              </w:rPr>
              <w:t>2021</w:t>
            </w:r>
          </w:p>
        </w:tc>
        <w:tc>
          <w:tcPr>
            <w:tcW w:w="380" w:type="dxa"/>
            <w:vAlign w:val="bottom"/>
          </w:tcPr>
          <w:p>
            <w:pPr>
              <w:spacing w:after="0"/>
              <w:rPr>
                <w:sz w:val="19"/>
                <w:szCs w:val="19"/>
                <w:color w:val="auto"/>
              </w:rPr>
            </w:pPr>
          </w:p>
        </w:tc>
        <w:tc>
          <w:tcPr>
            <w:tcW w:w="1700" w:type="dxa"/>
            <w:vAlign w:val="bottom"/>
            <w:gridSpan w:val="2"/>
          </w:tcPr>
          <w:p>
            <w:pPr>
              <w:jc w:val="center"/>
              <w:ind w:left="196"/>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ind w:left="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800" w:type="dxa"/>
            <w:vAlign w:val="bottom"/>
            <w:vMerge w:val="continue"/>
          </w:tcPr>
          <w:p>
            <w:pPr>
              <w:spacing w:after="0"/>
              <w:rPr>
                <w:sz w:val="17"/>
                <w:szCs w:val="17"/>
                <w:color w:val="auto"/>
              </w:rPr>
            </w:pPr>
          </w:p>
        </w:tc>
        <w:tc>
          <w:tcPr>
            <w:tcW w:w="144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0.50</w:t>
            </w:r>
          </w:p>
        </w:tc>
        <w:tc>
          <w:tcPr>
            <w:tcW w:w="1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ind w:left="200"/>
              <w:spacing w:after="0" w:line="196" w:lineRule="exact"/>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7"/>
                <w:szCs w:val="17"/>
                <w:color w:val="auto"/>
              </w:rPr>
            </w:pPr>
          </w:p>
        </w:tc>
        <w:tc>
          <w:tcPr>
            <w:tcW w:w="142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85"/>
              </w:rPr>
              <w:t>0.50</w:t>
            </w:r>
          </w:p>
        </w:tc>
        <w:tc>
          <w:tcPr>
            <w:tcW w:w="1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ind w:left="70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4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1"/>
              </w:rPr>
              <w:t>58.49%</w:t>
            </w: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w w:val="88"/>
              </w:rPr>
              <w:t>—</w:t>
            </w:r>
          </w:p>
        </w:tc>
        <w:tc>
          <w:tcPr>
            <w:tcW w:w="1700" w:type="dxa"/>
            <w:vAlign w:val="bottom"/>
            <w:gridSpan w:val="2"/>
            <w:shd w:val="clear" w:color="auto" w:fill="CFF0FC"/>
          </w:tcPr>
          <w:p>
            <w:pPr>
              <w:jc w:val="center"/>
              <w:ind w:left="196"/>
              <w:spacing w:after="0" w:line="202" w:lineRule="exact"/>
              <w:rPr>
                <w:sz w:val="20"/>
                <w:szCs w:val="20"/>
                <w:color w:val="auto"/>
              </w:rPr>
            </w:pPr>
            <w:r>
              <w:rPr>
                <w:rFonts w:ascii="Arial" w:cs="Arial" w:eastAsia="Arial" w:hAnsi="Arial"/>
                <w:sz w:val="18"/>
                <w:szCs w:val="18"/>
                <w:color w:val="auto"/>
                <w:w w:val="88"/>
              </w:rPr>
              <w:t>58.49%</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00" w:type="dxa"/>
            <w:vAlign w:val="bottom"/>
            <w:shd w:val="clear" w:color="auto" w:fill="CFF0FC"/>
          </w:tcPr>
          <w:p>
            <w:pPr>
              <w:ind w:left="70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0"/>
              </w:rPr>
              <w:t>1.54%</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ind w:left="200"/>
              <w:spacing w:after="0" w:line="202" w:lineRule="exact"/>
              <w:rPr>
                <w:sz w:val="20"/>
                <w:szCs w:val="20"/>
                <w:color w:val="auto"/>
              </w:rPr>
            </w:pPr>
            <w:r>
              <w:rPr>
                <w:rFonts w:ascii="Arial" w:cs="Arial" w:eastAsia="Arial" w:hAnsi="Arial"/>
                <w:sz w:val="18"/>
                <w:szCs w:val="18"/>
                <w:color w:val="auto"/>
                <w:w w:val="88"/>
              </w:rPr>
              <w:t>—</w:t>
            </w:r>
          </w:p>
        </w:tc>
        <w:tc>
          <w:tcPr>
            <w:tcW w:w="1700" w:type="dxa"/>
            <w:vAlign w:val="bottom"/>
            <w:gridSpan w:val="2"/>
          </w:tcPr>
          <w:p>
            <w:pPr>
              <w:jc w:val="center"/>
              <w:ind w:left="196"/>
              <w:spacing w:after="0" w:line="202" w:lineRule="exact"/>
              <w:rPr>
                <w:sz w:val="20"/>
                <w:szCs w:val="20"/>
                <w:color w:val="auto"/>
              </w:rPr>
            </w:pPr>
            <w:r>
              <w:rPr>
                <w:rFonts w:ascii="Arial" w:cs="Arial" w:eastAsia="Arial" w:hAnsi="Arial"/>
                <w:sz w:val="18"/>
                <w:szCs w:val="18"/>
                <w:color w:val="auto"/>
                <w:w w:val="90"/>
              </w:rPr>
              <w:t>1.54%</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ind w:left="70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dividend yield</w:t>
            </w:r>
          </w:p>
        </w:tc>
        <w:tc>
          <w:tcPr>
            <w:tcW w:w="2180" w:type="dxa"/>
            <w:vAlign w:val="bottom"/>
            <w:gridSpan w:val="3"/>
            <w:shd w:val="clear" w:color="auto" w:fill="CFF0FC"/>
          </w:tcPr>
          <w:p>
            <w:pPr>
              <w:jc w:val="center"/>
              <w:ind w:right="72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spacing w:after="0"/>
              <w:rPr>
                <w:sz w:val="17"/>
                <w:szCs w:val="17"/>
                <w:color w:val="auto"/>
              </w:rPr>
            </w:pPr>
          </w:p>
        </w:tc>
        <w:tc>
          <w:tcPr>
            <w:tcW w:w="3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7"/>
                <w:szCs w:val="17"/>
                <w:color w:val="auto"/>
              </w:rPr>
            </w:pPr>
          </w:p>
        </w:tc>
        <w:tc>
          <w:tcPr>
            <w:tcW w:w="2100" w:type="dxa"/>
            <w:vAlign w:val="bottom"/>
            <w:gridSpan w:val="3"/>
            <w:shd w:val="clear" w:color="auto" w:fill="CFF0FC"/>
          </w:tcPr>
          <w:p>
            <w:pPr>
              <w:jc w:val="center"/>
              <w:ind w:right="68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ind w:left="70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Share/Stock-based compensation</w:t>
      </w:r>
    </w:p>
    <w:p>
      <w:pPr>
        <w:spacing w:after="0" w:line="104" w:lineRule="exact"/>
        <w:rPr>
          <w:sz w:val="20"/>
          <w:szCs w:val="20"/>
          <w:color w:val="auto"/>
        </w:rPr>
      </w:pPr>
    </w:p>
    <w:p>
      <w:pPr>
        <w:ind w:left="520" w:right="380" w:firstLine="509"/>
        <w:spacing w:after="0" w:line="261" w:lineRule="auto"/>
        <w:rPr>
          <w:sz w:val="20"/>
          <w:szCs w:val="20"/>
          <w:color w:val="auto"/>
        </w:rPr>
      </w:pPr>
      <w:r>
        <w:rPr>
          <w:rFonts w:ascii="Arial" w:cs="Arial" w:eastAsia="Arial" w:hAnsi="Arial"/>
          <w:sz w:val="18"/>
          <w:szCs w:val="18"/>
          <w:color w:val="auto"/>
        </w:rPr>
        <w:t>The Company used the Black-Scholes option pricing model to estimate the fair value of stock options awards granted with the following assumptions: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00" w:type="dxa"/>
            <w:vAlign w:val="bottom"/>
            <w:gridSpan w:val="3"/>
          </w:tcPr>
          <w:p>
            <w:pPr>
              <w:jc w:val="center"/>
              <w:ind w:left="36"/>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gridSpan w:val="3"/>
          </w:tcPr>
          <w:p>
            <w:pPr>
              <w:jc w:val="center"/>
              <w:ind w:left="37"/>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4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00" w:type="dxa"/>
            <w:vAlign w:val="bottom"/>
            <w:gridSpan w:val="3"/>
          </w:tcPr>
          <w:p>
            <w:pPr>
              <w:jc w:val="center"/>
              <w:ind w:left="36"/>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60" w:type="dxa"/>
            <w:vAlign w:val="bottom"/>
            <w:gridSpan w:val="3"/>
          </w:tcPr>
          <w:p>
            <w:pPr>
              <w:jc w:val="center"/>
              <w:ind w:left="37"/>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4420" w:type="dxa"/>
            <w:vAlign w:val="bottom"/>
          </w:tcPr>
          <w:p>
            <w:pPr>
              <w:spacing w:after="0"/>
              <w:rPr>
                <w:sz w:val="19"/>
                <w:szCs w:val="19"/>
                <w:color w:val="auto"/>
              </w:rPr>
            </w:pPr>
          </w:p>
        </w:tc>
        <w:tc>
          <w:tcPr>
            <w:tcW w:w="1580" w:type="dxa"/>
            <w:vAlign w:val="bottom"/>
            <w:gridSpan w:val="2"/>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720" w:type="dxa"/>
            <w:vAlign w:val="bottom"/>
            <w:gridSpan w:val="3"/>
          </w:tcPr>
          <w:p>
            <w:pPr>
              <w:jc w:val="right"/>
              <w:ind w:right="570"/>
              <w:spacing w:after="0"/>
              <w:rPr>
                <w:sz w:val="20"/>
                <w:szCs w:val="20"/>
                <w:color w:val="auto"/>
              </w:rPr>
            </w:pPr>
            <w:r>
              <w:rPr>
                <w:rFonts w:ascii="Arial" w:cs="Arial" w:eastAsia="Arial" w:hAnsi="Arial"/>
                <w:sz w:val="14"/>
                <w:szCs w:val="14"/>
                <w:b w:val="1"/>
                <w:bCs w:val="1"/>
                <w:color w:val="auto"/>
              </w:rPr>
              <w:t>2021</w:t>
            </w:r>
          </w:p>
        </w:tc>
        <w:tc>
          <w:tcPr>
            <w:tcW w:w="1740" w:type="dxa"/>
            <w:vAlign w:val="bottom"/>
            <w:gridSpan w:val="3"/>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680" w:type="dxa"/>
            <w:vAlign w:val="bottom"/>
            <w:gridSpan w:val="3"/>
          </w:tcPr>
          <w:p>
            <w:pPr>
              <w:jc w:val="right"/>
              <w:ind w:right="55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r>
      <w:tr>
        <w:trPr>
          <w:trHeight w:val="196"/>
        </w:trPr>
        <w:tc>
          <w:tcPr>
            <w:tcW w:w="4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Expected term (in years)</w:t>
            </w: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5.27</w:t>
            </w:r>
          </w:p>
        </w:tc>
        <w:tc>
          <w:tcPr>
            <w:tcW w:w="84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- 6.33</w:t>
            </w:r>
          </w:p>
        </w:tc>
        <w:tc>
          <w:tcPr>
            <w:tcW w:w="12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5.28</w:t>
            </w:r>
          </w:p>
        </w:tc>
        <w:tc>
          <w:tcPr>
            <w:tcW w:w="860" w:type="dxa"/>
            <w:vAlign w:val="bottom"/>
            <w:tcBorders>
              <w:top w:val="single" w:sz="8" w:color="auto"/>
            </w:tcBorders>
            <w:shd w:val="clear" w:color="auto" w:fill="CFF0FC"/>
          </w:tcPr>
          <w:p>
            <w:pPr>
              <w:ind w:left="40"/>
              <w:spacing w:after="0" w:line="196" w:lineRule="exact"/>
              <w:rPr>
                <w:sz w:val="20"/>
                <w:szCs w:val="20"/>
                <w:color w:val="auto"/>
              </w:rPr>
            </w:pPr>
            <w:r>
              <w:rPr>
                <w:rFonts w:ascii="Arial" w:cs="Arial" w:eastAsia="Arial" w:hAnsi="Arial"/>
                <w:sz w:val="18"/>
                <w:szCs w:val="18"/>
                <w:color w:val="auto"/>
              </w:rPr>
              <w:t>- 5.90</w:t>
            </w:r>
          </w:p>
        </w:tc>
        <w:tc>
          <w:tcPr>
            <w:tcW w:w="22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5.27</w:t>
            </w:r>
          </w:p>
        </w:tc>
        <w:tc>
          <w:tcPr>
            <w:tcW w:w="8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- 6.33</w:t>
            </w:r>
          </w:p>
        </w:tc>
        <w:tc>
          <w:tcPr>
            <w:tcW w:w="10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5.28</w:t>
            </w:r>
          </w:p>
        </w:tc>
        <w:tc>
          <w:tcPr>
            <w:tcW w:w="84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- 5.90</w:t>
            </w:r>
          </w:p>
        </w:tc>
        <w:tc>
          <w:tcPr>
            <w:tcW w:w="100" w:type="dxa"/>
            <w:vAlign w:val="bottom"/>
            <w:shd w:val="clear" w:color="auto" w:fill="CFF0FC"/>
          </w:tcPr>
          <w:p>
            <w:pPr>
              <w:spacing w:after="0"/>
              <w:rPr>
                <w:sz w:val="17"/>
                <w:szCs w:val="17"/>
                <w:color w:val="auto"/>
              </w:rPr>
            </w:pPr>
          </w:p>
        </w:tc>
      </w:tr>
      <w:tr>
        <w:trPr>
          <w:trHeight w:val="203"/>
        </w:trPr>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65.30%</w:t>
            </w:r>
          </w:p>
        </w:tc>
        <w:tc>
          <w:tcPr>
            <w:tcW w:w="840" w:type="dxa"/>
            <w:vAlign w:val="bottom"/>
          </w:tcPr>
          <w:p>
            <w:pPr>
              <w:ind w:left="20"/>
              <w:spacing w:after="0" w:line="202" w:lineRule="exact"/>
              <w:rPr>
                <w:sz w:val="20"/>
                <w:szCs w:val="20"/>
                <w:color w:val="auto"/>
              </w:rPr>
            </w:pPr>
            <w:r>
              <w:rPr>
                <w:rFonts w:ascii="Arial" w:cs="Arial" w:eastAsia="Arial" w:hAnsi="Arial"/>
                <w:sz w:val="18"/>
                <w:szCs w:val="18"/>
                <w:color w:val="auto"/>
              </w:rPr>
              <w:t>- 69.43%</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64.91%</w:t>
            </w:r>
          </w:p>
        </w:tc>
        <w:tc>
          <w:tcPr>
            <w:tcW w:w="860" w:type="dxa"/>
            <w:vAlign w:val="bottom"/>
          </w:tcPr>
          <w:p>
            <w:pPr>
              <w:ind w:left="40"/>
              <w:spacing w:after="0" w:line="202" w:lineRule="exact"/>
              <w:rPr>
                <w:sz w:val="20"/>
                <w:szCs w:val="20"/>
                <w:color w:val="auto"/>
              </w:rPr>
            </w:pPr>
            <w:r>
              <w:rPr>
                <w:rFonts w:ascii="Arial" w:cs="Arial" w:eastAsia="Arial" w:hAnsi="Arial"/>
                <w:sz w:val="18"/>
                <w:szCs w:val="18"/>
                <w:color w:val="auto"/>
              </w:rPr>
              <w:t>- 66.51%</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65.20%</w:t>
            </w:r>
          </w:p>
        </w:tc>
        <w:tc>
          <w:tcPr>
            <w:tcW w:w="820" w:type="dxa"/>
            <w:vAlign w:val="bottom"/>
          </w:tcPr>
          <w:p>
            <w:pPr>
              <w:ind w:left="20"/>
              <w:spacing w:after="0" w:line="202" w:lineRule="exact"/>
              <w:rPr>
                <w:sz w:val="20"/>
                <w:szCs w:val="20"/>
                <w:color w:val="auto"/>
              </w:rPr>
            </w:pPr>
            <w:r>
              <w:rPr>
                <w:rFonts w:ascii="Arial" w:cs="Arial" w:eastAsia="Arial" w:hAnsi="Arial"/>
                <w:sz w:val="18"/>
                <w:szCs w:val="18"/>
                <w:color w:val="auto"/>
              </w:rPr>
              <w:t>- 69.43%</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64.91%</w:t>
            </w:r>
          </w:p>
        </w:tc>
        <w:tc>
          <w:tcPr>
            <w:tcW w:w="840" w:type="dxa"/>
            <w:vAlign w:val="bottom"/>
          </w:tcPr>
          <w:p>
            <w:pPr>
              <w:ind w:left="20"/>
              <w:spacing w:after="0" w:line="202" w:lineRule="exact"/>
              <w:rPr>
                <w:sz w:val="20"/>
                <w:szCs w:val="20"/>
                <w:color w:val="auto"/>
              </w:rPr>
            </w:pPr>
            <w:r>
              <w:rPr>
                <w:rFonts w:ascii="Arial" w:cs="Arial" w:eastAsia="Arial" w:hAnsi="Arial"/>
                <w:sz w:val="18"/>
                <w:szCs w:val="18"/>
                <w:color w:val="auto"/>
              </w:rPr>
              <w:t>- 66.51%</w:t>
            </w:r>
          </w:p>
        </w:tc>
        <w:tc>
          <w:tcPr>
            <w:tcW w:w="100" w:type="dxa"/>
            <w:vAlign w:val="bottom"/>
          </w:tcPr>
          <w:p>
            <w:pPr>
              <w:spacing w:after="0"/>
              <w:rPr>
                <w:sz w:val="17"/>
                <w:szCs w:val="17"/>
                <w:color w:val="auto"/>
              </w:rPr>
            </w:pPr>
          </w:p>
        </w:tc>
      </w:tr>
      <w:tr>
        <w:trPr>
          <w:trHeight w:val="203"/>
        </w:trPr>
        <w:tc>
          <w:tcPr>
            <w:tcW w:w="4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w:t>
            </w:r>
          </w:p>
        </w:tc>
        <w:tc>
          <w:tcPr>
            <w:tcW w:w="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- 3.38%</w:t>
            </w: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0.86%</w:t>
            </w:r>
          </w:p>
        </w:tc>
        <w:tc>
          <w:tcPr>
            <w:tcW w:w="86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- 1.00%</w:t>
            </w:r>
          </w:p>
        </w:tc>
        <w:tc>
          <w:tcPr>
            <w:tcW w:w="9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1.47%</w:t>
            </w:r>
          </w:p>
        </w:tc>
        <w:tc>
          <w:tcPr>
            <w:tcW w:w="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- 3.38%</w:t>
            </w:r>
          </w:p>
        </w:tc>
        <w:tc>
          <w:tcPr>
            <w:tcW w:w="8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0.86%</w:t>
            </w:r>
          </w:p>
        </w:tc>
        <w:tc>
          <w:tcPr>
            <w:tcW w:w="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- 1.00%</w:t>
            </w:r>
          </w:p>
        </w:tc>
        <w:tc>
          <w:tcPr>
            <w:tcW w:w="100" w:type="dxa"/>
            <w:vAlign w:val="bottom"/>
            <w:shd w:val="clear" w:color="auto" w:fill="CFF0FC"/>
          </w:tcPr>
          <w:p>
            <w:pPr>
              <w:spacing w:after="0"/>
              <w:rPr>
                <w:sz w:val="17"/>
                <w:szCs w:val="17"/>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391"/>
        </w:trPr>
        <w:tc>
          <w:tcPr>
            <w:tcW w:w="4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jc w:val="right"/>
              <w:ind w:right="196"/>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4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04" w:lineRule="exact"/>
        <w:rPr>
          <w:sz w:val="20"/>
          <w:szCs w:val="20"/>
          <w:color w:val="auto"/>
        </w:rPr>
      </w:pPr>
    </w:p>
    <w:p>
      <w:pPr>
        <w:ind w:left="520" w:right="20" w:firstLine="509"/>
        <w:spacing w:after="0" w:line="272" w:lineRule="auto"/>
        <w:rPr>
          <w:sz w:val="20"/>
          <w:szCs w:val="20"/>
          <w:color w:val="auto"/>
        </w:rPr>
      </w:pPr>
      <w:r>
        <w:rPr>
          <w:rFonts w:ascii="Arial" w:cs="Arial" w:eastAsia="Arial" w:hAnsi="Arial"/>
          <w:sz w:val="16"/>
          <w:szCs w:val="16"/>
          <w:color w:val="auto"/>
        </w:rPr>
        <w:t>In June 2022, the Company granted performance awards consisting of performance stock options, or PSOs, and performance stock units, or PSUs, pursuant to the 2021 Equity Incentive Plan. Each performance award is earned through the achievement of a performance-based metric over a defined performance period determined by the compensation committee of the Company's board of directors. The estimated fair value of the equity awards that contain performance conditions is expensed over the term of the award once the Company has determined that it is probable that the performance conditions will be satisfied. During the three and six months ended June 30, 2022, the Company granted 152,550 PSOs with a weighted-average grant date fair value of $7.89 per share and 99,250 PSUs with a weighted-average grant date fair value of $15.25 per share. The total fair values of PSOs and PSUs granted were $1.2 million and $1.5 million, respectively. As of June 30, 2022, no PSOs or PSUs had vested since the achievement of the performance-based metrics of the performance awards was not deemed probable.</w:t>
      </w:r>
    </w:p>
    <w:p>
      <w:pPr>
        <w:spacing w:after="0" w:line="60" w:lineRule="exact"/>
        <w:rPr>
          <w:sz w:val="20"/>
          <w:szCs w:val="20"/>
          <w:color w:val="auto"/>
        </w:rPr>
      </w:pPr>
    </w:p>
    <w:p>
      <w:pPr>
        <w:ind w:left="520" w:right="740" w:firstLine="509"/>
        <w:spacing w:after="0" w:line="261" w:lineRule="auto"/>
        <w:rPr>
          <w:sz w:val="20"/>
          <w:szCs w:val="20"/>
          <w:color w:val="auto"/>
        </w:rPr>
      </w:pPr>
      <w:r>
        <w:rPr>
          <w:rFonts w:ascii="Arial" w:cs="Arial" w:eastAsia="Arial" w:hAnsi="Arial"/>
          <w:sz w:val="18"/>
          <w:szCs w:val="18"/>
          <w:color w:val="auto"/>
        </w:rPr>
        <w:t>The Company used the Black-Scholes option pricing model to estimate the fair value of the PSO awards granted with the following assumptions: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20" w:type="dxa"/>
            <w:vAlign w:val="bottom"/>
            <w:gridSpan w:val="3"/>
          </w:tcPr>
          <w:p>
            <w:pPr>
              <w:jc w:val="center"/>
              <w:ind w:left="79"/>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gridSpan w:val="3"/>
          </w:tcPr>
          <w:p>
            <w:pPr>
              <w:jc w:val="center"/>
              <w:ind w:left="179"/>
              <w:spacing w:after="0"/>
              <w:rPr>
                <w:sz w:val="20"/>
                <w:szCs w:val="20"/>
                <w:color w:val="auto"/>
              </w:rPr>
            </w:pPr>
            <w:r>
              <w:rPr>
                <w:rFonts w:ascii="Arial" w:cs="Arial" w:eastAsia="Arial" w:hAnsi="Arial"/>
                <w:sz w:val="14"/>
                <w:szCs w:val="14"/>
                <w:b w:val="1"/>
                <w:bCs w:val="1"/>
                <w:color w:val="auto"/>
                <w:w w:val="93"/>
              </w:rPr>
              <w:t>Six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4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20" w:type="dxa"/>
            <w:vAlign w:val="bottom"/>
            <w:gridSpan w:val="3"/>
          </w:tcPr>
          <w:p>
            <w:pPr>
              <w:jc w:val="center"/>
              <w:ind w:left="79"/>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60" w:type="dxa"/>
            <w:vAlign w:val="bottom"/>
            <w:gridSpan w:val="3"/>
          </w:tcPr>
          <w:p>
            <w:pPr>
              <w:jc w:val="center"/>
              <w:ind w:left="159"/>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4380" w:type="dxa"/>
            <w:vAlign w:val="bottom"/>
          </w:tcPr>
          <w:p>
            <w:pPr>
              <w:spacing w:after="0"/>
              <w:rPr>
                <w:sz w:val="19"/>
                <w:szCs w:val="19"/>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b w:val="1"/>
                <w:bCs w:val="1"/>
                <w:color w:val="auto"/>
                <w:w w:val="89"/>
              </w:rPr>
              <w:t>2021</w:t>
            </w:r>
          </w:p>
        </w:tc>
        <w:tc>
          <w:tcPr>
            <w:tcW w:w="400" w:type="dxa"/>
            <w:vAlign w:val="bottom"/>
          </w:tcPr>
          <w:p>
            <w:pPr>
              <w:spacing w:after="0"/>
              <w:rPr>
                <w:sz w:val="19"/>
                <w:szCs w:val="19"/>
                <w:color w:val="auto"/>
              </w:rPr>
            </w:pPr>
          </w:p>
        </w:tc>
        <w:tc>
          <w:tcPr>
            <w:tcW w:w="1900" w:type="dxa"/>
            <w:vAlign w:val="bottom"/>
            <w:gridSpan w:val="3"/>
          </w:tcPr>
          <w:p>
            <w:pPr>
              <w:jc w:val="center"/>
              <w:ind w:left="13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r>
      <w:tr>
        <w:trPr>
          <w:trHeight w:val="196"/>
        </w:trPr>
        <w:tc>
          <w:tcPr>
            <w:tcW w:w="43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Expected term (in years)</w:t>
            </w: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2.96</w:t>
            </w:r>
          </w:p>
        </w:tc>
        <w:tc>
          <w:tcPr>
            <w:tcW w:w="8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- 3.71</w:t>
            </w:r>
          </w:p>
        </w:tc>
        <w:tc>
          <w:tcPr>
            <w:tcW w:w="12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ind w:left="20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2.96</w:t>
            </w:r>
          </w:p>
        </w:tc>
        <w:tc>
          <w:tcPr>
            <w:tcW w:w="9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- 3.71</w:t>
            </w:r>
          </w:p>
        </w:tc>
        <w:tc>
          <w:tcPr>
            <w:tcW w:w="100" w:type="dxa"/>
            <w:vAlign w:val="bottom"/>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ind w:left="84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r>
      <w:tr>
        <w:trPr>
          <w:trHeight w:val="203"/>
        </w:trPr>
        <w:tc>
          <w:tcPr>
            <w:tcW w:w="438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72.13%</w:t>
            </w:r>
          </w:p>
        </w:tc>
        <w:tc>
          <w:tcPr>
            <w:tcW w:w="820" w:type="dxa"/>
            <w:vAlign w:val="bottom"/>
          </w:tcPr>
          <w:p>
            <w:pPr>
              <w:ind w:left="20"/>
              <w:spacing w:after="0" w:line="202" w:lineRule="exact"/>
              <w:rPr>
                <w:sz w:val="20"/>
                <w:szCs w:val="20"/>
                <w:color w:val="auto"/>
              </w:rPr>
            </w:pPr>
            <w:r>
              <w:rPr>
                <w:rFonts w:ascii="Arial" w:cs="Arial" w:eastAsia="Arial" w:hAnsi="Arial"/>
                <w:sz w:val="18"/>
                <w:szCs w:val="18"/>
                <w:color w:val="auto"/>
              </w:rPr>
              <w:t>- 72.36%</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72.13%</w:t>
            </w:r>
          </w:p>
        </w:tc>
        <w:tc>
          <w:tcPr>
            <w:tcW w:w="900" w:type="dxa"/>
            <w:vAlign w:val="bottom"/>
          </w:tcPr>
          <w:p>
            <w:pPr>
              <w:ind w:left="20"/>
              <w:spacing w:after="0" w:line="202" w:lineRule="exact"/>
              <w:rPr>
                <w:sz w:val="20"/>
                <w:szCs w:val="20"/>
                <w:color w:val="auto"/>
              </w:rPr>
            </w:pPr>
            <w:r>
              <w:rPr>
                <w:rFonts w:ascii="Arial" w:cs="Arial" w:eastAsia="Arial" w:hAnsi="Arial"/>
                <w:sz w:val="18"/>
                <w:szCs w:val="18"/>
                <w:color w:val="auto"/>
              </w:rPr>
              <w:t>- 72.36%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ind w:left="84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r>
      <w:tr>
        <w:trPr>
          <w:trHeight w:val="203"/>
        </w:trPr>
        <w:tc>
          <w:tcPr>
            <w:tcW w:w="4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56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0"/>
              </w:rPr>
              <w:t>3.37%</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4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w w:val="99"/>
              </w:rPr>
              <w:t>—</w:t>
            </w:r>
          </w:p>
        </w:tc>
        <w:tc>
          <w:tcPr>
            <w:tcW w:w="1900" w:type="dxa"/>
            <w:vAlign w:val="bottom"/>
            <w:gridSpan w:val="3"/>
            <w:shd w:val="clear" w:color="auto" w:fill="CFF0FC"/>
          </w:tcPr>
          <w:p>
            <w:pPr>
              <w:jc w:val="center"/>
              <w:ind w:left="116"/>
              <w:spacing w:after="0" w:line="202" w:lineRule="exact"/>
              <w:rPr>
                <w:sz w:val="20"/>
                <w:szCs w:val="20"/>
                <w:color w:val="auto"/>
              </w:rPr>
            </w:pPr>
            <w:r>
              <w:rPr>
                <w:rFonts w:ascii="Arial" w:cs="Arial" w:eastAsia="Arial" w:hAnsi="Arial"/>
                <w:sz w:val="18"/>
                <w:szCs w:val="18"/>
                <w:color w:val="auto"/>
                <w:w w:val="90"/>
              </w:rPr>
              <w:t>3.37%</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40" w:type="dxa"/>
            <w:vAlign w:val="bottom"/>
            <w:shd w:val="clear" w:color="auto" w:fill="CFF0FC"/>
          </w:tcPr>
          <w:p>
            <w:pPr>
              <w:ind w:left="84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260" w:type="dxa"/>
            <w:vAlign w:val="bottom"/>
            <w:gridSpan w:val="4"/>
          </w:tcPr>
          <w:p>
            <w:pPr>
              <w:jc w:val="center"/>
              <w:ind w:right="680"/>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20"/>
                <w:szCs w:val="20"/>
                <w:color w:val="auto"/>
              </w:rPr>
            </w:pPr>
          </w:p>
        </w:tc>
        <w:tc>
          <w:tcPr>
            <w:tcW w:w="40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2340" w:type="dxa"/>
            <w:vAlign w:val="bottom"/>
            <w:gridSpan w:val="4"/>
          </w:tcPr>
          <w:p>
            <w:pPr>
              <w:jc w:val="center"/>
              <w:ind w:right="68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bl>
    <w:p>
      <w:pPr>
        <w:spacing w:after="0" w:line="160" w:lineRule="exact"/>
        <w:rPr>
          <w:sz w:val="20"/>
          <w:szCs w:val="20"/>
          <w:color w:val="auto"/>
        </w:rPr>
      </w:pPr>
    </w:p>
    <w:p>
      <w:pPr>
        <w:ind w:left="520" w:right="280" w:firstLine="509"/>
        <w:spacing w:after="0" w:line="261" w:lineRule="auto"/>
        <w:rPr>
          <w:sz w:val="20"/>
          <w:szCs w:val="20"/>
          <w:color w:val="auto"/>
        </w:rPr>
      </w:pPr>
      <w:r>
        <w:rPr>
          <w:rFonts w:ascii="Arial" w:cs="Arial" w:eastAsia="Arial" w:hAnsi="Arial"/>
          <w:sz w:val="18"/>
          <w:szCs w:val="18"/>
          <w:color w:val="auto"/>
        </w:rPr>
        <w:t>Share/stock-based compensation expense recorded in the accompanying condensed consolidated statements of operations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16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r>
      <w:tr>
        <w:trPr>
          <w:trHeight w:val="185"/>
        </w:trPr>
        <w:tc>
          <w:tcPr>
            <w:tcW w:w="57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and development expense</w:t>
            </w:r>
          </w:p>
        </w:tc>
        <w:tc>
          <w:tcPr>
            <w:tcW w:w="720" w:type="dxa"/>
            <w:vAlign w:val="bottom"/>
            <w:tcBorders>
              <w:top w:val="single" w:sz="8" w:color="auto"/>
            </w:tcBorders>
            <w:shd w:val="clear" w:color="auto" w:fill="CFF0FC"/>
          </w:tcPr>
          <w:p>
            <w:pPr>
              <w:jc w:val="right"/>
              <w:ind w:right="539"/>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2,075</w:t>
            </w:r>
          </w:p>
        </w:tc>
        <w:tc>
          <w:tcPr>
            <w:tcW w:w="28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713</w:t>
            </w:r>
          </w:p>
        </w:tc>
        <w:tc>
          <w:tcPr>
            <w:tcW w:w="2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4,222</w:t>
            </w: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832</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 expense</w:t>
            </w: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8"/>
              </w:rPr>
              <w:t>3,556</w:t>
            </w:r>
          </w:p>
        </w:tc>
        <w:tc>
          <w:tcPr>
            <w:tcW w:w="2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8"/>
              </w:rPr>
              <w:t>1,824</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7,611</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2,243</w:t>
            </w:r>
          </w:p>
        </w:tc>
        <w:tc>
          <w:tcPr>
            <w:tcW w:w="100" w:type="dxa"/>
            <w:vAlign w:val="bottom"/>
          </w:tcPr>
          <w:p>
            <w:pPr>
              <w:spacing w:after="0"/>
              <w:rPr>
                <w:sz w:val="17"/>
                <w:szCs w:val="17"/>
                <w:color w:val="auto"/>
              </w:rPr>
            </w:pPr>
          </w:p>
        </w:tc>
      </w:tr>
      <w:tr>
        <w:trPr>
          <w:trHeight w:val="236"/>
        </w:trPr>
        <w:tc>
          <w:tcPr>
            <w:tcW w:w="57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share-based compensation expense</w:t>
            </w:r>
          </w:p>
        </w:tc>
        <w:tc>
          <w:tcPr>
            <w:tcW w:w="720" w:type="dxa"/>
            <w:vAlign w:val="bottom"/>
            <w:tcBorders>
              <w:bottom w:val="single" w:sz="8" w:color="auto"/>
            </w:tcBorders>
            <w:shd w:val="clear" w:color="auto" w:fill="CFF0FC"/>
          </w:tcPr>
          <w:p>
            <w:pPr>
              <w:jc w:val="right"/>
              <w:ind w:right="539"/>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5,631</w:t>
            </w:r>
          </w:p>
        </w:tc>
        <w:tc>
          <w:tcPr>
            <w:tcW w:w="28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2,537</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11,833</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3,075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-24765</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77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4" w:lineRule="exact"/>
        <w:rPr>
          <w:sz w:val="20"/>
          <w:szCs w:val="20"/>
          <w:color w:val="auto"/>
        </w:rPr>
      </w:pPr>
    </w:p>
    <w:p>
      <w:pPr>
        <w:ind w:left="520" w:right="60" w:firstLine="509"/>
        <w:spacing w:after="0" w:line="248" w:lineRule="auto"/>
        <w:rPr>
          <w:sz w:val="20"/>
          <w:szCs w:val="20"/>
          <w:color w:val="auto"/>
        </w:rPr>
      </w:pPr>
      <w:r>
        <w:rPr>
          <w:rFonts w:ascii="Arial" w:cs="Arial" w:eastAsia="Arial" w:hAnsi="Arial"/>
          <w:sz w:val="18"/>
          <w:szCs w:val="18"/>
          <w:color w:val="auto"/>
        </w:rPr>
        <w:t>As of June 30, 2022, there was $70.0 million of unrecognized compensation cost related to unvested restricted stock, unvested restricted stock units, unvested stock options, and shares subject to purchase under the ESPP that is expected to be recognized over a weighted-average period of approximately 2.9 years.</w:t>
      </w:r>
    </w:p>
    <w:p>
      <w:pPr>
        <w:spacing w:after="0" w:line="74" w:lineRule="exact"/>
        <w:rPr>
          <w:sz w:val="20"/>
          <w:szCs w:val="20"/>
          <w:color w:val="auto"/>
        </w:rPr>
      </w:pPr>
    </w:p>
    <w:p>
      <w:pPr>
        <w:ind w:left="520" w:right="120" w:firstLine="509"/>
        <w:spacing w:after="0" w:line="270" w:lineRule="auto"/>
        <w:rPr>
          <w:sz w:val="20"/>
          <w:szCs w:val="20"/>
          <w:color w:val="auto"/>
        </w:rPr>
      </w:pPr>
      <w:r>
        <w:rPr>
          <w:rFonts w:ascii="Arial" w:cs="Arial" w:eastAsia="Arial" w:hAnsi="Arial"/>
          <w:sz w:val="17"/>
          <w:szCs w:val="17"/>
          <w:color w:val="auto"/>
        </w:rPr>
        <w:t>As of June 30, 2022, there was $2.7 million of unrecognized compensation cost related to unvested PSOs and PSUs. The Company will recognize the PSO and PSU expense through the expected vesting dates when the achievement of the performance-based metrics is probable. As of June 30, 2022, the achievement of the performance-based metrics of the PSOs and PSUs were not deemed probable.</w:t>
      </w:r>
    </w:p>
    <w:p>
      <w:pPr>
        <w:spacing w:after="0" w:line="268"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08" w:lineRule="exact"/>
        <w:rPr>
          <w:sz w:val="20"/>
          <w:szCs w:val="20"/>
          <w:color w:val="auto"/>
        </w:rPr>
      </w:pPr>
    </w:p>
    <w:p>
      <w:pPr>
        <w:ind w:left="520" w:right="560" w:firstLine="509"/>
        <w:spacing w:after="0" w:line="261" w:lineRule="auto"/>
        <w:rPr>
          <w:sz w:val="20"/>
          <w:szCs w:val="20"/>
          <w:color w:val="auto"/>
        </w:rPr>
      </w:pPr>
      <w:r>
        <w:rPr>
          <w:rFonts w:ascii="Arial" w:cs="Arial" w:eastAsia="Arial" w:hAnsi="Arial"/>
          <w:sz w:val="18"/>
          <w:szCs w:val="18"/>
          <w:color w:val="auto"/>
        </w:rPr>
        <w:t>Basic and diluted net loss per share attributable to common shareholders/stockholders after the Conversion is calculated as follows (in thousands except share and per share amounts):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5"/>
          </w:tcPr>
          <w:p>
            <w:pPr>
              <w:jc w:val="right"/>
              <w:ind w:right="83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40" w:type="dxa"/>
            <w:vAlign w:val="bottom"/>
            <w:gridSpan w:val="5"/>
          </w:tcPr>
          <w:p>
            <w:pPr>
              <w:jc w:val="right"/>
              <w:ind w:right="730"/>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5"/>
              <w:spacing w:after="0" w:line="149"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3"/>
              <w:spacing w:after="0" w:line="149"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7"/>
              <w:spacing w:after="0" w:line="149"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3"/>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(36,530</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(15,473</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(64,277</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(31,575</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460" w:type="dxa"/>
            <w:vAlign w:val="bottom"/>
          </w:tcPr>
          <w:p>
            <w:pPr>
              <w:spacing w:after="0" w:line="162" w:lineRule="exact"/>
              <w:rPr>
                <w:sz w:val="20"/>
                <w:szCs w:val="20"/>
                <w:color w:val="auto"/>
              </w:rPr>
            </w:pPr>
            <w:r>
              <w:rPr>
                <w:rFonts w:ascii="Arial" w:cs="Arial" w:eastAsia="Arial" w:hAnsi="Arial"/>
                <w:sz w:val="18"/>
                <w:szCs w:val="18"/>
                <w:color w:val="auto"/>
              </w:rPr>
              <w:t>Net loss attributable to redeemable convertible</w:t>
            </w:r>
          </w:p>
        </w:tc>
        <w:tc>
          <w:tcPr>
            <w:tcW w:w="260" w:type="dxa"/>
            <w:vAlign w:val="bottom"/>
          </w:tcPr>
          <w:p>
            <w:pPr>
              <w:spacing w:after="0"/>
              <w:rPr>
                <w:sz w:val="14"/>
                <w:szCs w:val="14"/>
                <w:color w:val="auto"/>
              </w:rPr>
            </w:pPr>
          </w:p>
        </w:tc>
        <w:tc>
          <w:tcPr>
            <w:tcW w:w="1200" w:type="dxa"/>
            <w:vAlign w:val="bottom"/>
            <w:gridSpan w:val="2"/>
            <w:vMerge w:val="restart"/>
          </w:tcPr>
          <w:p>
            <w:pPr>
              <w:jc w:val="right"/>
              <w:ind w:right="16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4"/>
                <w:szCs w:val="14"/>
                <w:color w:val="auto"/>
              </w:rPr>
            </w:pPr>
          </w:p>
        </w:tc>
        <w:tc>
          <w:tcPr>
            <w:tcW w:w="11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(1,191 )</w:t>
            </w:r>
          </w:p>
        </w:tc>
        <w:tc>
          <w:tcPr>
            <w:tcW w:w="260" w:type="dxa"/>
            <w:vAlign w:val="bottom"/>
          </w:tcPr>
          <w:p>
            <w:pPr>
              <w:spacing w:after="0"/>
              <w:rPr>
                <w:sz w:val="14"/>
                <w:szCs w:val="14"/>
                <w:color w:val="auto"/>
              </w:rPr>
            </w:pPr>
          </w:p>
        </w:tc>
        <w:tc>
          <w:tcPr>
            <w:tcW w:w="1180" w:type="dxa"/>
            <w:vAlign w:val="bottom"/>
            <w:gridSpan w:val="2"/>
            <w:vMerge w:val="restart"/>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(2,109 )</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46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w w:val="97"/>
              </w:rPr>
              <w:t>Exchange of redeemable noncontrolling interest shares –</w:t>
            </w:r>
          </w:p>
        </w:tc>
        <w:tc>
          <w:tcPr>
            <w:tcW w:w="26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60" w:type="dxa"/>
            <w:vAlign w:val="bottom"/>
            <w:gridSpan w:val="2"/>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(99,994 )</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(99,994 )</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deemed dividend</w:t>
            </w:r>
          </w:p>
        </w:tc>
        <w:tc>
          <w:tcPr>
            <w:tcW w:w="260" w:type="dxa"/>
            <w:vAlign w:val="bottom"/>
            <w:shd w:val="clear" w:color="auto" w:fill="CFF0FC"/>
          </w:tcPr>
          <w:p>
            <w:pPr>
              <w:spacing w:after="0"/>
              <w:rPr>
                <w:sz w:val="17"/>
                <w:szCs w:val="17"/>
                <w:color w:val="auto"/>
              </w:rPr>
            </w:pPr>
          </w:p>
        </w:tc>
        <w:tc>
          <w:tcPr>
            <w:tcW w:w="980" w:type="dxa"/>
            <w:vAlign w:val="bottom"/>
            <w:vMerge w:val="continue"/>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gridSpan w:val="2"/>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gridSpan w:val="2"/>
            <w:vMerge w:val="continue"/>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460" w:type="dxa"/>
            <w:vAlign w:val="bottom"/>
          </w:tcPr>
          <w:p>
            <w:pPr>
              <w:spacing w:after="0" w:line="196" w:lineRule="exact"/>
              <w:rPr>
                <w:sz w:val="20"/>
                <w:szCs w:val="20"/>
                <w:color w:val="auto"/>
              </w:rPr>
            </w:pPr>
            <w:r>
              <w:rPr>
                <w:rFonts w:ascii="Arial" w:cs="Arial" w:eastAsia="Arial" w:hAnsi="Arial"/>
                <w:sz w:val="18"/>
                <w:szCs w:val="18"/>
                <w:color w:val="auto"/>
              </w:rPr>
              <w:t>Net loss attributable to common stockholders/members</w:t>
            </w:r>
          </w:p>
        </w:tc>
        <w:tc>
          <w:tcPr>
            <w:tcW w:w="260" w:type="dxa"/>
            <w:vAlign w:val="bottom"/>
          </w:tcPr>
          <w:p>
            <w:pPr>
              <w:spacing w:after="0"/>
              <w:rPr>
                <w:sz w:val="17"/>
                <w:szCs w:val="17"/>
                <w:color w:val="auto"/>
              </w:rPr>
            </w:pPr>
          </w:p>
        </w:tc>
        <w:tc>
          <w:tcPr>
            <w:tcW w:w="120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(36,530 )</w:t>
            </w:r>
          </w:p>
        </w:tc>
        <w:tc>
          <w:tcPr>
            <w:tcW w:w="320" w:type="dxa"/>
            <w:vAlign w:val="bottom"/>
          </w:tcPr>
          <w:p>
            <w:pPr>
              <w:spacing w:after="0"/>
              <w:rPr>
                <w:sz w:val="17"/>
                <w:szCs w:val="17"/>
                <w:color w:val="auto"/>
              </w:rPr>
            </w:pPr>
          </w:p>
        </w:tc>
        <w:tc>
          <w:tcPr>
            <w:tcW w:w="116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(114,276 )</w:t>
            </w:r>
          </w:p>
        </w:tc>
        <w:tc>
          <w:tcPr>
            <w:tcW w:w="260" w:type="dxa"/>
            <w:vAlign w:val="bottom"/>
          </w:tcPr>
          <w:p>
            <w:pPr>
              <w:spacing w:after="0"/>
              <w:rPr>
                <w:sz w:val="17"/>
                <w:szCs w:val="17"/>
                <w:color w:val="auto"/>
              </w:rPr>
            </w:pPr>
          </w:p>
        </w:tc>
        <w:tc>
          <w:tcPr>
            <w:tcW w:w="118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(64,277 )</w:t>
            </w:r>
          </w:p>
        </w:tc>
        <w:tc>
          <w:tcPr>
            <w:tcW w:w="240" w:type="dxa"/>
            <w:vAlign w:val="bottom"/>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(129,460 )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4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(0.60</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(5.04</w:t>
            </w:r>
          </w:p>
        </w:tc>
        <w:tc>
          <w:tcPr>
            <w:tcW w:w="200" w:type="dxa"/>
            <w:vAlign w:val="bottom"/>
            <w:tcBorders>
              <w:bottom w:val="single" w:sz="8" w:color="CFF0FC"/>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(1.08</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(10.81</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580" w:type="dxa"/>
            <w:vAlign w:val="bottom"/>
          </w:tcPr>
          <w:p>
            <w:pPr>
              <w:spacing w:after="0"/>
              <w:rPr>
                <w:sz w:val="12"/>
                <w:szCs w:val="12"/>
                <w:color w:val="auto"/>
              </w:rPr>
            </w:pPr>
          </w:p>
        </w:tc>
        <w:tc>
          <w:tcPr>
            <w:tcW w:w="4460" w:type="dxa"/>
            <w:vAlign w:val="bottom"/>
          </w:tcPr>
          <w:p>
            <w:pPr>
              <w:spacing w:after="0" w:line="142" w:lineRule="exact"/>
              <w:rPr>
                <w:sz w:val="20"/>
                <w:szCs w:val="20"/>
                <w:color w:val="auto"/>
              </w:rPr>
            </w:pPr>
            <w:r>
              <w:rPr>
                <w:rFonts w:ascii="Arial" w:cs="Arial" w:eastAsia="Arial" w:hAnsi="Arial"/>
                <w:sz w:val="16"/>
                <w:szCs w:val="16"/>
                <w:color w:val="auto"/>
              </w:rPr>
              <w:t>Weighted-average number of common shares used in</w:t>
            </w:r>
          </w:p>
        </w:tc>
        <w:tc>
          <w:tcPr>
            <w:tcW w:w="2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60,760,527</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22,661,889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59,586,529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7"/>
              </w:rPr>
              <w:t>11,976,577</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4460" w:type="dxa"/>
            <w:vAlign w:val="bottom"/>
          </w:tcPr>
          <w:p>
            <w:pPr>
              <w:spacing w:after="0" w:line="156" w:lineRule="exact"/>
              <w:rPr>
                <w:sz w:val="20"/>
                <w:szCs w:val="20"/>
                <w:color w:val="auto"/>
              </w:rPr>
            </w:pPr>
            <w:r>
              <w:rPr>
                <w:rFonts w:ascii="Arial" w:cs="Arial" w:eastAsia="Arial" w:hAnsi="Arial"/>
                <w:sz w:val="18"/>
                <w:szCs w:val="18"/>
                <w:color w:val="auto"/>
              </w:rPr>
              <w:t>computing net loss per share, basic and diluted</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475"/>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4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5838825</wp:posOffset>
            </wp:positionH>
            <wp:positionV relativeFrom="paragraph">
              <wp:posOffset>-1614805</wp:posOffset>
            </wp:positionV>
            <wp:extent cx="85725" cy="1454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-1614805</wp:posOffset>
            </wp:positionV>
            <wp:extent cx="85725" cy="145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-879475</wp:posOffset>
            </wp:positionV>
            <wp:extent cx="6858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-879475</wp:posOffset>
            </wp:positionV>
            <wp:extent cx="6032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-879475</wp:posOffset>
            </wp:positionV>
            <wp:extent cx="60325"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-879475</wp:posOffset>
            </wp:positionV>
            <wp:extent cx="6032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-608330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-590550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-608330</wp:posOffset>
            </wp:positionV>
            <wp:extent cx="603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-590550</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-608330</wp:posOffset>
            </wp:positionV>
            <wp:extent cx="603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-590550</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-608330</wp:posOffset>
            </wp:positionV>
            <wp:extent cx="603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-590550</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31"/>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0" w:lineRule="exact"/>
        <w:rPr>
          <w:sz w:val="20"/>
          <w:szCs w:val="20"/>
          <w:color w:val="auto"/>
        </w:rPr>
      </w:pPr>
    </w:p>
    <w:p>
      <w:pPr>
        <w:spacing w:after="0" w:line="218" w:lineRule="exact"/>
        <w:rPr>
          <w:sz w:val="20"/>
          <w:szCs w:val="20"/>
          <w:color w:val="auto"/>
        </w:rPr>
      </w:pPr>
    </w:p>
    <w:p>
      <w:pPr>
        <w:ind w:left="512" w:right="100" w:firstLine="509"/>
        <w:spacing w:after="0" w:line="261" w:lineRule="auto"/>
        <w:rPr>
          <w:sz w:val="20"/>
          <w:szCs w:val="20"/>
          <w:color w:val="auto"/>
        </w:rPr>
      </w:pPr>
      <w:r>
        <w:rPr>
          <w:rFonts w:ascii="Arial" w:cs="Arial" w:eastAsia="Arial" w:hAnsi="Arial"/>
          <w:sz w:val="18"/>
          <w:szCs w:val="18"/>
          <w:color w:val="auto"/>
        </w:rPr>
        <w:t>The following outstanding potentially dilutive securities have been excluded from the calculation of diluted net loss per share, as their effect is anti-dilutive:</w:t>
      </w:r>
    </w:p>
    <w:p>
      <w:pPr>
        <w:spacing w:after="0" w:line="203" w:lineRule="exact"/>
        <w:rPr>
          <w:sz w:val="20"/>
          <w:szCs w:val="20"/>
          <w:color w:val="auto"/>
        </w:rPr>
      </w:pPr>
    </w:p>
    <w:tbl>
      <w:tblPr>
        <w:tblLayout w:type="fixed"/>
        <w:tblInd w:w="1692"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172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w w:val="92"/>
              </w:rPr>
              <w:t>As of June 30,</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96"/>
        </w:trPr>
        <w:tc>
          <w:tcPr>
            <w:tcW w:w="5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 options</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7,525,836</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2"/>
              </w:rPr>
              <w:t>4,418,874</w:t>
            </w:r>
          </w:p>
        </w:tc>
        <w:tc>
          <w:tcPr>
            <w:tcW w:w="80" w:type="dxa"/>
            <w:vAlign w:val="bottom"/>
            <w:shd w:val="clear" w:color="auto" w:fill="CFF0FC"/>
          </w:tcPr>
          <w:p>
            <w:pPr>
              <w:spacing w:after="0"/>
              <w:rPr>
                <w:sz w:val="17"/>
                <w:szCs w:val="17"/>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Unvested common shares</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2,808,097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w w:val="92"/>
              </w:rPr>
              <w:t>4,683,116</w:t>
            </w:r>
          </w:p>
        </w:tc>
        <w:tc>
          <w:tcPr>
            <w:tcW w:w="80" w:type="dxa"/>
            <w:vAlign w:val="bottom"/>
          </w:tcPr>
          <w:p>
            <w:pPr>
              <w:spacing w:after="0"/>
              <w:rPr>
                <w:sz w:val="17"/>
                <w:szCs w:val="17"/>
                <w:color w:val="auto"/>
              </w:rPr>
            </w:pPr>
          </w:p>
        </w:tc>
      </w:tr>
      <w:tr>
        <w:trPr>
          <w:trHeight w:val="203"/>
        </w:trPr>
        <w:tc>
          <w:tcPr>
            <w:tcW w:w="5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Restricted stock units</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430,850</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Performance stock units</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99,250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5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Performance stock options</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152,550</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Shares committed under ESPP</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42,094</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196"/>
        </w:trPr>
        <w:tc>
          <w:tcPr>
            <w:tcW w:w="53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11,058,677</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2"/>
              </w:rPr>
              <w:t>9,101,990</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5168900</wp:posOffset>
            </wp:positionH>
            <wp:positionV relativeFrom="paragraph">
              <wp:posOffset>-5080</wp:posOffset>
            </wp:positionV>
            <wp:extent cx="5143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-5080</wp:posOffset>
            </wp:positionV>
            <wp:extent cx="4318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12" w:hanging="512"/>
        <w:spacing w:after="0"/>
        <w:tabs>
          <w:tab w:leader="none" w:pos="51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Noncontrolling Interest</w:t>
      </w:r>
    </w:p>
    <w:p>
      <w:pPr>
        <w:spacing w:after="0" w:line="108" w:lineRule="exact"/>
        <w:rPr>
          <w:sz w:val="20"/>
          <w:szCs w:val="20"/>
          <w:color w:val="auto"/>
        </w:rPr>
      </w:pPr>
    </w:p>
    <w:p>
      <w:pPr>
        <w:ind w:left="512" w:firstLine="509"/>
        <w:spacing w:after="0" w:line="291" w:lineRule="auto"/>
        <w:rPr>
          <w:sz w:val="20"/>
          <w:szCs w:val="20"/>
          <w:color w:val="auto"/>
        </w:rPr>
      </w:pPr>
      <w:r>
        <w:rPr>
          <w:rFonts w:ascii="Arial" w:cs="Arial" w:eastAsia="Arial" w:hAnsi="Arial"/>
          <w:sz w:val="17"/>
          <w:szCs w:val="17"/>
          <w:color w:val="auto"/>
        </w:rPr>
        <w:t>Prior to the Merger, DOT-1, the Company’s subsidiary, issued Series A redeemable convertible preferred shares to Takeda in accordance with the Takeda Asset Agreement (Note 5). The Company concluded that it represented a redeemable noncontrolling interest.</w:t>
      </w:r>
    </w:p>
    <w:p>
      <w:pPr>
        <w:spacing w:after="0" w:line="39" w:lineRule="exact"/>
        <w:rPr>
          <w:sz w:val="20"/>
          <w:szCs w:val="20"/>
          <w:color w:val="auto"/>
        </w:rPr>
      </w:pPr>
    </w:p>
    <w:p>
      <w:pPr>
        <w:ind w:left="512" w:right="140" w:firstLine="509"/>
        <w:spacing w:after="0" w:line="248" w:lineRule="auto"/>
        <w:rPr>
          <w:sz w:val="20"/>
          <w:szCs w:val="20"/>
          <w:color w:val="auto"/>
        </w:rPr>
      </w:pPr>
      <w:r>
        <w:rPr>
          <w:rFonts w:ascii="Arial" w:cs="Arial" w:eastAsia="Arial" w:hAnsi="Arial"/>
          <w:sz w:val="18"/>
          <w:szCs w:val="18"/>
          <w:color w:val="auto"/>
        </w:rPr>
        <w:t>The Company adjusted the carrying value of redeemable noncontrolling interest to allocate net losses of the subsidiary to Takeda. Transfers to and from the redeemable noncontrolling interest represented changes in ownership and the allocation of Series A redeemable convertible preferred shares issuance costs issued by the subsidiary.</w:t>
      </w:r>
    </w:p>
    <w:p>
      <w:pPr>
        <w:spacing w:after="0" w:line="74" w:lineRule="exact"/>
        <w:rPr>
          <w:sz w:val="20"/>
          <w:szCs w:val="20"/>
          <w:color w:val="auto"/>
        </w:rPr>
      </w:pPr>
    </w:p>
    <w:p>
      <w:pPr>
        <w:ind w:left="512" w:right="120" w:firstLine="509"/>
        <w:spacing w:after="0" w:line="250" w:lineRule="auto"/>
        <w:rPr>
          <w:sz w:val="20"/>
          <w:szCs w:val="20"/>
          <w:color w:val="auto"/>
        </w:rPr>
      </w:pPr>
      <w:r>
        <w:rPr>
          <w:rFonts w:ascii="Arial" w:cs="Arial" w:eastAsia="Arial" w:hAnsi="Arial"/>
          <w:sz w:val="17"/>
          <w:szCs w:val="17"/>
          <w:color w:val="auto"/>
        </w:rPr>
        <w:t>On May 26, 2021, pursuant to the terms of the Millennium Stock Exchange Agreement, Takeda exchanged 9,857,143 shares of Series A redeemable convertible preferred stock in DOT-1 for 6,470,382 shares of common stock of the Company. Prior to the Exchange, the Company accounted for the redeemable noncontrolling interest as discussed in the paragraph above and allocated $1.2 million and $2.1 million of net losses for the period from April 1 to May 26, 2021 and from January 1 to May 26, 2021, respectively, to Takeda. The Exchange resulted in DOT-1 becoming a wholly owned subsidiary of the Company and was recorded for accounting purposes as an extinguishment of the redeemable noncontrolling interest. As such, the Company also recognized an extinguishment loss of $100.0 million to additional paid-in-capital, which was calculated as a difference between the fair value of common stock issued to Takeda in the conversion and the carrying value of redeemable noncontrolling interest at the conversion date. The all-stock exchange was treated as a deemed dividend in the calculation of net loss attributable to common stockholders/members and net loss and per share.</w:t>
      </w:r>
    </w:p>
    <w:p>
      <w:pPr>
        <w:spacing w:after="0" w:line="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52070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21" w:right="359" w:bottom="1440" w:gutter="0" w:footer="0" w:header="0"/>
        </w:sectPr>
      </w:pPr>
    </w:p>
    <w:bookmarkStart w:id="23" w:name="page24"/>
    <w:bookmarkEnd w:id="23"/>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w:t>
      </w:r>
    </w:p>
    <w:p>
      <w:pPr>
        <w:spacing w:after="0" w:line="108" w:lineRule="exact"/>
        <w:rPr>
          <w:sz w:val="20"/>
          <w:szCs w:val="20"/>
          <w:color w:val="auto"/>
        </w:rPr>
      </w:pPr>
    </w:p>
    <w:p>
      <w:pPr>
        <w:jc w:val="both"/>
        <w:ind w:left="520" w:right="240" w:firstLine="509"/>
        <w:spacing w:after="0" w:line="294" w:lineRule="auto"/>
        <w:rPr>
          <w:sz w:val="20"/>
          <w:szCs w:val="20"/>
          <w:color w:val="auto"/>
        </w:rPr>
      </w:pPr>
      <w:r>
        <w:rPr>
          <w:rFonts w:ascii="Arial" w:cs="Arial" w:eastAsia="Arial" w:hAnsi="Arial"/>
          <w:sz w:val="16"/>
          <w:szCs w:val="16"/>
          <w:color w:val="auto"/>
        </w:rPr>
        <w:t>The Company maintains an employee savings plan pursuant to Section 401(k) of the Internal Revenue Code. All employees are eligible to participate provided that they meet the requirements of the plan. For the three and six months ended June 30, 2022, the Company made matching contributions of $0.3 million and $0.5 million, respectively. The Company did not make matching contributions in the periods of the prior year.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13.Subsequent Event</w:t>
      </w:r>
    </w:p>
    <w:p>
      <w:pPr>
        <w:spacing w:after="0" w:line="108" w:lineRule="exact"/>
        <w:rPr>
          <w:sz w:val="20"/>
          <w:szCs w:val="20"/>
          <w:color w:val="auto"/>
        </w:rPr>
      </w:pPr>
    </w:p>
    <w:p>
      <w:pPr>
        <w:ind w:left="520" w:right="320" w:firstLine="509"/>
        <w:spacing w:after="0" w:line="243" w:lineRule="auto"/>
        <w:rPr>
          <w:sz w:val="20"/>
          <w:szCs w:val="20"/>
          <w:color w:val="auto"/>
        </w:rPr>
      </w:pPr>
      <w:r>
        <w:rPr>
          <w:rFonts w:ascii="Arial" w:cs="Arial" w:eastAsia="Arial" w:hAnsi="Arial"/>
          <w:sz w:val="18"/>
          <w:szCs w:val="18"/>
          <w:color w:val="auto"/>
        </w:rPr>
        <w:t>In July 2022, the Company entered into an agreement to develop and seek regulatory approval of a companion diagnostic for tovorafenib (DAY101) in pLGG with BRAF fusions or BRAF V600 in the United States and the European Union markets. The agreement contains non-refundable, non-creditable development, regulatory submissions and approvals milestone payments totaling up to $15.0 million payable to the vendor upon the successful completion of such milestones.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related notes, our interim condensed consolidated financial statements and related notes, and other financial information appearing in our Annual Report on Form 10-K for the year ended December 31, 2021, or our Annual Report and this Quarterly Report on Form 10-Q. Some of the information contained in this discussion and analysis includes forward-looking statements that involve risks and uncertainties. As a result of many factors, including those factors set forth in the “Risk Factors” in this this Quarterly Report on Form 10-Q, our actual results could differ materially from the results described in or implied by the forward-looking statements contained in the following discussion and analysis.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Day One was founded to address a critical unmet need: children with cancer are being left behind in a cancer drug development revolution. Our name was inspired by the “The Day One Talk” that physicians have with patients and their families about an initial cancer diagnosis and treatment plan. We aim to re-envision cancer drug development and redefine what’s possible for all people living with cancer—regardless of age—starting from Day One.</w:t>
      </w:r>
    </w:p>
    <w:p>
      <w:pPr>
        <w:spacing w:after="0" w:line="39" w:lineRule="exact"/>
        <w:rPr>
          <w:sz w:val="20"/>
          <w:szCs w:val="20"/>
          <w:color w:val="auto"/>
        </w:rPr>
      </w:pPr>
    </w:p>
    <w:p>
      <w:pPr>
        <w:ind w:right="40" w:firstLine="509"/>
        <w:spacing w:after="0" w:line="265" w:lineRule="auto"/>
        <w:rPr>
          <w:sz w:val="20"/>
          <w:szCs w:val="20"/>
          <w:color w:val="auto"/>
        </w:rPr>
      </w:pPr>
      <w:r>
        <w:rPr>
          <w:rFonts w:ascii="Arial" w:cs="Arial" w:eastAsia="Arial" w:hAnsi="Arial"/>
          <w:sz w:val="16"/>
          <w:szCs w:val="16"/>
          <w:color w:val="auto"/>
        </w:rPr>
        <w:t>We are a clinical-stage biopharmaceutical company dedicated to developing and commercializing targeted therapies for patients of all ages with life threatening diseases. Initially, we have focused our clinical development efforts on pediatric patients living with cancer, a vulnerable population that has been underserved in the recent revolution in targeted therapeutics and immuno-oncology. Our lead product candidate, tovorafenib (DAY101), is an oral, brain-penetrant, highly-selective type II pan-rapidly accelerated fibrosarcoma, or pan-RAF, kinase inhibitor. Tovorafenib (DAY101) has been studied in over 325 patients and has been shown to be generally well-tolerated as a monotherapy. Tovorafenib (DAY101) has demonstrated encouraging anti-tumor activity in pediatric and adult populations with specific genetic alterations that result in the over-activation of the RAS/mitogen-activated protein kinase, or MAPK, pathway leading to uncontrolled cell growth. We have initiated and enrolled a pivotal Phase 2 trial (FIREFLY-1) of tovorafenib (DAY101) for pediatric patients with relapsed or progressive low -grade glioma, or pLGG, the most common brain tumor diagnosed in children, for which there are no approved therapies and no standard of care for the majority of patients. The first patient was dosed in FIREFLY-1 in May 2021 and we completed enrollment in the registrational arm in May 2022. The FIREFLY-1 trial has also been expanded to: (a) include two additional study arms to enable expanded access for eligible patients now that the primary cohort has completed enrollment, and (b) evaluate the preliminary efficacy of tovorafenib (DAY101) in patients aged 6 months to 25 years with a relapsed or progressive extracranial solid tumor with an activating RAF fusion. Tovorafenib</w:t>
      </w:r>
    </w:p>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(DAY101) has been granted Breakthrough Therapy designation by the FDA for the treatment of pLGG based on initial results from a Phase 1 trial which showed evidence of rapid anti-tumor activity and durable responses in pLGG patients. We received Orphan Drug designation for the treatment of malignant melanoma from the FDA in September 2020 and from the EU Commission for the treatment of glioma in May 2021. Additionally, the FDA granted Rare Pediatric Disease designation to tovorafenib (DAY101) for treatment of low-grade gliomas, or LGGs, harboring an activating RAF alteration in July 2021.</w:t>
      </w:r>
    </w:p>
    <w:p>
      <w:pPr>
        <w:spacing w:after="0" w:line="255" w:lineRule="exact"/>
        <w:rPr>
          <w:sz w:val="20"/>
          <w:szCs w:val="20"/>
          <w:color w:val="auto"/>
        </w:rPr>
      </w:pPr>
    </w:p>
    <w:p>
      <w:pPr>
        <w:ind w:right="160" w:firstLine="509"/>
        <w:spacing w:after="0" w:line="251" w:lineRule="auto"/>
        <w:rPr>
          <w:sz w:val="20"/>
          <w:szCs w:val="20"/>
          <w:color w:val="auto"/>
        </w:rPr>
      </w:pPr>
      <w:r>
        <w:rPr>
          <w:rFonts w:ascii="Arial" w:cs="Arial" w:eastAsia="Arial" w:hAnsi="Arial"/>
          <w:sz w:val="17"/>
          <w:szCs w:val="17"/>
          <w:color w:val="auto"/>
        </w:rPr>
        <w:t>Initial data from the pivotal FIREFLY-1 trial in June 2022 demonstrated an overall response rate, or ORR, of 64% in the first 22 Response Assessment for Neuro-Oncology evaluable patients, comprising 14 partial responses, or PR (13 confirmed partial responses and 1 unconfirmed partial response, or uPR). We observed an additional 6 patients with stable disease, or SD, resulting in a clinical benefit rate of 91% (PR/uPR+ SD). We believe tumor reduction or stabilization is clinically meaningful for pLGG patients, as both are perceived as beneficial given the lack of approved therapies. We anticipate presenting additional study results from FIREFLY-1 at an upcoming medical conference in the second half of 2022, reporting topline data from this pivotal trial in the first quarter of 2023, and, if the data are supportive, we expect to submit a New Drug Application, or NDA, to the United States Food and Drug Administration, or FDA, in the first half of 2023.</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24" w:name="page25"/>
    <w:bookmarkEnd w:id="24"/>
    <w:p>
      <w:pPr>
        <w:ind w:right="120" w:firstLine="509"/>
        <w:spacing w:after="0" w:line="239" w:lineRule="auto"/>
        <w:rPr>
          <w:sz w:val="20"/>
          <w:szCs w:val="20"/>
          <w:color w:val="auto"/>
        </w:rPr>
      </w:pPr>
      <w:r>
        <w:rPr>
          <w:rFonts w:ascii="Arial" w:cs="Arial" w:eastAsia="Arial" w:hAnsi="Arial"/>
          <w:sz w:val="18"/>
          <w:szCs w:val="18"/>
          <w:color w:val="auto"/>
        </w:rPr>
        <w:t>Our second product candidate, pimasertib, is an oral, highly-selective small molecule inhibitor of mitogen-activated protein kinase kinases 1 and 2, or MEK, a well-characterized key signaling node in the MAPK pathway. We initiated FIRELIGHT-1, a Phase 1b/2 trial, in March 2022 to study the combination of tovorafenib (DAY101) and pimasertib in patients 12 years and older with various MAPK-altered solid tumors, and dosed the first patients in May 2022. We believe our business development capabilities combined with our extensive experience in oncology drug development and deep ties within the research and patient advocacy communities, particularly within the pediatric setting, positions us to be a leader in identifying, acquiring and developing therapies for patients of all ages. We hold exclusive worldwide rights to tovorafenib (DAY101) and to pimasertib for all therapeutic areas subject to certain milestone and royalty payments.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74930</wp:posOffset>
            </wp:positionV>
            <wp:extent cx="6172200" cy="35147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172200" cy="351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Since our inception in November 2018, we have devoted substantially all of our resources to identifying, acquiring and developing our product candidates and building our pipeline; organizing and staffing our company; business planning; establishing and maintaining our intellectual property portfolio; establishing arrangements with third parties for the manufacture of our product candidates; raising capital; preparing for commercial launch; and providing general and administrative support for these operations. We do not have any products approved for commercial sale and have not generated any revenues from product sales or any other source and have incurred net losses since commencement of our operations. For the three months ended June 30, 2022 and 2021, we reported a net loss of $36.5 million and $15.5 million, respectively. For the six months ended June 30, 2022 and 2021, we reported a net loss of $64.3 million and $31.6 million, respectively. We had an accumulated deficit of $191.8 million as of June 30, 2022. We expect a significant increase in expenses and substantial losses for the foreseeable future as we continue our development of, and seek regulatory approvals for our product candidates, commercialize any approved products, and seek to expand our product pipeline and invest in our organization. In addition, we expect to continue to incur additional costs associated with operating as a public company, including significant legal, audit, accounting, regulatory, tax-related, director and officer insurance, investor relations and other expenses that we did not incur as a private company.</w:t>
      </w:r>
    </w:p>
    <w:p>
      <w:pPr>
        <w:spacing w:after="0" w:line="167"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To date, we have funded our operations through the sale of our redeemable convertible preferred shares, convertible notes and common stock in our initial public offering and subsequent public offering.</w:t>
      </w:r>
    </w:p>
    <w:p>
      <w:pPr>
        <w:spacing w:after="0" w:line="171"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Cash and cash equivalents totaled $388.9 million as of June 30, 2022. Based on our current operating plan, management believes we have sufficient capital resources to fund anticipated operations into 2025. Because of the numerous risks and uncertainties associated with product development, we may never achieve profitability, and unless and until then, we will need to continue to raise additional capital. There are no assurances that we will be successful in obtaining an adequate level of financing to support our business plans. If we are unable to raise capital as and when needed or on attractive terms, we may have to significantly delay, reduce</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or discontinue the development and commercialization of our product candidates or scale back or terminate our pursuit of new in-licenses and acquisitions.</w:t>
      </w:r>
    </w:p>
    <w:p>
      <w:pPr>
        <w:spacing w:after="0" w:line="235" w:lineRule="exact"/>
        <w:rPr>
          <w:sz w:val="20"/>
          <w:szCs w:val="20"/>
          <w:color w:val="auto"/>
        </w:rPr>
      </w:pPr>
    </w:p>
    <w:p>
      <w:pPr>
        <w:ind w:right="140" w:firstLine="509"/>
        <w:spacing w:after="0" w:line="284" w:lineRule="auto"/>
        <w:rPr>
          <w:sz w:val="20"/>
          <w:szCs w:val="20"/>
          <w:color w:val="auto"/>
        </w:rPr>
      </w:pPr>
      <w:r>
        <w:rPr>
          <w:rFonts w:ascii="Arial" w:cs="Arial" w:eastAsia="Arial" w:hAnsi="Arial"/>
          <w:sz w:val="16"/>
          <w:szCs w:val="16"/>
          <w:color w:val="auto"/>
        </w:rPr>
        <w:t>We do not own or operate, and currently have no plans to establish, any manufacturing facilities. We rely, and expect to continue to rely, on third parties for the manufacture of our product candidates for clinical testing, as well as for commercial manufacturing if any of our product candidates obtain marketing approval. As we advance our product candidates through development, we will explore adding backup suppliers for the Active Pharmaceutical Ingredients, or API, drug product, packaging and formulation for each of our product candidates to protect against any potential supply disruptions.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04" w:lineRule="exact"/>
        <w:rPr>
          <w:sz w:val="20"/>
          <w:szCs w:val="20"/>
          <w:color w:val="auto"/>
        </w:rPr>
      </w:pPr>
    </w:p>
    <w:p>
      <w:pPr>
        <w:ind w:right="260" w:firstLine="509"/>
        <w:spacing w:after="0" w:line="259" w:lineRule="auto"/>
        <w:rPr>
          <w:sz w:val="20"/>
          <w:szCs w:val="20"/>
          <w:color w:val="auto"/>
        </w:rPr>
      </w:pPr>
      <w:r>
        <w:rPr>
          <w:rFonts w:ascii="Arial" w:cs="Arial" w:eastAsia="Arial" w:hAnsi="Arial"/>
          <w:sz w:val="17"/>
          <w:szCs w:val="17"/>
          <w:color w:val="auto"/>
        </w:rPr>
        <w:t>The degree to which the COVID-19 pandemic, including the emergence of related variants, impact our business operations, research and development programs and financial condition will depend on future developments, including the ultimate duration and/or severity of the outbreak, the impact of any resurgences and new strains that emerge, actions by government authorities to contain the spread of the virus, the timing, availability, and effectiveness of any vaccines, and when and to what extent normal economic and operating conditions can resume. Our management team continues to actively monitor this evolving health crisis and its effects on our operations, key vendors and workforce.</w:t>
      </w:r>
    </w:p>
    <w:p>
      <w:pPr>
        <w:spacing w:after="0" w:line="174"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We conduct our clinical trials in the U.S. and internationally in geographic regions that have been and continue to be impacted by the COVID-19 pandemic to varying degrees. We have experienced and expect to continue to experience volatility in services rendered from our third-party service providers as local governments respond to resurgences and the emergence of new strains, each of which may result in the prolonged reinstitution, extension or enhancement of protective measures. The American Cancer Society has also reported that the pandemic has led to declines in screening, diagnosis and treatment for cancer patients, which will impact the enrollment of patients in clinical trials targeting early-stage cancers and retention of patients overall in our trials. Patient safety remains our paramount concern and we continue to collaborate with our existing and with new investigational sites to implement measures to minimize disruptions to patients and ensure continued access to treatment, in accordance with health authority guidance. We are unable to predict the continuing or ultimate impact of the COVID-19 pandemic on our ongoing and planned clinical programs. With respect to manufacturing and supply, we do not anticipate disruptions to our drug supply chain, but in March 2022, authorities in Shanghai announced a two-stage lock-down for residents and businesses in response to rising rates of COVID-19 and we cannot be sure if additional lock-down measures or restrictions will be implemented and what, if any, impact that may have on our facilities and operations.</w:t>
      </w:r>
    </w:p>
    <w:p>
      <w:pPr>
        <w:spacing w:after="0" w:line="167" w:lineRule="exact"/>
        <w:rPr>
          <w:sz w:val="20"/>
          <w:szCs w:val="20"/>
          <w:color w:val="auto"/>
        </w:rPr>
      </w:pPr>
    </w:p>
    <w:p>
      <w:pPr>
        <w:ind w:right="20" w:firstLine="509"/>
        <w:spacing w:after="0" w:line="294" w:lineRule="auto"/>
        <w:rPr>
          <w:sz w:val="20"/>
          <w:szCs w:val="20"/>
          <w:color w:val="auto"/>
        </w:rPr>
      </w:pPr>
      <w:r>
        <w:rPr>
          <w:rFonts w:ascii="Arial" w:cs="Arial" w:eastAsia="Arial" w:hAnsi="Arial"/>
          <w:sz w:val="16"/>
          <w:szCs w:val="16"/>
          <w:color w:val="auto"/>
        </w:rPr>
        <w:t>The full impact of the COVID-19 pandemic remains highly uncertain and subject to change. The safety, health and well-being of our employees remains a primary concern, and we instituted remote work arrangements for our office-based employees. There are many uncertainties around the COVID-19 pandemic and future developments, which are unpredictable, may result in a material, negative impact to our operations and financial condition.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agreements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 asset agreement</w:t>
      </w:r>
    </w:p>
    <w:p>
      <w:pPr>
        <w:spacing w:after="0" w:line="104" w:lineRule="exact"/>
        <w:rPr>
          <w:sz w:val="20"/>
          <w:szCs w:val="20"/>
          <w:color w:val="auto"/>
        </w:rPr>
      </w:pPr>
    </w:p>
    <w:p>
      <w:pPr>
        <w:ind w:right="20" w:firstLine="509"/>
        <w:spacing w:after="0" w:line="251" w:lineRule="auto"/>
        <w:rPr>
          <w:sz w:val="20"/>
          <w:szCs w:val="20"/>
          <w:color w:val="auto"/>
        </w:rPr>
      </w:pPr>
      <w:r>
        <w:rPr>
          <w:rFonts w:ascii="Arial" w:cs="Arial" w:eastAsia="Arial" w:hAnsi="Arial"/>
          <w:sz w:val="17"/>
          <w:szCs w:val="17"/>
          <w:color w:val="auto"/>
        </w:rPr>
        <w:t>On December 16, 2019, DOT-1 Therapeutics, Inc., or DOT-1, our subsidiary, entered into an asset purchase agreement, or the Takeda Asset Agreement, with Millennium Pharmaceuticals, Inc., an affiliate of Takeda Pharmaceutical Company Limited, or Takeda. Pursuant to the Takeda Asset Agreement, we purchased certain technology rights and know-how related to TAK-580 (which is now tovorafenib (DAY101)), which was being developed to treat patients with primary brain tumors or brain metastases of solid tumors. We also received clinical inventory supplies to use in our research and development activities of such RAF-inhibitor and an assigned investigator clinical trial agreement. Takeda also assigned to us its exclusive license agreement, or the Viracta License Agreement, with Viracta Therapeutics, Inc. or Viracta (f/k/a Sunesis Pharmaceuticals, Inc.). Takeda also granted us a worldwide, sublicensable exclusive license under specified patents and know-how and non-exclusive license under other patents and know-how generated by Takeda under the Takeda Asset Agreement or otherwise through practice of the technology assigned or licensed to us under the Takeda Asset Agreement, in each case, to develop, manufacture and commercialize products containing tovorafenib (DAY101) in all fields of use. We also granted Takeda an exclusive license under the technology assigned or licensed to us under the Takeda Asset Agreement and a non-exclusive license under any patents and know-how generated by us under the Takeda Asset Agreement or otherwise through the practice of the technology assigned or licensed to us under the Takeda Asset Agreement, in each case, only for Takeda to develop, manufacture and commercialize products containing tovorafenib (DAY101) in the field excluded from our license grant. This grant back license to Takeda was terminated at the time of Conversion in connection with the Millennium Stock Exchange Agreement.</w:t>
      </w:r>
    </w:p>
    <w:p>
      <w:pPr>
        <w:spacing w:after="0" w:line="81" w:lineRule="exact"/>
        <w:rPr>
          <w:sz w:val="20"/>
          <w:szCs w:val="20"/>
          <w:color w:val="auto"/>
        </w:rPr>
      </w:pPr>
    </w:p>
    <w:p>
      <w:pPr>
        <w:ind w:right="360" w:firstLine="509"/>
        <w:spacing w:after="0"/>
        <w:rPr>
          <w:sz w:val="20"/>
          <w:szCs w:val="20"/>
          <w:color w:val="auto"/>
        </w:rPr>
      </w:pPr>
      <w:r>
        <w:rPr>
          <w:rFonts w:ascii="Arial" w:cs="Arial" w:eastAsia="Arial" w:hAnsi="Arial"/>
          <w:sz w:val="18"/>
          <w:szCs w:val="18"/>
          <w:color w:val="auto"/>
        </w:rPr>
        <w:t>In consideration for the sale and assignment of assets and the grant of the license under the Takeda Asset Agreement, DOT-1 made an upfront payment of $1.0 million in cash and issued 9,857,143 shares of Series A redeemable convertible preferred stock in DOT-1 in December 2019. The fair value of issued shares was estimated as $9.9 million, based on the price paid by other investors for</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6" w:name="page27"/>
    <w:bookmarkEnd w:id="26"/>
    <w:p>
      <w:pPr>
        <w:ind w:right="80"/>
        <w:spacing w:after="0" w:line="270" w:lineRule="auto"/>
        <w:rPr>
          <w:sz w:val="20"/>
          <w:szCs w:val="20"/>
          <w:color w:val="auto"/>
        </w:rPr>
      </w:pPr>
      <w:r>
        <w:rPr>
          <w:rFonts w:ascii="Arial" w:cs="Arial" w:eastAsia="Arial" w:hAnsi="Arial"/>
          <w:sz w:val="17"/>
          <w:szCs w:val="17"/>
          <w:color w:val="auto"/>
        </w:rPr>
        <w:t>issued shares in the Series A financing of DOT-1. Pursuant to the terms of the Millennium Stock Exchange Agreement, or the Millennium Stock Exchange Agreement, Takeda agreed to exchange 9,857,143 shares of Series A redeemable convertible preferred stock of DOT-1 for 6,470,382 shares of the Company’s common stock pursuant to and contingent upon the effectiveness of the Conversion on May 26, 2021.</w:t>
      </w:r>
    </w:p>
    <w:p>
      <w:pPr>
        <w:spacing w:after="0" w:line="56"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Effective December 31, 2021, DOT-1 was merged with and into our company, with our company being the surviving corporation and assuming DOT-1’s obligations under the Takeda Assets Purchase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Viracta license agreement</w:t>
      </w:r>
    </w:p>
    <w:p>
      <w:pPr>
        <w:spacing w:after="0" w:line="104"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On December 16, 2019, we amended and restated the Viracta License Agreement that was assigned to us pursuant to the Takeda Asset Agreement. Under the Viracta License Agreement, we received a worldwide exclusive license under specified patent rights and know-how to develop, use, manufacture, and commercialize products containing compounds binding the RAF protein family.</w:t>
      </w:r>
    </w:p>
    <w:p>
      <w:pPr>
        <w:spacing w:after="0" w:line="182"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Under the Viracta License Agreement, we paid $2.0 million upfront in cash to Viracta, which was recorded as research and development expenses for the year ended December 31, 2019. We made a milestone payment of $3.0 million to Viracta in February 2021, which was recorded as research and development expenses when the milestone was achieved in April 2021. We are also required to make additional milestone payments of up to $54.0 million upon achievement of specified development and regulatory milestones. The total amount of consideration for the assets and the license acquired related to the Takeda Asset Agreement and Viracta License Agreement of $12.9 million was recorded as research and development expenses in the consolidated statements of operations and comprehensive loss in December 2019.</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Merck KGaA, Darmstadt, Germany</w:t>
      </w:r>
    </w:p>
    <w:p>
      <w:pPr>
        <w:spacing w:after="0" w:line="104" w:lineRule="exact"/>
        <w:rPr>
          <w:sz w:val="20"/>
          <w:szCs w:val="20"/>
          <w:color w:val="auto"/>
        </w:rPr>
      </w:pPr>
    </w:p>
    <w:p>
      <w:pPr>
        <w:ind w:right="60" w:firstLine="509"/>
        <w:spacing w:after="0" w:line="269" w:lineRule="auto"/>
        <w:rPr>
          <w:sz w:val="20"/>
          <w:szCs w:val="20"/>
          <w:color w:val="auto"/>
        </w:rPr>
      </w:pPr>
      <w:r>
        <w:rPr>
          <w:rFonts w:ascii="Arial" w:cs="Arial" w:eastAsia="Arial" w:hAnsi="Arial"/>
          <w:sz w:val="16"/>
          <w:szCs w:val="16"/>
          <w:color w:val="auto"/>
        </w:rPr>
        <w:t>On February 10, 2021, DOT Therapeutics-2, Inc., or DOT-2, our subsidiary, entered into a license agreement, or the MRKDG License Agreement, with Merck KGaA, Darmstadt, Germany, a pharmaceutical corporation located in Darmstadt, Germany. Under the MRKDG License Agreement, Merck KGaA, Darmstadt, Germany as licensor granted to DOT-2, an exclusive worldwide license, with the right to grant sublicenses through multiple tiers, under specified patent rights and know-how for us to research, develop, manufacture and commercialize products containing and comprising the pimasertib and MSC2015103B compounds. Our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 In consideration for the rights granted under the MRKDG License Agreement, we made an upfront payment of $8.0 million to the licensor, which was recorded as research and development expenses. Additionally, we made a milestone payment of $2.5 million, which was recorded as research and development expenses, in the second quarter of 2022 related to the first dosing of a patient in a first clinical trial of a product containing pimasertib. We may also be required to make additional payments of up to $364.5 million based upon the achievement of specified development, regulatory, and commercial milestones, as well a high, single-digit royalty percentage on future net sales of licensed products, if any. Milestones and royalties are contingent upon future events and will be recorded when the milestones are achieved and when payments are due.</w:t>
      </w:r>
    </w:p>
    <w:p>
      <w:pPr>
        <w:spacing w:after="0" w:line="63"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Effective December 31, 2021, DOT-2 was merged with and into our company, with our company being the surviving corporation and assuming DOT-2’s obligations under the MRKDG License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100" w:firstLine="509"/>
        <w:spacing w:after="0" w:line="324" w:lineRule="auto"/>
        <w:rPr>
          <w:sz w:val="20"/>
          <w:szCs w:val="20"/>
          <w:color w:val="auto"/>
        </w:rPr>
      </w:pPr>
      <w:r>
        <w:rPr>
          <w:rFonts w:ascii="Arial" w:cs="Arial" w:eastAsia="Arial" w:hAnsi="Arial"/>
          <w:sz w:val="16"/>
          <w:szCs w:val="16"/>
          <w:color w:val="auto"/>
        </w:rPr>
        <w:t>Research and development expenses consist primarily of external and internal expenses incurred for our research activities, including our discovery and in-licensing undertakings, and the development of our lead product candidate, tovorafenib (DAY101) and our second product candidate, pimasertib.</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External expenses include:</w:t>
      </w:r>
    </w:p>
    <w:p>
      <w:pPr>
        <w:spacing w:after="0" w:line="104" w:lineRule="exact"/>
        <w:rPr>
          <w:sz w:val="20"/>
          <w:szCs w:val="20"/>
          <w:color w:val="auto"/>
        </w:rPr>
      </w:pPr>
    </w:p>
    <w:p>
      <w:pPr>
        <w:ind w:left="1140" w:hanging="369"/>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associated with acquiring technology and intellectual property licenses that have no alternative future uses;</w:t>
      </w:r>
    </w:p>
    <w:p>
      <w:pPr>
        <w:spacing w:after="0" w:line="103" w:lineRule="exact"/>
        <w:rPr>
          <w:rFonts w:ascii="Arial" w:cs="Arial" w:eastAsia="Arial" w:hAnsi="Arial"/>
          <w:sz w:val="18"/>
          <w:szCs w:val="18"/>
          <w:color w:val="auto"/>
        </w:rPr>
      </w:pPr>
    </w:p>
    <w:p>
      <w:pPr>
        <w:ind w:left="1140" w:hanging="369"/>
        <w:spacing w:after="0" w:line="261"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incurred under agreements with third-party contract research organizations, or CROs, contract manufacturing organizations, or CMOs, and other third parties that conduct clinical trials on our behalf; and</w:t>
      </w:r>
    </w:p>
    <w:p>
      <w:pPr>
        <w:spacing w:after="0" w:line="62" w:lineRule="exact"/>
        <w:rPr>
          <w:rFonts w:ascii="Arial" w:cs="Arial" w:eastAsia="Arial" w:hAnsi="Arial"/>
          <w:sz w:val="18"/>
          <w:szCs w:val="18"/>
          <w:color w:val="auto"/>
        </w:rPr>
      </w:pPr>
    </w:p>
    <w:p>
      <w:pPr>
        <w:ind w:left="1140" w:hanging="369"/>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costs associated with our research and development programs, including laboratory materials and supplies.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7" w:name="page28"/>
    <w:bookmarkEnd w:id="27"/>
    <w:p>
      <w:pPr>
        <w:ind w:left="520"/>
        <w:spacing w:after="0"/>
        <w:rPr>
          <w:sz w:val="20"/>
          <w:szCs w:val="20"/>
          <w:color w:val="auto"/>
        </w:rPr>
      </w:pPr>
      <w:r>
        <w:rPr>
          <w:rFonts w:ascii="Arial" w:cs="Arial" w:eastAsia="Arial" w:hAnsi="Arial"/>
          <w:sz w:val="18"/>
          <w:szCs w:val="18"/>
          <w:color w:val="auto"/>
        </w:rPr>
        <w:t>Internal expenses include:</w:t>
      </w:r>
    </w:p>
    <w:p>
      <w:pPr>
        <w:spacing w:after="0" w:line="104" w:lineRule="exact"/>
        <w:rPr>
          <w:sz w:val="20"/>
          <w:szCs w:val="20"/>
          <w:color w:val="auto"/>
        </w:rPr>
      </w:pPr>
    </w:p>
    <w:p>
      <w:pPr>
        <w:ind w:left="1140" w:right="260" w:hanging="369"/>
        <w:spacing w:after="0" w:line="261"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employee-related costs, including salaries, benefits and share-based compensation expense, for our research and development personnel; and</w:t>
      </w:r>
    </w:p>
    <w:p>
      <w:pPr>
        <w:spacing w:after="0" w:line="62" w:lineRule="exact"/>
        <w:rPr>
          <w:rFonts w:ascii="Arial" w:cs="Arial" w:eastAsia="Arial" w:hAnsi="Arial"/>
          <w:sz w:val="18"/>
          <w:szCs w:val="18"/>
          <w:color w:val="auto"/>
        </w:rPr>
      </w:pPr>
    </w:p>
    <w:p>
      <w:pPr>
        <w:ind w:left="1140" w:hanging="369"/>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facilities and other overhead expenses, including expenses for rent and facilities maintenance, and amortization.</w:t>
      </w:r>
    </w:p>
    <w:p>
      <w:pPr>
        <w:spacing w:after="0" w:line="212"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We expense research and development expenses as incurred. We track external costs by program, which currently consist of expenses for our tovorafenib (DAY101) program and our pimasertib program. We do not track indirect costs on a program specific basis because these costs are deployed across multiple programs and, as such, are not separately classified.</w:t>
      </w:r>
    </w:p>
    <w:p>
      <w:pPr>
        <w:spacing w:after="0" w:line="182"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auto"/>
        </w:rPr>
        <w:t>Research and development activities are central to our business model. We expect that our research and development expenses will increase substantially for the foreseeable future as we continue to implement our business strategy, advance tovorafenib (DAY101) and pimasertib through clinical trials and conduct larger clinical trials, expand our research and development efforts, and identify, acquire and develop additional product candidates, particularly as more of our product candidates move into clinical development and later stages of clinical development.</w:t>
      </w:r>
    </w:p>
    <w:p>
      <w:pPr>
        <w:spacing w:after="0" w:line="172"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We cannot reasonably determine the duration and costs to complete future clinical trials of tovorafenib (DAY101), pimasertib or any other product candidate we may develop or acquire, or to what extent we will generate revenue from the commercialization and sale of any of our product candidates. The successful development and commercialization of our product candidates, as well as our ability to obtain the necessary regulatory and marketing approvals are highly uncertain. This is due to numerous risks and uncertainties associated with developing new drugs, many of which are outside of our control, including:</w:t>
      </w:r>
    </w:p>
    <w:p>
      <w:pPr>
        <w:spacing w:after="0" w:line="81" w:lineRule="exact"/>
        <w:rPr>
          <w:sz w:val="20"/>
          <w:szCs w:val="20"/>
          <w:color w:val="auto"/>
        </w:rPr>
      </w:pPr>
    </w:p>
    <w:p>
      <w:pPr>
        <w:ind w:left="1140" w:right="240" w:hanging="369"/>
        <w:spacing w:after="0" w:line="261"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rate of progress, expense and results of preclinical development activities, as well as of any future clinical trials of our product candidates, and other research and development activities we may conduct;</w:t>
      </w:r>
    </w:p>
    <w:p>
      <w:pPr>
        <w:spacing w:after="0" w:line="62" w:lineRule="exact"/>
        <w:rPr>
          <w:rFonts w:ascii="Arial" w:cs="Arial" w:eastAsia="Arial" w:hAnsi="Arial"/>
          <w:sz w:val="18"/>
          <w:szCs w:val="18"/>
          <w:color w:val="auto"/>
        </w:rPr>
      </w:pPr>
    </w:p>
    <w:p>
      <w:pPr>
        <w:ind w:left="1140" w:hanging="36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uncertainties in clinical trial design;</w:t>
      </w:r>
    </w:p>
    <w:p>
      <w:pPr>
        <w:spacing w:after="0" w:line="103" w:lineRule="exact"/>
        <w:rPr>
          <w:rFonts w:ascii="Arial" w:cs="Arial" w:eastAsia="Arial" w:hAnsi="Arial"/>
          <w:sz w:val="18"/>
          <w:szCs w:val="18"/>
          <w:color w:val="auto"/>
        </w:rPr>
      </w:pPr>
    </w:p>
    <w:p>
      <w:pPr>
        <w:ind w:left="1140" w:hanging="36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03" w:lineRule="exact"/>
        <w:rPr>
          <w:rFonts w:ascii="Arial" w:cs="Arial" w:eastAsia="Arial" w:hAnsi="Arial"/>
          <w:sz w:val="18"/>
          <w:szCs w:val="18"/>
          <w:color w:val="auto"/>
        </w:rPr>
      </w:pPr>
    </w:p>
    <w:p>
      <w:pPr>
        <w:ind w:left="1140" w:hanging="36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03" w:lineRule="exact"/>
        <w:rPr>
          <w:rFonts w:ascii="Arial" w:cs="Arial" w:eastAsia="Arial" w:hAnsi="Arial"/>
          <w:sz w:val="18"/>
          <w:szCs w:val="18"/>
          <w:color w:val="auto"/>
        </w:rPr>
      </w:pPr>
    </w:p>
    <w:p>
      <w:pPr>
        <w:ind w:left="1140" w:hanging="36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03" w:lineRule="exact"/>
        <w:rPr>
          <w:rFonts w:ascii="Arial" w:cs="Arial" w:eastAsia="Arial" w:hAnsi="Arial"/>
          <w:sz w:val="18"/>
          <w:szCs w:val="18"/>
          <w:color w:val="auto"/>
        </w:rPr>
      </w:pPr>
    </w:p>
    <w:p>
      <w:pPr>
        <w:ind w:left="1140" w:hanging="36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03" w:lineRule="exact"/>
        <w:rPr>
          <w:rFonts w:ascii="Arial" w:cs="Arial" w:eastAsia="Arial" w:hAnsi="Arial"/>
          <w:sz w:val="18"/>
          <w:szCs w:val="18"/>
          <w:color w:val="auto"/>
        </w:rPr>
      </w:pPr>
    </w:p>
    <w:p>
      <w:pPr>
        <w:ind w:left="1140" w:hanging="36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03" w:lineRule="exact"/>
        <w:rPr>
          <w:rFonts w:ascii="Arial" w:cs="Arial" w:eastAsia="Arial" w:hAnsi="Arial"/>
          <w:sz w:val="18"/>
          <w:szCs w:val="18"/>
          <w:color w:val="auto"/>
        </w:rPr>
      </w:pPr>
    </w:p>
    <w:p>
      <w:pPr>
        <w:ind w:left="1140" w:hanging="36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03" w:lineRule="exact"/>
        <w:rPr>
          <w:rFonts w:ascii="Arial" w:cs="Arial" w:eastAsia="Arial" w:hAnsi="Arial"/>
          <w:sz w:val="18"/>
          <w:szCs w:val="18"/>
          <w:color w:val="auto"/>
        </w:rPr>
      </w:pPr>
    </w:p>
    <w:p>
      <w:pPr>
        <w:ind w:left="1140" w:hanging="36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drop-out or discontinuation rates of patients, particularly in light of the COVID-19 pandemic environment;</w:t>
      </w:r>
    </w:p>
    <w:p>
      <w:pPr>
        <w:spacing w:after="0" w:line="103" w:lineRule="exact"/>
        <w:rPr>
          <w:rFonts w:ascii="Arial" w:cs="Arial" w:eastAsia="Arial" w:hAnsi="Arial"/>
          <w:sz w:val="18"/>
          <w:szCs w:val="18"/>
          <w:color w:val="auto"/>
        </w:rPr>
      </w:pPr>
    </w:p>
    <w:p>
      <w:pPr>
        <w:ind w:left="1140" w:hanging="36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safety and efficacy profiles of our product candidates;</w:t>
      </w:r>
    </w:p>
    <w:p>
      <w:pPr>
        <w:spacing w:after="0" w:line="103" w:lineRule="exact"/>
        <w:rPr>
          <w:rFonts w:ascii="Arial" w:cs="Arial" w:eastAsia="Arial" w:hAnsi="Arial"/>
          <w:sz w:val="18"/>
          <w:szCs w:val="18"/>
          <w:color w:val="auto"/>
        </w:rPr>
      </w:pPr>
    </w:p>
    <w:p>
      <w:pPr>
        <w:ind w:left="1140" w:hanging="369"/>
        <w:spacing w:after="0" w:line="248"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receipt and terms of any approvals from applicable regulatory authorities, including the FDA, European Medicines Agency, Health Canada or other regulatory agencies of the investigational NDAs, clinical trial applications or other regulatory filings for tovorafenib (DAY101) and future product candidates;</w:t>
      </w:r>
    </w:p>
    <w:p>
      <w:pPr>
        <w:spacing w:after="0" w:line="73" w:lineRule="exact"/>
        <w:rPr>
          <w:rFonts w:ascii="Arial" w:cs="Arial" w:eastAsia="Arial" w:hAnsi="Arial"/>
          <w:sz w:val="18"/>
          <w:szCs w:val="18"/>
          <w:color w:val="auto"/>
        </w:rPr>
      </w:pPr>
    </w:p>
    <w:p>
      <w:pPr>
        <w:ind w:left="1140" w:hanging="36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maintaining intellectual property protection and regulatory exclusivity for our product candidates;</w:t>
      </w:r>
    </w:p>
    <w:p>
      <w:pPr>
        <w:spacing w:after="0" w:line="103" w:lineRule="exact"/>
        <w:rPr>
          <w:rFonts w:ascii="Arial" w:cs="Arial" w:eastAsia="Arial" w:hAnsi="Arial"/>
          <w:sz w:val="18"/>
          <w:szCs w:val="18"/>
          <w:color w:val="auto"/>
        </w:rPr>
      </w:pPr>
    </w:p>
    <w:p>
      <w:pPr>
        <w:ind w:left="1140" w:right="140" w:hanging="369"/>
        <w:spacing w:after="0" w:line="261"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clinical and commercial manufacturing capabilities or making arrangements with third-party manufacturers in order to ensure that we or our third-party manufacturers are able to make product successfully;</w:t>
      </w:r>
    </w:p>
    <w:p>
      <w:pPr>
        <w:spacing w:after="0" w:line="62" w:lineRule="exact"/>
        <w:rPr>
          <w:rFonts w:ascii="Arial" w:cs="Arial" w:eastAsia="Arial" w:hAnsi="Arial"/>
          <w:sz w:val="18"/>
          <w:szCs w:val="18"/>
          <w:color w:val="auto"/>
        </w:rPr>
      </w:pPr>
    </w:p>
    <w:p>
      <w:pPr>
        <w:ind w:left="1140" w:right="820" w:hanging="369"/>
        <w:spacing w:after="0" w:line="261"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retention and expansion of a workforce of experienced scientists and others to continue research and development of our product candidates;</w:t>
      </w:r>
    </w:p>
    <w:p>
      <w:pPr>
        <w:spacing w:after="0" w:line="62" w:lineRule="exact"/>
        <w:rPr>
          <w:rFonts w:ascii="Arial" w:cs="Arial" w:eastAsia="Arial" w:hAnsi="Arial"/>
          <w:sz w:val="18"/>
          <w:szCs w:val="18"/>
          <w:color w:val="auto"/>
        </w:rPr>
      </w:pPr>
    </w:p>
    <w:p>
      <w:pPr>
        <w:ind w:left="1140" w:hanging="36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any marketing approvals.</w:t>
      </w:r>
    </w:p>
    <w:p>
      <w:pPr>
        <w:spacing w:after="0" w:line="103" w:lineRule="exact"/>
        <w:rPr>
          <w:rFonts w:ascii="Arial" w:cs="Arial" w:eastAsia="Arial" w:hAnsi="Arial"/>
          <w:sz w:val="18"/>
          <w:szCs w:val="18"/>
          <w:color w:val="auto"/>
        </w:rPr>
      </w:pPr>
    </w:p>
    <w:p>
      <w:pPr>
        <w:ind w:left="1140" w:hanging="36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103" w:lineRule="exact"/>
        <w:rPr>
          <w:rFonts w:ascii="Arial" w:cs="Arial" w:eastAsia="Arial" w:hAnsi="Arial"/>
          <w:sz w:val="18"/>
          <w:szCs w:val="18"/>
          <w:color w:val="auto"/>
        </w:rPr>
      </w:pPr>
    </w:p>
    <w:p>
      <w:pPr>
        <w:ind w:left="1140" w:right="180" w:hanging="369"/>
        <w:spacing w:after="0" w:line="261"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to those of the third parties with whom we work, particularly considering the COVID-19 pandemic environment; and</w:t>
      </w:r>
    </w:p>
    <w:p>
      <w:pPr>
        <w:spacing w:after="0" w:line="62" w:lineRule="exact"/>
        <w:rPr>
          <w:rFonts w:ascii="Arial" w:cs="Arial" w:eastAsia="Arial" w:hAnsi="Arial"/>
          <w:sz w:val="18"/>
          <w:szCs w:val="18"/>
          <w:color w:val="auto"/>
        </w:rPr>
      </w:pPr>
    </w:p>
    <w:p>
      <w:pPr>
        <w:ind w:left="1140" w:hanging="36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establish additional strategic collaborations or other arrangements.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 w:name="page29"/>
    <w:bookmarkEnd w:id="28"/>
    <w:p>
      <w:pPr>
        <w:ind w:firstLine="509"/>
        <w:spacing w:after="0" w:line="241" w:lineRule="auto"/>
        <w:rPr>
          <w:sz w:val="20"/>
          <w:szCs w:val="20"/>
          <w:color w:val="auto"/>
        </w:rPr>
      </w:pPr>
      <w:r>
        <w:rPr>
          <w:rFonts w:ascii="Arial" w:cs="Arial" w:eastAsia="Arial" w:hAnsi="Arial"/>
          <w:sz w:val="18"/>
          <w:szCs w:val="18"/>
          <w:color w:val="auto"/>
        </w:rPr>
        <w:t>A change in estimates of any of these factors could mean a significant change in the costs and timing associated with the development of our current and future product candidates. For example, if the FDA or another regulatory authority were to require us to conduct clinical trials beyond those that we currently anticipate will be required for the completion of clinical development of a product candidate, or if we experience significant delays in our ongoing and planned clinical trials due to patient enrollment or other reasons, we could be required to expend significant additional financial resources and time on the completion of clinical development.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jc w:val="both"/>
        <w:ind w:right="60" w:firstLine="509"/>
        <w:spacing w:after="0" w:line="279" w:lineRule="auto"/>
        <w:rPr>
          <w:sz w:val="20"/>
          <w:szCs w:val="20"/>
          <w:color w:val="auto"/>
        </w:rPr>
      </w:pPr>
      <w:r>
        <w:rPr>
          <w:rFonts w:ascii="Arial" w:cs="Arial" w:eastAsia="Arial" w:hAnsi="Arial"/>
          <w:sz w:val="16"/>
          <w:szCs w:val="16"/>
          <w:color w:val="auto"/>
        </w:rPr>
        <w:t>General and administrative expenses consist primarily of personnel-related costs, legal and professional service costs, insurance costs, and facility-related costs. Personnel-related costs include salaries, bonuses, benefits, stock-based compensation, travel expenses, and other related costs, for personnel in our executive, finance, corporate, business development and administrative functions. Legal and professional service expenses include legal fees related to intellectual property and corporate matters; professional fees for accounting, auditing, tax, human resources, business development, and other consulting services, stock-based compensation issued to certain nonemployee consultants, and travel expenses and facilities-related expenses.</w:t>
      </w:r>
    </w:p>
    <w:p>
      <w:pPr>
        <w:spacing w:after="0" w:line="159"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We expect that our general and administrative expenses will increase substantially for the foreseeable future as we anticipate an increase in our personnel headcount to support expansion of research and development efforts for our product candidates, as well as to support our operations generally. We also expect an increase in expenses associated with being a public company, including costs related to compliance with the requirements of the Nasdaq Global Select Market, or Nasdaq, and the SEC; additional director and officer insurance costs; and investor and public relations costs.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redeemable convertible noncontrolling interest</w:t>
      </w:r>
    </w:p>
    <w:p>
      <w:pPr>
        <w:spacing w:after="0" w:line="104"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Net loss attributable to redeemable convertible noncontrolling interest represented a portion of the net loss that is not allocated to us in our subsidiary, DOT-1. On May 26, 2021, in connection with the terms of the Millennium Stock Exchange Agreement, Takeda exchanged its shares in DOT-1 for shares of our common stock. At that time, the redeemable convertible noncontrolling interest was extinguished, and DOT-1 became our wholly-owned subsidiary.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of redeemable noncontrolling interest shares – deemed dividend</w:t>
      </w:r>
    </w:p>
    <w:p>
      <w:pPr>
        <w:spacing w:after="0" w:line="104"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For the three months ended June 30, 2021, as a result of an exchange of shares by Takeda, we recognized an extinguishment loss of approximately $100.0 million to additional paid-in-capital, which was calculated as a difference between the fair value of common stock issued to Takeda in the conversion and the carrying value of redeemable noncontrolling interest at the conversion date. The all-stock, non-cash exchange was treated as a deemed dividend in the calculation of net loss attributable to common stockholders and net loss per share.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2022 and 2021</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June 30, 2022 and 2021 (unaudited):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tcPr>
          <w:p>
            <w:pPr>
              <w:jc w:val="right"/>
              <w:ind w:right="65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w w:val="98"/>
              </w:rPr>
              <w:t>$ Change</w:t>
            </w:r>
          </w:p>
        </w:tc>
        <w:tc>
          <w:tcPr>
            <w:tcW w:w="176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8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5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22,560</w:t>
            </w:r>
          </w:p>
        </w:tc>
        <w:tc>
          <w:tcPr>
            <w:tcW w:w="24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9,914</w:t>
            </w:r>
          </w:p>
        </w:tc>
        <w:tc>
          <w:tcPr>
            <w:tcW w:w="24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12,646</w:t>
            </w:r>
          </w:p>
        </w:tc>
        <w:tc>
          <w:tcPr>
            <w:tcW w:w="200" w:type="dxa"/>
            <w:vAlign w:val="bottom"/>
          </w:tcPr>
          <w:p>
            <w:pPr>
              <w:spacing w:after="0"/>
              <w:rPr>
                <w:sz w:val="17"/>
                <w:szCs w:val="17"/>
                <w:color w:val="auto"/>
              </w:rPr>
            </w:pPr>
          </w:p>
        </w:tc>
        <w:tc>
          <w:tcPr>
            <w:tcW w:w="176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127.6 %</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14,159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5,525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8,634</w:t>
            </w:r>
          </w:p>
        </w:tc>
        <w:tc>
          <w:tcPr>
            <w:tcW w:w="200" w:type="dxa"/>
            <w:vAlign w:val="bottom"/>
          </w:tcPr>
          <w:p>
            <w:pPr>
              <w:spacing w:after="0"/>
              <w:rPr>
                <w:sz w:val="17"/>
                <w:szCs w:val="17"/>
                <w:color w:val="auto"/>
              </w:rPr>
            </w:pPr>
          </w:p>
        </w:tc>
        <w:tc>
          <w:tcPr>
            <w:tcW w:w="176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156.3 %</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20" w:type="dxa"/>
            <w:vAlign w:val="bottom"/>
            <w:vMerge w:val="restart"/>
          </w:tcPr>
          <w:p>
            <w:pPr>
              <w:ind w:left="36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8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36,719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15,439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21,280</w:t>
            </w:r>
          </w:p>
        </w:tc>
        <w:tc>
          <w:tcPr>
            <w:tcW w:w="200" w:type="dxa"/>
            <w:vAlign w:val="bottom"/>
          </w:tcPr>
          <w:p>
            <w:pPr>
              <w:spacing w:after="0"/>
              <w:rPr>
                <w:sz w:val="17"/>
                <w:szCs w:val="17"/>
                <w:color w:val="auto"/>
              </w:rPr>
            </w:pPr>
          </w:p>
        </w:tc>
        <w:tc>
          <w:tcPr>
            <w:tcW w:w="1760" w:type="dxa"/>
            <w:vAlign w:val="bottom"/>
            <w:gridSpan w:val="3"/>
          </w:tcPr>
          <w:p>
            <w:pPr>
              <w:jc w:val="right"/>
              <w:ind w:right="500"/>
              <w:spacing w:after="0" w:line="196" w:lineRule="exact"/>
              <w:rPr>
                <w:sz w:val="20"/>
                <w:szCs w:val="20"/>
                <w:color w:val="auto"/>
              </w:rPr>
            </w:pPr>
            <w:r>
              <w:rPr>
                <w:rFonts w:ascii="Arial" w:cs="Arial" w:eastAsia="Arial" w:hAnsi="Arial"/>
                <w:sz w:val="18"/>
                <w:szCs w:val="18"/>
                <w:color w:val="auto"/>
              </w:rPr>
              <w:t>137.8 %</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820" w:type="dxa"/>
            <w:vAlign w:val="bottom"/>
          </w:tcPr>
          <w:p>
            <w:pPr>
              <w:spacing w:after="0" w:line="196" w:lineRule="exact"/>
              <w:rPr>
                <w:sz w:val="20"/>
                <w:szCs w:val="20"/>
                <w:color w:val="auto"/>
              </w:rPr>
            </w:pPr>
            <w:r>
              <w:rPr>
                <w:rFonts w:ascii="Arial" w:cs="Arial" w:eastAsia="Arial" w:hAnsi="Arial"/>
                <w:sz w:val="18"/>
                <w:szCs w:val="18"/>
                <w:b w:val="1"/>
                <w:bCs w:val="1"/>
                <w:color w:val="auto"/>
              </w:rPr>
              <w:t>Loss from operations</w:t>
            </w:r>
          </w:p>
        </w:tc>
        <w:tc>
          <w:tcPr>
            <w:tcW w:w="3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(36,719</w:t>
            </w:r>
          </w:p>
        </w:tc>
        <w:tc>
          <w:tcPr>
            <w:tcW w:w="24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(15,439</w:t>
            </w:r>
          </w:p>
        </w:tc>
        <w:tc>
          <w:tcPr>
            <w:tcW w:w="24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(21,280</w:t>
            </w:r>
          </w:p>
        </w:tc>
        <w:tc>
          <w:tcPr>
            <w:tcW w:w="20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137.8</w:t>
            </w:r>
          </w:p>
        </w:tc>
        <w:tc>
          <w:tcPr>
            <w:tcW w:w="660" w:type="dxa"/>
            <w:vAlign w:val="bottom"/>
            <w:gridSpan w:val="2"/>
          </w:tcPr>
          <w:p>
            <w:pPr>
              <w:jc w:val="right"/>
              <w:ind w:right="500"/>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Interest income (expense), net</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(7 )</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196</w:t>
            </w:r>
          </w:p>
        </w:tc>
        <w:tc>
          <w:tcPr>
            <w:tcW w:w="200" w:type="dxa"/>
            <w:vAlign w:val="bottom"/>
          </w:tcPr>
          <w:p>
            <w:pPr>
              <w:spacing w:after="0"/>
              <w:rPr>
                <w:sz w:val="17"/>
                <w:szCs w:val="17"/>
                <w:color w:val="auto"/>
              </w:rPr>
            </w:pPr>
          </w:p>
        </w:tc>
        <w:tc>
          <w:tcPr>
            <w:tcW w:w="176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-2800.0 %</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expense, net</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(27 )</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820" w:type="dxa"/>
            <w:vAlign w:val="bottom"/>
          </w:tcPr>
          <w:p>
            <w:pPr>
              <w:spacing w:after="0" w:line="196" w:lineRule="exact"/>
              <w:rPr>
                <w:sz w:val="20"/>
                <w:szCs w:val="20"/>
                <w:color w:val="auto"/>
              </w:rPr>
            </w:pPr>
            <w:r>
              <w:rPr>
                <w:rFonts w:ascii="Arial" w:cs="Arial" w:eastAsia="Arial" w:hAnsi="Arial"/>
                <w:sz w:val="18"/>
                <w:szCs w:val="18"/>
                <w:b w:val="1"/>
                <w:bCs w:val="1"/>
                <w:color w:val="auto"/>
              </w:rPr>
              <w:t>Net loss</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(36,530 )</w:t>
            </w:r>
          </w:p>
        </w:tc>
        <w:tc>
          <w:tcPr>
            <w:tcW w:w="260" w:type="dxa"/>
            <w:vAlign w:val="bottom"/>
          </w:tcPr>
          <w:p>
            <w:pPr>
              <w:spacing w:after="0"/>
              <w:rPr>
                <w:sz w:val="17"/>
                <w:szCs w:val="17"/>
                <w:color w:val="auto"/>
              </w:rPr>
            </w:pPr>
          </w:p>
        </w:tc>
        <w:tc>
          <w:tcPr>
            <w:tcW w:w="102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(15,473 )</w:t>
            </w:r>
          </w:p>
        </w:tc>
        <w:tc>
          <w:tcPr>
            <w:tcW w:w="160" w:type="dxa"/>
            <w:vAlign w:val="bottom"/>
          </w:tcPr>
          <w:p>
            <w:pPr>
              <w:spacing w:after="0"/>
              <w:rPr>
                <w:sz w:val="17"/>
                <w:szCs w:val="17"/>
                <w:color w:val="auto"/>
              </w:rPr>
            </w:pPr>
          </w:p>
        </w:tc>
        <w:tc>
          <w:tcPr>
            <w:tcW w:w="106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(21,057 )</w:t>
            </w:r>
          </w:p>
        </w:tc>
        <w:tc>
          <w:tcPr>
            <w:tcW w:w="1760" w:type="dxa"/>
            <w:vAlign w:val="bottom"/>
            <w:gridSpan w:val="3"/>
          </w:tcPr>
          <w:p>
            <w:pPr>
              <w:jc w:val="right"/>
              <w:ind w:right="500"/>
              <w:spacing w:after="0" w:line="196" w:lineRule="exact"/>
              <w:rPr>
                <w:sz w:val="20"/>
                <w:szCs w:val="20"/>
                <w:color w:val="auto"/>
              </w:rPr>
            </w:pPr>
            <w:r>
              <w:rPr>
                <w:rFonts w:ascii="Arial" w:cs="Arial" w:eastAsia="Arial" w:hAnsi="Arial"/>
                <w:sz w:val="18"/>
                <w:szCs w:val="18"/>
                <w:color w:val="auto"/>
              </w:rPr>
              <w:t>136.1 %</w:t>
            </w: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82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Net loss attributable to redeemable convertible</w:t>
            </w: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4"/>
                <w:szCs w:val="14"/>
                <w:color w:val="auto"/>
              </w:rPr>
            </w:pPr>
          </w:p>
        </w:tc>
        <w:tc>
          <w:tcPr>
            <w:tcW w:w="1020" w:type="dxa"/>
            <w:vAlign w:val="bottom"/>
            <w:gridSpan w:val="2"/>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(1,191 )</w:t>
            </w:r>
          </w:p>
        </w:tc>
        <w:tc>
          <w:tcPr>
            <w:tcW w:w="160" w:type="dxa"/>
            <w:vAlign w:val="bottom"/>
            <w:shd w:val="clear" w:color="auto" w:fill="CFF0FC"/>
          </w:tcPr>
          <w:p>
            <w:pPr>
              <w:spacing w:after="0"/>
              <w:rPr>
                <w:sz w:val="14"/>
                <w:szCs w:val="14"/>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1,191</w:t>
            </w:r>
          </w:p>
        </w:tc>
        <w:tc>
          <w:tcPr>
            <w:tcW w:w="20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interests</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820" w:type="dxa"/>
            <w:vAlign w:val="bottom"/>
          </w:tcPr>
          <w:p>
            <w:pPr>
              <w:spacing w:after="0" w:line="162" w:lineRule="exact"/>
              <w:rPr>
                <w:sz w:val="20"/>
                <w:szCs w:val="20"/>
                <w:color w:val="auto"/>
              </w:rPr>
            </w:pPr>
            <w:r>
              <w:rPr>
                <w:rFonts w:ascii="Arial" w:cs="Arial" w:eastAsia="Arial" w:hAnsi="Arial"/>
                <w:sz w:val="18"/>
                <w:szCs w:val="18"/>
                <w:color w:val="auto"/>
                <w:w w:val="91"/>
              </w:rPr>
              <w:t>Exchange of redeemable noncontrolling interest shares – deemed</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4"/>
                <w:szCs w:val="14"/>
                <w:color w:val="auto"/>
              </w:rPr>
            </w:pPr>
          </w:p>
        </w:tc>
        <w:tc>
          <w:tcPr>
            <w:tcW w:w="102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(99,994 )</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99,994</w:t>
            </w:r>
          </w:p>
        </w:tc>
        <w:tc>
          <w:tcPr>
            <w:tcW w:w="2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dividend</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820" w:type="dxa"/>
            <w:vAlign w:val="bottom"/>
          </w:tcPr>
          <w:p>
            <w:pPr>
              <w:spacing w:after="0" w:line="196" w:lineRule="exact"/>
              <w:rPr>
                <w:sz w:val="20"/>
                <w:szCs w:val="20"/>
                <w:color w:val="auto"/>
              </w:rPr>
            </w:pPr>
            <w:r>
              <w:rPr>
                <w:rFonts w:ascii="Arial" w:cs="Arial" w:eastAsia="Arial" w:hAnsi="Arial"/>
                <w:sz w:val="18"/>
                <w:szCs w:val="18"/>
                <w:color w:val="auto"/>
              </w:rPr>
              <w:t>Net loss attributable to common stockholders/members</w:t>
            </w:r>
          </w:p>
        </w:tc>
        <w:tc>
          <w:tcPr>
            <w:tcW w:w="3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(36,530</w:t>
            </w:r>
          </w:p>
        </w:tc>
        <w:tc>
          <w:tcPr>
            <w:tcW w:w="24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(114,276</w:t>
            </w:r>
          </w:p>
        </w:tc>
        <w:tc>
          <w:tcPr>
            <w:tcW w:w="24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77,746</w:t>
            </w:r>
          </w:p>
        </w:tc>
        <w:tc>
          <w:tcPr>
            <w:tcW w:w="2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-68.0</w:t>
            </w:r>
          </w:p>
        </w:tc>
        <w:tc>
          <w:tcPr>
            <w:tcW w:w="660" w:type="dxa"/>
            <w:vAlign w:val="bottom"/>
            <w:gridSpan w:val="2"/>
          </w:tcPr>
          <w:p>
            <w:pPr>
              <w:jc w:val="right"/>
              <w:ind w:right="500"/>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29</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8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-1773555</wp:posOffset>
            </wp:positionV>
            <wp:extent cx="641223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-1499235</wp:posOffset>
            </wp:positionV>
            <wp:extent cx="6412230" cy="1289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-1110615</wp:posOffset>
            </wp:positionV>
            <wp:extent cx="6858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-1110615</wp:posOffset>
            </wp:positionV>
            <wp:extent cx="6858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-1110615</wp:posOffset>
            </wp:positionV>
            <wp:extent cx="6032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-1110615</wp:posOffset>
            </wp:positionV>
            <wp:extent cx="6032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-496570</wp:posOffset>
            </wp:positionV>
            <wp:extent cx="6412230" cy="1543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9" w:name="page30"/>
    <w:bookmarkEnd w:id="29"/>
    <w:p>
      <w:pPr>
        <w:ind w:right="8540" w:firstLine="517"/>
        <w:spacing w:after="0" w:line="405" w:lineRule="auto"/>
        <w:tabs>
          <w:tab w:leader="none" w:pos="8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Percentage not meaningful </w:t>
      </w:r>
      <w:r>
        <w:rPr>
          <w:rFonts w:ascii="Arial" w:cs="Arial" w:eastAsia="Arial" w:hAnsi="Arial"/>
          <w:sz w:val="16"/>
          <w:szCs w:val="16"/>
          <w:i w:val="1"/>
          <w:iCs w:val="1"/>
          <w:color w:val="auto"/>
        </w:rPr>
        <w:t>Research and development expenses</w:t>
      </w:r>
    </w:p>
    <w:p>
      <w:pPr>
        <w:ind w:right="60" w:firstLine="509"/>
        <w:spacing w:after="0"/>
        <w:rPr>
          <w:sz w:val="20"/>
          <w:szCs w:val="20"/>
          <w:color w:val="auto"/>
        </w:rPr>
      </w:pPr>
      <w:r>
        <w:rPr>
          <w:rFonts w:ascii="Arial" w:cs="Arial" w:eastAsia="Arial" w:hAnsi="Arial"/>
          <w:sz w:val="18"/>
          <w:szCs w:val="18"/>
          <w:color w:val="auto"/>
        </w:rPr>
        <w:t>Research and development expenses for the three months ended June 30, 2022 were $22.6 million, compared to $9.9 million for the three months ended June 30, 2021. In the three months ended June 30, 2022 as compared to June 30, 2021, third-party expenses increased by $7.9 million, due primarily to an increase in clinical trial, manufacturing, and other product development expenses and personnel related expenses increased by $5.3 million resulting from additional headcount and stock-based compensation. Milestone payments decreased by approximately $0.5 million given two separate payments: the first was $3.0 million paid to Viracta for the three months ended June 30, 2021 and the second was $2.5 million paid to Merck KGaA for the same period in 2022.</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external and internal research and development expenses for the three months ended June 30, 2022 and 2021:</w:t>
      </w:r>
    </w:p>
    <w:p>
      <w:pPr>
        <w:spacing w:after="0" w:line="267" w:lineRule="exact"/>
        <w:rPr>
          <w:sz w:val="20"/>
          <w:szCs w:val="20"/>
          <w:color w:val="auto"/>
        </w:rPr>
      </w:pPr>
    </w:p>
    <w:p>
      <w:pPr>
        <w:jc w:val="center"/>
        <w:ind w:left="6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22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1200" w:type="dxa"/>
        <w:tblCellMar>
          <w:top w:w="0" w:type="dxa"/>
          <w:left w:w="0" w:type="dxa"/>
          <w:bottom w:w="0" w:type="dxa"/>
          <w:right w:w="0" w:type="dxa"/>
        </w:tblCellMar>
      </w:tblPr>
      <w:tr>
        <w:trPr>
          <w:trHeight w:val="169"/>
        </w:trPr>
        <w:tc>
          <w:tcPr>
            <w:tcW w:w="63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4"/>
                <w:szCs w:val="14"/>
                <w:color w:val="auto"/>
              </w:rPr>
            </w:pPr>
          </w:p>
        </w:tc>
      </w:tr>
      <w:tr>
        <w:trPr>
          <w:trHeight w:val="169"/>
        </w:trPr>
        <w:tc>
          <w:tcPr>
            <w:tcW w:w="6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75"/>
              <w:spacing w:after="0"/>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71"/>
              </w:rPr>
              <w:t>thousands)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63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External costs:</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Third-party CRO, CMO and other third-party clinical trial costs (1)</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11,923</w:t>
            </w:r>
          </w:p>
        </w:tc>
        <w:tc>
          <w:tcPr>
            <w:tcW w:w="58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4,730</w:t>
            </w:r>
          </w:p>
        </w:tc>
        <w:tc>
          <w:tcPr>
            <w:tcW w:w="80" w:type="dxa"/>
            <w:vAlign w:val="bottom"/>
          </w:tcPr>
          <w:p>
            <w:pPr>
              <w:spacing w:after="0"/>
              <w:rPr>
                <w:sz w:val="17"/>
                <w:szCs w:val="17"/>
                <w:color w:val="auto"/>
              </w:rPr>
            </w:pPr>
          </w:p>
        </w:tc>
      </w:tr>
      <w:tr>
        <w:trPr>
          <w:trHeight w:val="203"/>
        </w:trPr>
        <w:tc>
          <w:tcPr>
            <w:tcW w:w="6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Milestone payment related to the MRKDG License Agreement</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2,500</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Milestone payment related to the Viracta License Agreement</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3,000</w:t>
            </w:r>
          </w:p>
        </w:tc>
        <w:tc>
          <w:tcPr>
            <w:tcW w:w="80" w:type="dxa"/>
            <w:vAlign w:val="bottom"/>
          </w:tcPr>
          <w:p>
            <w:pPr>
              <w:spacing w:after="0"/>
              <w:rPr>
                <w:sz w:val="17"/>
                <w:szCs w:val="17"/>
                <w:color w:val="auto"/>
              </w:rPr>
            </w:pPr>
          </w:p>
        </w:tc>
      </w:tr>
      <w:tr>
        <w:trPr>
          <w:trHeight w:val="203"/>
        </w:trPr>
        <w:tc>
          <w:tcPr>
            <w:tcW w:w="6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5"/>
              </w:rPr>
              <w:t>Other research and development costs, including laboratory materials and supplies</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984</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(23 )</w:t>
            </w: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b w:val="1"/>
                <w:bCs w:val="1"/>
                <w:color w:val="auto"/>
              </w:rPr>
              <w:t>Internal costs: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3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Employee related expenses</w:t>
            </w: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7,153</w:t>
            </w:r>
          </w:p>
        </w:tc>
        <w:tc>
          <w:tcPr>
            <w:tcW w:w="2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2,207</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320" w:type="dxa"/>
            <w:vAlign w:val="bottom"/>
          </w:tcPr>
          <w:p>
            <w:pPr>
              <w:spacing w:after="0" w:line="196" w:lineRule="exact"/>
              <w:rPr>
                <w:sz w:val="20"/>
                <w:szCs w:val="20"/>
                <w:color w:val="auto"/>
              </w:rPr>
            </w:pPr>
            <w:r>
              <w:rPr>
                <w:rFonts w:ascii="Arial" w:cs="Arial" w:eastAsia="Arial" w:hAnsi="Arial"/>
                <w:sz w:val="18"/>
                <w:szCs w:val="18"/>
                <w:color w:val="auto"/>
              </w:rPr>
              <w:t>Total research and development expenses</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22,560</w:t>
            </w:r>
          </w:p>
        </w:tc>
        <w:tc>
          <w:tcPr>
            <w:tcW w:w="58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9,914</w:t>
            </w:r>
          </w:p>
        </w:tc>
        <w:tc>
          <w:tcPr>
            <w:tcW w:w="80" w:type="dxa"/>
            <w:vAlign w:val="bottom"/>
          </w:tcPr>
          <w:p>
            <w:pPr>
              <w:spacing w:after="0"/>
              <w:rPr>
                <w:sz w:val="17"/>
                <w:szCs w:val="17"/>
                <w:color w:val="auto"/>
              </w:rPr>
            </w:pPr>
          </w:p>
        </w:tc>
      </w:tr>
      <w:tr>
        <w:trPr>
          <w:trHeight w:val="20"/>
        </w:trPr>
        <w:tc>
          <w:tcPr>
            <w:tcW w:w="6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-159385</wp:posOffset>
            </wp:positionV>
            <wp:extent cx="6032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-159385</wp:posOffset>
            </wp:positionV>
            <wp:extent cx="5143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ind w:left="520" w:right="360" w:hanging="512"/>
        <w:spacing w:after="0" w:line="261"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CRO, CMO and other clinical trial costs for the tovorafenib (DAY 101) program and the pimasertib program were $10.5 million and $1.5 million for three months ended June 30, 2022.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General and administrative expenses increased $8.7 million, from $5.5 million for the three months ended June 30, 2021 to $14.2 million for the three months ended June 30, 2022. The increase in general and administrative expenses was primarily due to $4.0 million in employee compensation costs driven by headcount growth, approximately $4.4 million in legal, insurance, and professional services driven by operational support and the cost of operating as a public company, and $0.3 million in facilities costs and other expenses.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2022 and 2021</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six months ended June 30, 2022 and 2021 (unaudited):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jc w:val="right"/>
              <w:ind w:right="901"/>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 Change</w:t>
            </w:r>
          </w:p>
        </w:tc>
        <w:tc>
          <w:tcPr>
            <w:tcW w:w="13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4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Operating Expenses:</w:t>
            </w:r>
          </w:p>
        </w:tc>
        <w:tc>
          <w:tcPr>
            <w:tcW w:w="9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2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37,563</w:t>
            </w:r>
          </w:p>
        </w:tc>
        <w:tc>
          <w:tcPr>
            <w:tcW w:w="26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22,547</w:t>
            </w:r>
          </w:p>
        </w:tc>
        <w:tc>
          <w:tcPr>
            <w:tcW w:w="2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15,016</w:t>
            </w:r>
          </w:p>
        </w:tc>
        <w:tc>
          <w:tcPr>
            <w:tcW w:w="240" w:type="dxa"/>
            <w:vAlign w:val="bottom"/>
          </w:tcPr>
          <w:p>
            <w:pPr>
              <w:spacing w:after="0"/>
              <w:rPr>
                <w:sz w:val="17"/>
                <w:szCs w:val="17"/>
                <w:color w:val="auto"/>
              </w:rPr>
            </w:pPr>
          </w:p>
        </w:tc>
        <w:tc>
          <w:tcPr>
            <w:tcW w:w="1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66.6 %</w:t>
            </w:r>
          </w:p>
        </w:tc>
        <w:tc>
          <w:tcPr>
            <w:tcW w:w="0" w:type="dxa"/>
            <w:vAlign w:val="bottom"/>
          </w:tcPr>
          <w:p>
            <w:pPr>
              <w:spacing w:after="0"/>
              <w:rPr>
                <w:sz w:val="1"/>
                <w:szCs w:val="1"/>
                <w:color w:val="auto"/>
              </w:rPr>
            </w:pPr>
          </w:p>
        </w:tc>
      </w:tr>
      <w:tr>
        <w:trPr>
          <w:trHeight w:val="203"/>
        </w:trPr>
        <w:tc>
          <w:tcPr>
            <w:tcW w:w="480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26,904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8,990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17,914</w:t>
            </w:r>
          </w:p>
        </w:tc>
        <w:tc>
          <w:tcPr>
            <w:tcW w:w="240" w:type="dxa"/>
            <w:vAlign w:val="bottom"/>
          </w:tcPr>
          <w:p>
            <w:pPr>
              <w:spacing w:after="0"/>
              <w:rPr>
                <w:sz w:val="17"/>
                <w:szCs w:val="17"/>
                <w:color w:val="auto"/>
              </w:rPr>
            </w:pPr>
          </w:p>
        </w:tc>
        <w:tc>
          <w:tcPr>
            <w:tcW w:w="1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199.3 %</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380"/>
              <w:spacing w:after="0"/>
              <w:rPr>
                <w:sz w:val="20"/>
                <w:szCs w:val="20"/>
                <w:color w:val="auto"/>
              </w:rPr>
            </w:pPr>
            <w:r>
              <w:rPr>
                <w:rFonts w:ascii="Arial" w:cs="Arial" w:eastAsia="Arial" w:hAnsi="Arial"/>
                <w:sz w:val="18"/>
                <w:szCs w:val="18"/>
                <w:color w:val="auto"/>
              </w:rPr>
              <w:t>Total operating expenses</w:t>
            </w:r>
          </w:p>
        </w:tc>
        <w:tc>
          <w:tcPr>
            <w:tcW w:w="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64,467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31,537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32,930</w:t>
            </w:r>
          </w:p>
        </w:tc>
        <w:tc>
          <w:tcPr>
            <w:tcW w:w="240" w:type="dxa"/>
            <w:vAlign w:val="bottom"/>
          </w:tcPr>
          <w:p>
            <w:pPr>
              <w:spacing w:after="0"/>
              <w:rPr>
                <w:sz w:val="17"/>
                <w:szCs w:val="17"/>
                <w:color w:val="auto"/>
              </w:rPr>
            </w:pPr>
          </w:p>
        </w:tc>
        <w:tc>
          <w:tcPr>
            <w:tcW w:w="1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104.4 %</w:t>
            </w:r>
          </w:p>
        </w:tc>
        <w:tc>
          <w:tcPr>
            <w:tcW w:w="0" w:type="dxa"/>
            <w:vAlign w:val="bottom"/>
          </w:tcPr>
          <w:p>
            <w:pPr>
              <w:spacing w:after="0"/>
              <w:rPr>
                <w:sz w:val="1"/>
                <w:szCs w:val="1"/>
                <w:color w:val="auto"/>
              </w:rPr>
            </w:pPr>
          </w:p>
        </w:tc>
      </w:tr>
      <w:tr>
        <w:trPr>
          <w:trHeight w:val="196"/>
        </w:trPr>
        <w:tc>
          <w:tcPr>
            <w:tcW w:w="48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Loss from operations</w:t>
            </w:r>
          </w:p>
        </w:tc>
        <w:tc>
          <w:tcPr>
            <w:tcW w:w="9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(64,467</w:t>
            </w:r>
          </w:p>
        </w:tc>
        <w:tc>
          <w:tcPr>
            <w:tcW w:w="26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(31,537</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(32,930</w:t>
            </w:r>
          </w:p>
        </w:tc>
        <w:tc>
          <w:tcPr>
            <w:tcW w:w="24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104.4</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4800" w:type="dxa"/>
            <w:vAlign w:val="bottom"/>
          </w:tcPr>
          <w:p>
            <w:pPr>
              <w:ind w:left="20"/>
              <w:spacing w:after="0" w:line="196" w:lineRule="exact"/>
              <w:rPr>
                <w:sz w:val="20"/>
                <w:szCs w:val="20"/>
                <w:color w:val="auto"/>
              </w:rPr>
            </w:pPr>
            <w:r>
              <w:rPr>
                <w:rFonts w:ascii="Arial" w:cs="Arial" w:eastAsia="Arial" w:hAnsi="Arial"/>
                <w:sz w:val="18"/>
                <w:szCs w:val="18"/>
                <w:color w:val="auto"/>
              </w:rPr>
              <w:t>Interest income (expense), net</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191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(14 )</w:t>
            </w: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205</w:t>
            </w:r>
          </w:p>
        </w:tc>
        <w:tc>
          <w:tcPr>
            <w:tcW w:w="240" w:type="dxa"/>
            <w:vAlign w:val="bottom"/>
          </w:tcPr>
          <w:p>
            <w:pPr>
              <w:spacing w:after="0"/>
              <w:rPr>
                <w:sz w:val="17"/>
                <w:szCs w:val="17"/>
                <w:color w:val="auto"/>
              </w:rPr>
            </w:pPr>
          </w:p>
        </w:tc>
        <w:tc>
          <w:tcPr>
            <w:tcW w:w="1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-1464.3 %</w:t>
            </w:r>
          </w:p>
        </w:tc>
        <w:tc>
          <w:tcPr>
            <w:tcW w:w="0" w:type="dxa"/>
            <w:vAlign w:val="bottom"/>
          </w:tcPr>
          <w:p>
            <w:pPr>
              <w:spacing w:after="0"/>
              <w:rPr>
                <w:sz w:val="1"/>
                <w:szCs w:val="1"/>
                <w:color w:val="auto"/>
              </w:rPr>
            </w:pPr>
          </w:p>
        </w:tc>
      </w:tr>
      <w:tr>
        <w:trPr>
          <w:trHeight w:val="203"/>
        </w:trPr>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(1 )</w:t>
            </w:r>
          </w:p>
        </w:tc>
        <w:tc>
          <w:tcPr>
            <w:tcW w:w="280" w:type="dxa"/>
            <w:vAlign w:val="bottom"/>
          </w:tcPr>
          <w:p>
            <w:pPr>
              <w:spacing w:after="0"/>
              <w:rPr>
                <w:sz w:val="17"/>
                <w:szCs w:val="17"/>
                <w:color w:val="auto"/>
              </w:rPr>
            </w:pPr>
          </w:p>
        </w:tc>
        <w:tc>
          <w:tcPr>
            <w:tcW w:w="114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(24 )</w:t>
            </w: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240" w:type="dxa"/>
            <w:vAlign w:val="bottom"/>
          </w:tcPr>
          <w:p>
            <w:pPr>
              <w:spacing w:after="0"/>
              <w:rPr>
                <w:sz w:val="17"/>
                <w:szCs w:val="17"/>
                <w:color w:val="auto"/>
              </w:rPr>
            </w:pPr>
          </w:p>
        </w:tc>
        <w:tc>
          <w:tcPr>
            <w:tcW w:w="1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-95.8 %</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loss</w:t>
            </w:r>
          </w:p>
        </w:tc>
        <w:tc>
          <w:tcPr>
            <w:tcW w:w="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(64,277 )</w:t>
            </w:r>
          </w:p>
        </w:tc>
        <w:tc>
          <w:tcPr>
            <w:tcW w:w="280" w:type="dxa"/>
            <w:vAlign w:val="bottom"/>
          </w:tcPr>
          <w:p>
            <w:pPr>
              <w:spacing w:after="0"/>
              <w:rPr>
                <w:sz w:val="17"/>
                <w:szCs w:val="17"/>
                <w:color w:val="auto"/>
              </w:rPr>
            </w:pPr>
          </w:p>
        </w:tc>
        <w:tc>
          <w:tcPr>
            <w:tcW w:w="114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(31,575 )</w:t>
            </w:r>
          </w:p>
        </w:tc>
        <w:tc>
          <w:tcPr>
            <w:tcW w:w="180" w:type="dxa"/>
            <w:vAlign w:val="bottom"/>
          </w:tcPr>
          <w:p>
            <w:pPr>
              <w:spacing w:after="0"/>
              <w:rPr>
                <w:sz w:val="17"/>
                <w:szCs w:val="17"/>
                <w:color w:val="auto"/>
              </w:rPr>
            </w:pPr>
          </w:p>
        </w:tc>
        <w:tc>
          <w:tcPr>
            <w:tcW w:w="12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(32,702 )</w:t>
            </w:r>
          </w:p>
        </w:tc>
        <w:tc>
          <w:tcPr>
            <w:tcW w:w="1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103.6 %</w:t>
            </w:r>
          </w:p>
        </w:tc>
        <w:tc>
          <w:tcPr>
            <w:tcW w:w="0" w:type="dxa"/>
            <w:vAlign w:val="bottom"/>
          </w:tcPr>
          <w:p>
            <w:pPr>
              <w:spacing w:after="0"/>
              <w:rPr>
                <w:sz w:val="1"/>
                <w:szCs w:val="1"/>
                <w:color w:val="auto"/>
              </w:rPr>
            </w:pPr>
          </w:p>
        </w:tc>
      </w:tr>
      <w:tr>
        <w:trPr>
          <w:trHeight w:val="162"/>
        </w:trPr>
        <w:tc>
          <w:tcPr>
            <w:tcW w:w="48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Net loss attributable to redeemable convertible</w:t>
            </w:r>
          </w:p>
        </w:tc>
        <w:tc>
          <w:tcPr>
            <w:tcW w:w="9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40" w:type="dxa"/>
            <w:vAlign w:val="bottom"/>
            <w:gridSpan w:val="2"/>
            <w:vMerge w:val="restart"/>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4"/>
                <w:szCs w:val="14"/>
                <w:color w:val="auto"/>
              </w:rPr>
            </w:pPr>
          </w:p>
        </w:tc>
        <w:tc>
          <w:tcPr>
            <w:tcW w:w="1140" w:type="dxa"/>
            <w:vAlign w:val="bottom"/>
            <w:gridSpan w:val="2"/>
            <w:vMerge w:val="restart"/>
            <w:shd w:val="clear" w:color="auto" w:fill="CFF0FC"/>
          </w:tcPr>
          <w:p>
            <w:pPr>
              <w:jc w:val="right"/>
              <w:ind w:right="101"/>
              <w:spacing w:after="0"/>
              <w:rPr>
                <w:sz w:val="20"/>
                <w:szCs w:val="20"/>
                <w:color w:val="auto"/>
              </w:rPr>
            </w:pPr>
            <w:r>
              <w:rPr>
                <w:rFonts w:ascii="Arial" w:cs="Arial" w:eastAsia="Arial" w:hAnsi="Arial"/>
                <w:sz w:val="18"/>
                <w:szCs w:val="18"/>
                <w:color w:val="auto"/>
              </w:rPr>
              <w:t>(2,109 )</w:t>
            </w:r>
          </w:p>
        </w:tc>
        <w:tc>
          <w:tcPr>
            <w:tcW w:w="18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2,109</w:t>
            </w:r>
          </w:p>
        </w:tc>
        <w:tc>
          <w:tcPr>
            <w:tcW w:w="240" w:type="dxa"/>
            <w:vAlign w:val="bottom"/>
            <w:shd w:val="clear" w:color="auto" w:fill="CFF0FC"/>
          </w:tcPr>
          <w:p>
            <w:pPr>
              <w:spacing w:after="0"/>
              <w:rPr>
                <w:sz w:val="14"/>
                <w:szCs w:val="14"/>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noncontrolling interests</w:t>
            </w: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800" w:type="dxa"/>
            <w:vAlign w:val="bottom"/>
          </w:tcPr>
          <w:p>
            <w:pPr>
              <w:ind w:left="20"/>
              <w:spacing w:after="0" w:line="162" w:lineRule="exact"/>
              <w:rPr>
                <w:sz w:val="20"/>
                <w:szCs w:val="20"/>
                <w:color w:val="auto"/>
              </w:rPr>
            </w:pPr>
            <w:r>
              <w:rPr>
                <w:rFonts w:ascii="Arial" w:cs="Arial" w:eastAsia="Arial" w:hAnsi="Arial"/>
                <w:sz w:val="18"/>
                <w:szCs w:val="18"/>
                <w:color w:val="auto"/>
              </w:rPr>
              <w:t>Exchange of redeemable noncontrolling interest</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4"/>
                <w:szCs w:val="14"/>
                <w:color w:val="auto"/>
              </w:rPr>
            </w:pPr>
          </w:p>
        </w:tc>
        <w:tc>
          <w:tcPr>
            <w:tcW w:w="1140" w:type="dxa"/>
            <w:vAlign w:val="bottom"/>
            <w:gridSpan w:val="2"/>
            <w:vMerge w:val="restart"/>
          </w:tcPr>
          <w:p>
            <w:pPr>
              <w:jc w:val="right"/>
              <w:ind w:right="101"/>
              <w:spacing w:after="0"/>
              <w:rPr>
                <w:sz w:val="20"/>
                <w:szCs w:val="20"/>
                <w:color w:val="auto"/>
              </w:rPr>
            </w:pPr>
            <w:r>
              <w:rPr>
                <w:rFonts w:ascii="Arial" w:cs="Arial" w:eastAsia="Arial" w:hAnsi="Arial"/>
                <w:sz w:val="18"/>
                <w:szCs w:val="18"/>
                <w:color w:val="auto"/>
              </w:rPr>
              <w:t>(99,994 )</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99,994</w:t>
            </w: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60"/>
              <w:spacing w:after="0" w:line="202" w:lineRule="exact"/>
              <w:rPr>
                <w:sz w:val="20"/>
                <w:szCs w:val="20"/>
                <w:color w:val="auto"/>
              </w:rPr>
            </w:pPr>
            <w:r>
              <w:rPr>
                <w:rFonts w:ascii="Arial" w:cs="Arial" w:eastAsia="Arial" w:hAnsi="Arial"/>
                <w:sz w:val="18"/>
                <w:szCs w:val="18"/>
                <w:color w:val="auto"/>
              </w:rPr>
              <w:t>shares – deemed dividend</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Pr>
          <w:p>
            <w:pPr>
              <w:ind w:left="20"/>
              <w:spacing w:after="0" w:line="196" w:lineRule="exact"/>
              <w:rPr>
                <w:sz w:val="20"/>
                <w:szCs w:val="20"/>
                <w:color w:val="auto"/>
              </w:rPr>
            </w:pPr>
            <w:r>
              <w:rPr>
                <w:rFonts w:ascii="Arial" w:cs="Arial" w:eastAsia="Arial" w:hAnsi="Arial"/>
                <w:sz w:val="18"/>
                <w:szCs w:val="18"/>
                <w:color w:val="auto"/>
              </w:rPr>
              <w:t>Net Loss attributable to common stockholders/members</w:t>
            </w:r>
          </w:p>
        </w:tc>
        <w:tc>
          <w:tcPr>
            <w:tcW w:w="9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(64,277</w:t>
            </w:r>
          </w:p>
        </w:tc>
        <w:tc>
          <w:tcPr>
            <w:tcW w:w="26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(129,460</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65,183</w:t>
            </w:r>
          </w:p>
        </w:tc>
        <w:tc>
          <w:tcPr>
            <w:tcW w:w="24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-50.3</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8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8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-1782445</wp:posOffset>
            </wp:positionV>
            <wp:extent cx="7132320"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-1242060</wp:posOffset>
            </wp:positionV>
            <wp:extent cx="7132320"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36" w:right="279" w:bottom="1440" w:gutter="0" w:footer="0" w:header="0"/>
        </w:sectPr>
      </w:pPr>
    </w:p>
    <w:bookmarkStart w:id="30" w:name="page31"/>
    <w:bookmarkEnd w:id="30"/>
    <w:p>
      <w:pPr>
        <w:ind w:right="8480" w:firstLine="517"/>
        <w:spacing w:after="0" w:line="405" w:lineRule="auto"/>
        <w:tabs>
          <w:tab w:leader="none" w:pos="824"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Percentage not meaningful </w:t>
      </w:r>
      <w:r>
        <w:rPr>
          <w:rFonts w:ascii="Arial" w:cs="Arial" w:eastAsia="Arial" w:hAnsi="Arial"/>
          <w:sz w:val="16"/>
          <w:szCs w:val="16"/>
          <w:i w:val="1"/>
          <w:iCs w:val="1"/>
          <w:color w:val="auto"/>
        </w:rPr>
        <w:t>Research and development expenses</w:t>
      </w:r>
    </w:p>
    <w:p>
      <w:pPr>
        <w:ind w:left="520"/>
        <w:spacing w:after="0"/>
        <w:rPr>
          <w:sz w:val="20"/>
          <w:szCs w:val="20"/>
          <w:color w:val="auto"/>
        </w:rPr>
      </w:pPr>
      <w:r>
        <w:rPr>
          <w:rFonts w:ascii="Arial" w:cs="Arial" w:eastAsia="Arial" w:hAnsi="Arial"/>
          <w:sz w:val="16"/>
          <w:szCs w:val="16"/>
          <w:color w:val="auto"/>
        </w:rPr>
        <w:t>Research and development expenses for the six months ended June 30, 2022 were $37.6 million, compared to $22.5 million for the six months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2021. In the six months ended June 30, 2022 as compared to June 30, 2021, third-party expenses increased by $13.1 million, due primarily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to an increase in clinical trial, manufacturing, and other product development expenses and personnel related expenses increased by $10.4 million resulting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from additional headcount and stock-based compensation. Milestone payments decreased by approximately $8.5 million given the separate payments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$11.0 million paid to Viracta and Merck KGaA for the six months ended June 30, 2021 and $2.5 million paid to Merck KGaA for the same period in 2022.</w:t>
      </w:r>
    </w:p>
    <w:p>
      <w:pPr>
        <w:spacing w:after="0" w:line="200" w:lineRule="exact"/>
        <w:rPr>
          <w:sz w:val="20"/>
          <w:szCs w:val="20"/>
          <w:color w:val="auto"/>
        </w:rPr>
      </w:pPr>
    </w:p>
    <w:p>
      <w:pPr>
        <w:spacing w:after="0" w:line="2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external and internal research and development expenses for the six months ended June 30, 2022 and 2021:</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93"/>
              </w:rPr>
              <w:t>Six Months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76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35"/>
              <w:spacing w:after="0"/>
              <w:rPr>
                <w:sz w:val="20"/>
                <w:szCs w:val="20"/>
                <w:color w:val="auto"/>
              </w:rPr>
            </w:pPr>
            <w:r>
              <w:rPr>
                <w:rFonts w:ascii="Arial" w:cs="Arial" w:eastAsia="Arial" w:hAnsi="Arial"/>
                <w:sz w:val="14"/>
                <w:szCs w:val="14"/>
                <w:b w:val="1"/>
                <w:bCs w:val="1"/>
                <w:color w:val="auto"/>
                <w:w w:val="89"/>
              </w:rPr>
              <w:t>June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90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7"/>
              </w:rPr>
              <w:t>thousands)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External costs:</w:t>
            </w:r>
          </w:p>
        </w:tc>
        <w:tc>
          <w:tcPr>
            <w:tcW w:w="9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Third-party CRO, CMO and other third-party clinical trial costs (1)</w:t>
            </w:r>
          </w:p>
        </w:tc>
        <w:tc>
          <w:tcPr>
            <w:tcW w:w="960" w:type="dxa"/>
            <w:vAlign w:val="bottom"/>
          </w:tcPr>
          <w:p>
            <w:pPr>
              <w:jc w:val="right"/>
              <w:ind w:right="756"/>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4"/>
              </w:rPr>
              <w:t>20,169</w:t>
            </w:r>
          </w:p>
        </w:tc>
        <w:tc>
          <w:tcPr>
            <w:tcW w:w="900" w:type="dxa"/>
            <w:vAlign w:val="bottom"/>
            <w:gridSpan w:val="2"/>
          </w:tcPr>
          <w:p>
            <w:pPr>
              <w:jc w:val="center"/>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8,165</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Milestone payment related to the MRKDG License Agreement</w:t>
            </w:r>
          </w:p>
        </w:tc>
        <w:tc>
          <w:tcPr>
            <w:tcW w:w="9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2,500</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 related to the MRKDG License Agreement</w:t>
            </w:r>
          </w:p>
        </w:tc>
        <w:tc>
          <w:tcPr>
            <w:tcW w:w="9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8,000</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Milestone payment related to the Viracta License Agreement</w:t>
            </w:r>
          </w:p>
        </w:tc>
        <w:tc>
          <w:tcPr>
            <w:tcW w:w="9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3,000</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Other research and development costs, including laboratory materials and supplies</w:t>
            </w:r>
          </w:p>
        </w:tc>
        <w:tc>
          <w:tcPr>
            <w:tcW w:w="9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1,573</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Internal costs:</w:t>
            </w:r>
          </w:p>
        </w:tc>
        <w:tc>
          <w:tcPr>
            <w:tcW w:w="9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Employee related expenses</w:t>
            </w: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13,321</w:t>
            </w:r>
          </w:p>
        </w:tc>
        <w:tc>
          <w:tcPr>
            <w:tcW w:w="2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3,363</w:t>
            </w:r>
          </w:p>
        </w:tc>
        <w:tc>
          <w:tcPr>
            <w:tcW w:w="100" w:type="dxa"/>
            <w:vAlign w:val="bottom"/>
          </w:tcPr>
          <w:p>
            <w:pPr>
              <w:spacing w:after="0"/>
              <w:rPr>
                <w:sz w:val="17"/>
                <w:szCs w:val="17"/>
                <w:color w:val="auto"/>
              </w:rPr>
            </w:pPr>
          </w:p>
        </w:tc>
      </w:tr>
      <w:tr>
        <w:trPr>
          <w:trHeight w:val="23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research and development expenses</w:t>
            </w:r>
          </w:p>
        </w:tc>
        <w:tc>
          <w:tcPr>
            <w:tcW w:w="960" w:type="dxa"/>
            <w:vAlign w:val="bottom"/>
            <w:tcBorders>
              <w:bottom w:val="single" w:sz="8" w:color="auto"/>
            </w:tcBorders>
            <w:shd w:val="clear" w:color="auto" w:fill="CFF0FC"/>
          </w:tcPr>
          <w:p>
            <w:pPr>
              <w:jc w:val="right"/>
              <w:ind w:right="756"/>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37,563</w:t>
            </w:r>
          </w:p>
        </w:tc>
        <w:tc>
          <w:tcPr>
            <w:tcW w:w="2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center"/>
              <w:ind w:right="4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22,547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left="520" w:right="300" w:hanging="512"/>
        <w:spacing w:after="0" w:line="261"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Third-party CRO, CMO and other clinical trial costs for the tovorafenib (DAY 101) program and the pimasertib program were $17.7 million and $2.6 million for six months ended June 30, 2022.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General and administrative expenses increased $17.9 million, from $9.0 million for the six months ended June 30, 2021 to $26.9 million for the six months ended June 30, 2022. The increase in general and administrative expenses was primarily due to $9.9 million in employee compensation costs driven by headcount growth, approximately $7.6 million in legal, insurance, and professional services driven by operational support and the cost of operating as a public company, and $0.4 million in facilities costs and other expenses.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In June 2022, we entered into an equity distribution agreement with Piper Sandler &amp; Co. and JonesTrading Institutional Services LLC, as sales agents, relating to the issuance and sale of shares of our common stock having an aggregate offering price of up to $150.0 million from time to time, or the 2022 ATM. The issuance and sale of these shares by us pursuant to the 2022 ATM were deemed an “at-the-market” offering under the Securities Act. During the six months ended June 30, 2022, we did not sell any shares of our common stock under the 2022 ATM.</w:t>
      </w:r>
    </w:p>
    <w:p>
      <w:pPr>
        <w:spacing w:after="0" w:line="64" w:lineRule="exact"/>
        <w:rPr>
          <w:sz w:val="20"/>
          <w:szCs w:val="20"/>
          <w:color w:val="auto"/>
        </w:rPr>
      </w:pPr>
    </w:p>
    <w:p>
      <w:pPr>
        <w:ind w:right="300" w:firstLine="509"/>
        <w:spacing w:after="0" w:line="248" w:lineRule="auto"/>
        <w:rPr>
          <w:sz w:val="20"/>
          <w:szCs w:val="20"/>
          <w:color w:val="auto"/>
        </w:rPr>
      </w:pPr>
      <w:r>
        <w:rPr>
          <w:rFonts w:ascii="Arial" w:cs="Arial" w:eastAsia="Arial" w:hAnsi="Arial"/>
          <w:sz w:val="18"/>
          <w:szCs w:val="18"/>
          <w:color w:val="auto"/>
        </w:rPr>
        <w:t>In June 2022, we completed a follow-on offering and issued and sold 11,500,000 shares of common stock (including the exercise by the underwriters of their option to purchase an additional 1,500,000 shares of common stock) at a price to the public of $15.00 per share for net proceeds of approximately $161.6 million, after deducting underwriting discounts, commissions, and offering costs.</w:t>
      </w:r>
    </w:p>
    <w:p>
      <w:pPr>
        <w:spacing w:after="0" w:line="276"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In June 2021, we completed our IPO and sold an aggregate of 11,500,000 shares of common stock at a price to the public of $16.00 per share, which included 1,500,000 shares issued upon the full exercise by the underwriters in May 2021 of their option to purchase additional shares of common stock. We received aggregate net proceeds from the IPO of $167.0 million, after deducting underwriting discounts, commissions, and offering costs of $17.0 million. Prior to our IPO, we had funded our operations through the sale of our redeemable convertible preferred shares and convertible notes. We had previously raised approximately $192.0 million in gross proceeds from the sale and issuance of our Series A and Series B redeemable convertible preferred shares and convertible notes.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1" w:name="page32"/>
    <w:bookmarkEnd w:id="31"/>
    <w:p>
      <w:pPr>
        <w:ind w:right="460"/>
        <w:spacing w:after="0" w:line="261" w:lineRule="auto"/>
        <w:rPr>
          <w:sz w:val="20"/>
          <w:szCs w:val="20"/>
          <w:color w:val="auto"/>
        </w:rPr>
      </w:pPr>
      <w:r>
        <w:rPr>
          <w:rFonts w:ascii="Arial" w:cs="Arial" w:eastAsia="Arial" w:hAnsi="Arial"/>
          <w:sz w:val="18"/>
          <w:szCs w:val="18"/>
          <w:color w:val="auto"/>
        </w:rPr>
        <w:t>As of June 30, 2022, we had an accumulated deficit of $191.8 million and $388.9 million in cash and cash equivalents. We believe our cash and cash equivalents will be sufficient to satisfy our cash requirements over the next 12 months and into 2025.</w:t>
      </w:r>
    </w:p>
    <w:p>
      <w:pPr>
        <w:spacing w:after="0" w:line="171"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Our primary use of cash is to fund operating expenses, which consist primarily of research and development expenditures including our license, clinical trial, and laboratory costs as well as to a lesser extent, general and administrative expenditures including our salary and consulting expenses. Cash used to fund operating expenses is impacted by the timing of when we pay these expenses, as reflected in the change in our outstanding accounts payable and accrued expenses. Our material cash requirements include the following contractual and other obligations.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30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We have operating lease obligations for office spaces. As of June 30, 2022, the Company had fixed lease payment obligations of approximately $0.5 million payable within 12 months.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Research Organizations and Contract Manufacturing Organizations</w:t>
      </w:r>
    </w:p>
    <w:p>
      <w:pPr>
        <w:spacing w:after="0" w:line="306"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We enter into contracts in the normal course of business with CROs for clinical trials, with CMOs for clinical supplies manufacturing and with other vendors for preclinical studies, supplies and other services and products for operating purposes. These contracts generally provide for termination on notice and may have termination fees and non-cancellable commitments. As of June 30, 2022, there were no amounts accrued related to termination and cancellation charges as these are not probable, and our non-cancelable obligations under these agreements were not material.</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w:t>
      </w:r>
    </w:p>
    <w:p>
      <w:pPr>
        <w:spacing w:after="0" w:line="306" w:lineRule="exact"/>
        <w:rPr>
          <w:sz w:val="20"/>
          <w:szCs w:val="20"/>
          <w:color w:val="auto"/>
        </w:rPr>
      </w:pPr>
    </w:p>
    <w:p>
      <w:pPr>
        <w:jc w:val="both"/>
        <w:ind w:right="140" w:firstLine="509"/>
        <w:spacing w:after="0" w:line="241" w:lineRule="auto"/>
        <w:rPr>
          <w:sz w:val="20"/>
          <w:szCs w:val="20"/>
          <w:color w:val="auto"/>
        </w:rPr>
      </w:pPr>
      <w:r>
        <w:rPr>
          <w:rFonts w:ascii="Arial" w:cs="Arial" w:eastAsia="Arial" w:hAnsi="Arial"/>
          <w:sz w:val="18"/>
          <w:szCs w:val="18"/>
          <w:color w:val="auto"/>
        </w:rPr>
        <w:t>We have entered into licensing agreements, which require us to pay milestones contingent upon meeting of specific events. We made a milestone payment of $2.5 million in the second quarter of 2022 related to the first dosing of a patient in a first clinical trial of a product containing pimasertib. We are required to pay royalties on sales of products developed under these agreements. All our products are in development as of June 30, 2022 and no such royalties are due. As of June 30, 2022, we do not have any contingent payment obligations since the amount, timing and likelihood of such payments are not known.</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for the periods presented:</w:t>
      </w:r>
    </w:p>
    <w:p>
      <w:pPr>
        <w:spacing w:after="0" w:line="244"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3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96"/>
        </w:trPr>
        <w:tc>
          <w:tcPr>
            <w:tcW w:w="5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(51,350</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(23,149</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7"/>
                <w:szCs w:val="17"/>
                <w:color w:val="auto"/>
              </w:rPr>
            </w:pPr>
          </w:p>
        </w:tc>
        <w:tc>
          <w:tcPr>
            <w:tcW w:w="106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(6,012 )</w:t>
            </w:r>
          </w:p>
        </w:tc>
        <w:tc>
          <w:tcPr>
            <w:tcW w:w="2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(8,000 )</w:t>
            </w:r>
          </w:p>
        </w:tc>
      </w:tr>
      <w:tr>
        <w:trPr>
          <w:trHeight w:val="203"/>
        </w:trPr>
        <w:tc>
          <w:tcPr>
            <w:tcW w:w="53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161,930</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297,417</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380" w:type="dxa"/>
            <w:vAlign w:val="bottom"/>
          </w:tcPr>
          <w:p>
            <w:pPr>
              <w:spacing w:after="0" w:line="196" w:lineRule="exact"/>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104,568</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266,268</w:t>
            </w:r>
          </w:p>
        </w:tc>
        <w:tc>
          <w:tcPr>
            <w:tcW w:w="80" w:type="dxa"/>
            <w:vAlign w:val="bottom"/>
          </w:tcPr>
          <w:p>
            <w:pPr>
              <w:spacing w:after="0"/>
              <w:rPr>
                <w:sz w:val="17"/>
                <w:szCs w:val="17"/>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-159385</wp:posOffset>
            </wp:positionV>
            <wp:extent cx="5143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-159385</wp:posOffset>
            </wp:positionV>
            <wp:extent cx="4318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4" w:lineRule="exact"/>
        <w:rPr>
          <w:sz w:val="20"/>
          <w:szCs w:val="20"/>
          <w:color w:val="auto"/>
        </w:rPr>
      </w:pPr>
    </w:p>
    <w:p>
      <w:pPr>
        <w:ind w:right="140" w:firstLine="509"/>
        <w:spacing w:after="0" w:line="279" w:lineRule="auto"/>
        <w:rPr>
          <w:sz w:val="20"/>
          <w:szCs w:val="20"/>
          <w:color w:val="auto"/>
        </w:rPr>
      </w:pPr>
      <w:r>
        <w:rPr>
          <w:rFonts w:ascii="Arial" w:cs="Arial" w:eastAsia="Arial" w:hAnsi="Arial"/>
          <w:sz w:val="16"/>
          <w:szCs w:val="16"/>
          <w:color w:val="auto"/>
        </w:rPr>
        <w:t>Net cash used in operating activities for the six months ended June 30, 2022 was $51.4 million, consisting of our net loss of $64.3 million, net increase of approximately $0.9 million in net operating assets and liabilities and by non-cash charges of $12.0 million, which is comprised of stock-based compensation expense of $11.8 million. Changes in operating assets and liabilities were primarily related to an increase in accrued expenses and other current liabilities of $5.2 million. This was partially offset by an increase to prepaid expenses and other assets of $2.6 million, a decrease to accounts payable of $1.3 million, an increase to deposits and other long-term assets of $0.3 million, and an increase to operating lease liabilities of $0.1 million.</w:t>
      </w:r>
    </w:p>
    <w:p>
      <w:pPr>
        <w:spacing w:after="0" w:line="51"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Net cash used in operating activities for the six months ended June 30, 2021 was $23.1 million, consisting of our net loss of $31.6 million, net decrease of $2.7 million in net operating assets and liabilities, partially offset by non-cash charges of $11.2 million. Changes in operating assets and liabilities were primarily related to an increase in prepaid expenses and other current assets of $4.7 million, which includes $3.0 million prepayment of the Viracta license milestone, partially offset by an increase in accrued expenses and other current liabilities of $2.6 million. Our non-cash charges primarily consisted of $3.1 million in share-based compensation</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2" w:name="page33"/>
    <w:bookmarkEnd w:id="32"/>
    <w:p>
      <w:pPr>
        <w:spacing w:after="0" w:line="261" w:lineRule="auto"/>
        <w:rPr>
          <w:sz w:val="20"/>
          <w:szCs w:val="20"/>
          <w:color w:val="auto"/>
        </w:rPr>
      </w:pPr>
      <w:r>
        <w:rPr>
          <w:rFonts w:ascii="Arial" w:cs="Arial" w:eastAsia="Arial" w:hAnsi="Arial"/>
          <w:sz w:val="18"/>
          <w:szCs w:val="18"/>
          <w:color w:val="auto"/>
        </w:rPr>
        <w:t>expense. We also paid $8.0 million related to the MRKDG License Agreement, which was recognized as research and development expenses and presented in investing activities in our condensed consolidated statements of cash flows.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4"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For the six months ended June 30, 2022, we had $6.0 million in cash used in investing activities that was related to the purchase of short-term investments and property and equipment expenditures.</w:t>
      </w:r>
    </w:p>
    <w:p>
      <w:pPr>
        <w:spacing w:after="0" w:line="63"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Net cash used in investing activities for the six months ended June 30, 2021 was $8.0 million, attributable to the milestone payment under the MRKDG License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4" w:lineRule="exact"/>
        <w:rPr>
          <w:sz w:val="20"/>
          <w:szCs w:val="20"/>
          <w:color w:val="auto"/>
        </w:rPr>
      </w:pPr>
    </w:p>
    <w:p>
      <w:pPr>
        <w:ind w:right="20" w:firstLine="509"/>
        <w:spacing w:after="0" w:line="294" w:lineRule="auto"/>
        <w:rPr>
          <w:sz w:val="20"/>
          <w:szCs w:val="20"/>
          <w:color w:val="auto"/>
        </w:rPr>
      </w:pPr>
      <w:r>
        <w:rPr>
          <w:rFonts w:ascii="Arial" w:cs="Arial" w:eastAsia="Arial" w:hAnsi="Arial"/>
          <w:sz w:val="16"/>
          <w:szCs w:val="16"/>
          <w:color w:val="auto"/>
        </w:rPr>
        <w:t>Net cash provided by financing activities for the six months ended June 30, 2022 was $162.0 million, primarily attributable to the net proceeds from the issuance of common stock in connection with our follow-on offering of common stock. Additionally, there was $0.3 million of net cash provided by financing activities related to proceeds from the issuance of common stock upon purchases made under our 2021 Employee Stock Purchase Plan.</w:t>
      </w:r>
    </w:p>
    <w:p>
      <w:pPr>
        <w:spacing w:after="0" w:line="39"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Net cash provided by financing activities for the six months ended June 30, 2021 was $297.4 million, attributable to $167.7 million related to the net proceeds from the issuance of common stock in connection with the IPO, and $129.8 million related to the net proceeds from the sale and issuance of Series B redeemable convertible preferred shares.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08"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Since our inception, we have incurred significant operating losses. We expect to continue to incur significant expenses and increasing operating losses for the foreseeable future in connection with our ongoing activities.</w:t>
      </w:r>
    </w:p>
    <w:p>
      <w:pPr>
        <w:spacing w:after="0" w:line="171"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We believe our existing cash, cash equivalents, and short-term investments will enable us to fund our operating expenses and capital expenditure requirements into 2025. We have based this estimate on assumptions that may prove to be imprecise, and we could use our available capital resources sooner than we currently expect.</w:t>
      </w:r>
    </w:p>
    <w:p>
      <w:pPr>
        <w:spacing w:after="0" w:line="182"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As a result of anticipated expenditures, we will need to obtain substantial additional financing in connection with our continuing operations. Until such time, if ever, as we cannot generate substantial revenue from product sales, we expect to finance our cash needs through a combination of equity offerings, debt financings, collaborations, strategic alliances and marketing, distribution or licensing arrangements. Adequate additional funds may not be available to us on acceptable terms, or at all.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175"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88"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182"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Our ability to raise additional funds may be adversely impacted by potential worsening global economic conditions and disruptions to and volatility in the credit and financial markets in the United States and worldwide resulting from the ongoing COVID-19 pandemic or otherwise. Because of the numerous risks and uncertainties associated with product development, we cannot predict the timing or amount of increased expenses and cannot assure you that we will ever be profitable or generate positive cash flow from operating activities.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We did not during the periods presented, and we do not currently have, any off-balance sheet arrangements, as defined in the rules and regulations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08"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Our critical accounting policies are disclosed in our audited consolidated financial statements for the year ended December 31, 2021, and the related notes, included in our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Refer to Note 2 of the notes to our unaudited condensed consolidated financial statements included elsewhere in this Quarterly Report on Form 10-Q for a summary of recently issued and adopted accounting pronouncements.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08" w:lineRule="exact"/>
        <w:rPr>
          <w:sz w:val="20"/>
          <w:szCs w:val="20"/>
          <w:color w:val="auto"/>
        </w:rPr>
      </w:pPr>
    </w:p>
    <w:p>
      <w:pPr>
        <w:ind w:right="160" w:firstLine="509"/>
        <w:spacing w:after="0" w:line="268" w:lineRule="auto"/>
        <w:rPr>
          <w:sz w:val="20"/>
          <w:szCs w:val="20"/>
          <w:color w:val="auto"/>
        </w:rPr>
      </w:pPr>
      <w:r>
        <w:rPr>
          <w:rFonts w:ascii="Arial" w:cs="Arial" w:eastAsia="Arial" w:hAnsi="Arial"/>
          <w:sz w:val="16"/>
          <w:szCs w:val="16"/>
          <w:color w:val="auto"/>
        </w:rPr>
        <w:t>As an emerging growth company, or EGC, under the Jumpstart Our Business Startups Act of 2012, or JOBS Act, we can take advantage of an extended transition period for complying with new or revised accounting standards. This provision allows an EGC to delay the adoption of some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As of June 30, 2022, management, with the participation of our Principal Executive Officer and Principal Financial and Accounting Officer, performed an evaluation of the effectiveness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and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and Accounting Officer concluded that, as of June 30, 2022, our disclosure controls and procedures were effective at a reasonable assurance level.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i w:val="1"/>
          <w:iCs w:val="1"/>
          <w:color w:val="auto"/>
        </w:rPr>
        <w:t>Investing in our common stock involves a high degree of risk. Before making your decision to invest in shares of our common stock, you should carefully consider the risks and uncertainties described below, together with the other information contained in this quarterly report,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several risks and uncertainties, including those immediately following this summary. Some of these risks are:</w:t>
      </w:r>
    </w:p>
    <w:p>
      <w:pPr>
        <w:spacing w:after="0" w:line="104" w:lineRule="exact"/>
        <w:rPr>
          <w:sz w:val="20"/>
          <w:szCs w:val="20"/>
          <w:color w:val="auto"/>
        </w:rPr>
      </w:pPr>
    </w:p>
    <w:p>
      <w:pPr>
        <w:ind w:left="520" w:right="20" w:hanging="512"/>
        <w:spacing w:after="0" w:line="248"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a limited operating history, have not completed any clinical trials beyond Phase 1 and enrollment of Phase 2, have no products approved for commercial sale and have not generated any revenue, which may make it difficult for investors to evaluate our current business and likelihood of success and viability.</w:t>
      </w:r>
    </w:p>
    <w:p>
      <w:pPr>
        <w:spacing w:after="0" w:line="73" w:lineRule="exact"/>
        <w:rPr>
          <w:rFonts w:ascii="Arial" w:cs="Arial" w:eastAsia="Arial" w:hAnsi="Arial"/>
          <w:sz w:val="18"/>
          <w:szCs w:val="18"/>
          <w:color w:val="auto"/>
        </w:rPr>
      </w:pPr>
    </w:p>
    <w:p>
      <w:pPr>
        <w:ind w:left="520" w:right="660" w:hanging="512"/>
        <w:spacing w:after="0" w:line="261"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incurred significant net losses since our inception and have not generated any revenue. We expect to incur continued losses for the foreseeable future and may never achieve or maintain profitability.</w:t>
      </w:r>
    </w:p>
    <w:p>
      <w:pPr>
        <w:spacing w:after="0" w:line="62" w:lineRule="exact"/>
        <w:rPr>
          <w:rFonts w:ascii="Arial" w:cs="Arial" w:eastAsia="Arial" w:hAnsi="Arial"/>
          <w:sz w:val="18"/>
          <w:szCs w:val="18"/>
          <w:color w:val="auto"/>
        </w:rPr>
      </w:pPr>
    </w:p>
    <w:p>
      <w:pPr>
        <w:ind w:left="520" w:right="80" w:hanging="512"/>
        <w:spacing w:after="0" w:line="261"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lead product candidate, tovorafenib (DAY101), which is currently in clinical development and which has not completed a pivotal trial.</w:t>
      </w:r>
    </w:p>
    <w:p>
      <w:pPr>
        <w:spacing w:after="0" w:line="62" w:lineRule="exact"/>
        <w:rPr>
          <w:rFonts w:ascii="Arial" w:cs="Arial" w:eastAsia="Arial" w:hAnsi="Arial"/>
          <w:sz w:val="18"/>
          <w:szCs w:val="18"/>
          <w:color w:val="auto"/>
        </w:rPr>
      </w:pPr>
    </w:p>
    <w:p>
      <w:pPr>
        <w:ind w:left="520" w:right="180" w:hanging="512"/>
        <w:spacing w:after="0" w:line="261"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generate revenue and achieve profitability depends significantly on our ability to achieve several objectives relating to the discovery or identification, development and commercialization of our product candidates.</w:t>
      </w:r>
    </w:p>
    <w:p>
      <w:pPr>
        <w:spacing w:after="0" w:line="62" w:lineRule="exact"/>
        <w:rPr>
          <w:rFonts w:ascii="Arial" w:cs="Arial" w:eastAsia="Arial" w:hAnsi="Arial"/>
          <w:sz w:val="18"/>
          <w:szCs w:val="18"/>
          <w:color w:val="auto"/>
        </w:rPr>
      </w:pPr>
    </w:p>
    <w:p>
      <w:pPr>
        <w:ind w:left="520" w:right="20" w:hanging="512"/>
        <w:spacing w:after="0" w:line="248"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73" w:lineRule="exact"/>
        <w:rPr>
          <w:rFonts w:ascii="Arial" w:cs="Arial" w:eastAsia="Arial" w:hAnsi="Arial"/>
          <w:sz w:val="18"/>
          <w:szCs w:val="18"/>
          <w:color w:val="auto"/>
        </w:rPr>
      </w:pPr>
    </w:p>
    <w:p>
      <w:pPr>
        <w:ind w:left="520" w:right="200" w:hanging="512"/>
        <w:spacing w:after="0" w:line="248"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Our product candidates may not have favorable results in later clinical trials, if any, or receive regulatory approval.</w:t>
      </w:r>
    </w:p>
    <w:p>
      <w:pPr>
        <w:spacing w:after="0" w:line="73" w:lineRule="exact"/>
        <w:rPr>
          <w:rFonts w:ascii="Arial" w:cs="Arial" w:eastAsia="Arial" w:hAnsi="Arial"/>
          <w:sz w:val="18"/>
          <w:szCs w:val="18"/>
          <w:color w:val="auto"/>
        </w:rPr>
      </w:pPr>
    </w:p>
    <w:p>
      <w:pPr>
        <w:ind w:left="520" w:right="620" w:hanging="512"/>
        <w:spacing w:after="0" w:line="261"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rely on data from an investigator-initiated trial Phase 1 clinical trial in our regulatory filings and we do not control the trial operations or reporting of the results.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fail to demonstrate safety and efficacy to our stakeholders, our reputation may be harmed and our business will suffer.</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COVID-19 pandemic could adversely impact our business, including our clinical trials and clinical trial operations.</w:t>
      </w:r>
    </w:p>
    <w:p>
      <w:pPr>
        <w:spacing w:after="0" w:line="103" w:lineRule="exact"/>
        <w:rPr>
          <w:rFonts w:ascii="Arial" w:cs="Arial" w:eastAsia="Arial" w:hAnsi="Arial"/>
          <w:sz w:val="18"/>
          <w:szCs w:val="18"/>
          <w:color w:val="auto"/>
        </w:rPr>
      </w:pPr>
    </w:p>
    <w:p>
      <w:pPr>
        <w:ind w:left="520" w:hanging="512"/>
        <w:spacing w:after="0" w:line="261"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development and commercialization of pharmaceutical products are subject to extensive regulation, and we may not obtain regulatory approvals for tovorafenib (DAY101), pimasertib or any future product candidates, on a timely basis or at all.</w:t>
      </w:r>
    </w:p>
    <w:p>
      <w:pPr>
        <w:spacing w:after="0" w:line="62" w:lineRule="exact"/>
        <w:rPr>
          <w:rFonts w:ascii="Arial" w:cs="Arial" w:eastAsia="Arial" w:hAnsi="Arial"/>
          <w:sz w:val="18"/>
          <w:szCs w:val="18"/>
          <w:color w:val="auto"/>
        </w:rPr>
      </w:pPr>
    </w:p>
    <w:p>
      <w:pPr>
        <w:ind w:left="520" w:right="160" w:hanging="512"/>
        <w:spacing w:after="0" w:line="261"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manufacture of our product candidates is complex. Our third-party manufacturers may encounter difficulties in production, which could delay or entirely halt their ability to supply our product candidates for clinical trials or, if approved, for commercial sale.</w:t>
      </w:r>
    </w:p>
    <w:p>
      <w:pPr>
        <w:spacing w:after="0" w:line="62"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our executive officers and key employees and to attract, retain and motivate qualified personnel and manage our human capital.</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need to grow the size and capabilities of our organization, and we may experience difficulties in managing this growth.</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6" w:name="page37"/>
    <w:bookmarkEnd w:id="36"/>
    <w:p>
      <w:pPr>
        <w:ind w:left="520" w:right="100" w:hanging="512"/>
        <w:spacing w:after="0" w:line="243"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or other necessary rights for our products and technology, or if the scope of the patent protection obtained is not sufficiently broad or our rights under licensed patents are not sufficiently broad, our competitors could develop and commercialize products and technology similar or identical to ours, and our ability to successfully commercialize our products and technology may be adversely affected.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0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i w:val="1"/>
          <w:iCs w:val="1"/>
          <w:color w:val="auto"/>
        </w:rPr>
        <w:t>We have a limited operating history, have not completed any clinical trials beyond Phase 1 and enrollment of a Phase 2, have no products approved for commercial sale and have not generated any revenue, which may make it difficult for investors to evaluate our current business and likelihood of success and viability.</w:t>
      </w:r>
    </w:p>
    <w:p>
      <w:pPr>
        <w:spacing w:after="0" w:line="74"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We are a clinical-stage biopharmaceutical company with a limited operating history upon which you can evaluate our business and prospects. We commenced operations in 2018, have no products approved for commercial sale and have never generated any revenue. Investment in drug development is a highly speculative undertaking and involves a substantial degree of risk. To date, we have devoted substantially all of our resources to identifying, acquiring and developing our product candidates and building our pipeline, organizing and staffing our company, business planning, establishing and maintaining our intellectual property portfolio, establishing arrangements with third parties for the manufacture of our product candidates, raising capital and providing general and administrative support for these operations.</w:t>
      </w:r>
    </w:p>
    <w:p>
      <w:pPr>
        <w:spacing w:after="0" w:line="17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Since our inception, we have focused substantially all of our efforts and financial resources on the clinical development of our lead product candidate, tovorafenib (DAY101), initially for relapsed or progressive low-grade gliomas, or pLGGs, and our other current product candidate, pimasertib, an orally available small molecule inhibitor of MEK kinase, which we intend to use in combination with tovorafenib (DAY101) for the treatment of RAS and RAF-dependent tumors. To date, we have financed our operations primarily through the sale and issuance of redeemable convertible preferred shares, convertible notes, and the completion of our initial public offering, or IPO.</w:t>
      </w:r>
    </w:p>
    <w:p>
      <w:pPr>
        <w:spacing w:after="0" w:line="189" w:lineRule="exact"/>
        <w:rPr>
          <w:sz w:val="20"/>
          <w:szCs w:val="20"/>
          <w:color w:val="auto"/>
        </w:rPr>
      </w:pPr>
    </w:p>
    <w:p>
      <w:pPr>
        <w:ind w:right="360"/>
        <w:spacing w:after="0" w:line="243" w:lineRule="auto"/>
        <w:rPr>
          <w:sz w:val="20"/>
          <w:szCs w:val="20"/>
          <w:color w:val="auto"/>
        </w:rPr>
      </w:pPr>
      <w:r>
        <w:rPr>
          <w:rFonts w:ascii="Arial" w:cs="Arial" w:eastAsia="Arial" w:hAnsi="Arial"/>
          <w:sz w:val="18"/>
          <w:szCs w:val="18"/>
          <w:color w:val="auto"/>
        </w:rPr>
        <w:t>We have not yet demonstrated an ability to successfully complete any clinical trials beyond Phase 1,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18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29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We have incurred significant net losses since our inception and have not generated any revenue. We expect to incur continued losses for the foreseeable future and may never achieve or maintain profitability.</w:t>
      </w:r>
    </w:p>
    <w:p>
      <w:pPr>
        <w:spacing w:after="0" w:line="6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We have incurred significant net losses in each reporting period since our inception, have not generated any revenue to date and have financed our operations principally through private placements of our redeemable convertible preferred shares, our convertible notes and the completion of our IPO. For the six months ended June 30, 2022 and 2021, we reported a net loss of $64.3 million and $31.6 million, respectively. We had an accumulated deficit of $191.8 million as of June 30, 2022. We expect to incur increasing levels of operating losses for the foreseeable future, particularly as we advance tovorafenib (DAY101) and pimasertib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lead product candidate and other product candidates, including our ongoing pivotal Phase 2 clinical trial for tovorafenib (DAY101) (FIREFLY-1), our planned Phase 3 clinical trial of tovorafenib (DAY101) as a potential frontline therapy in pLGG, our planned Phase 2 clinical trial of tovorafenib (DAY101) in adult RAS/RAF-altered solid tumors and our Phase 1b/2 trial for tovorafenib (DAY101) and pimasertib, and development of and subsequent Investigational New Drug Applications, or INDs, for any future product candidates we may choose to pursue. In addition, if we obtain marketing approval for tovorafenib (DAY101), pimasertib, or another product candidate, we will incur significant sales, marketing and outsourced manufacturing expenses in connection with the commercialization of tovorafenib (DAY101), pimasertib, or such other product candidate, respectively. We have also incurred, and will continue to incur, additional costs associated with operating as a public company.</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7" w:name="page38"/>
    <w:bookmarkEnd w:id="37"/>
    <w:p>
      <w:pPr>
        <w:ind w:right="140"/>
        <w:spacing w:after="0" w:line="279" w:lineRule="auto"/>
        <w:rPr>
          <w:sz w:val="20"/>
          <w:szCs w:val="20"/>
          <w:color w:val="auto"/>
        </w:rPr>
      </w:pPr>
      <w:r>
        <w:rPr>
          <w:rFonts w:ascii="Arial" w:cs="Arial" w:eastAsia="Arial" w:hAnsi="Arial"/>
          <w:sz w:val="16"/>
          <w:szCs w:val="16"/>
          <w:color w:val="auto"/>
        </w:rPr>
        <w:t>As a result, we expect to continue to incur significant and increasing net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In addition,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26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tovorafenib (DAY101), which is currently in clinical development and which has not completed a pivotal trial.</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Our future success is highly dependent on our ability to timely complete successful clinical trials, obtain regulatory approval for, and then successfully commercialize, our product candidates. We are early in our development efforts and our lead product candidate, tovorafenib (DAY101), is currently in a pivotal Phase 2 clinical trial. Our other current product candidate, pimasertib, is in an earlier stage of development. We currently have no products that are approved for sale in any jurisdiction. There can be no assurance that tovorafenib (DAY101), pimasertib or any future product candidates we develop, if any, will achieve success in their clinical trials or obtain regulatory approval.</w:t>
      </w:r>
    </w:p>
    <w:p>
      <w:pPr>
        <w:spacing w:after="0" w:line="17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Our ability to generate product revenue, which we do not expect will occur for many years, if ever, will depend heavily on the successful development and eventual commercialization of our lead product candidate, tovorafenib (DAY101). The success of tovorafenib (DAY101), will depend on several factors, including the following:</w:t>
      </w:r>
    </w:p>
    <w:p>
      <w:pPr>
        <w:spacing w:after="0" w:line="74"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and timely completion of current and future clinical trials resulting in attractive, competitive target product profiles;</w:t>
      </w:r>
    </w:p>
    <w:p>
      <w:pPr>
        <w:spacing w:after="0" w:line="103" w:lineRule="exact"/>
        <w:rPr>
          <w:rFonts w:ascii="Arial" w:cs="Arial" w:eastAsia="Arial" w:hAnsi="Arial"/>
          <w:sz w:val="18"/>
          <w:szCs w:val="18"/>
          <w:color w:val="auto"/>
        </w:rPr>
      </w:pPr>
    </w:p>
    <w:p>
      <w:pPr>
        <w:ind w:left="520" w:right="740" w:hanging="512"/>
        <w:spacing w:after="0" w:line="261"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of NDAs by the U.S. Food and Drug Administration, or FDA or other similar clinical trial applications from foreign regulatory authorities for our future clinical trials for our pipeline product candidates;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timely and successful enrollment of patients in, and completion of, clinical trials with favorable results;</w:t>
      </w:r>
    </w:p>
    <w:p>
      <w:pPr>
        <w:spacing w:after="0" w:line="103" w:lineRule="exact"/>
        <w:rPr>
          <w:rFonts w:ascii="Arial" w:cs="Arial" w:eastAsia="Arial" w:hAnsi="Arial"/>
          <w:sz w:val="18"/>
          <w:szCs w:val="18"/>
          <w:color w:val="auto"/>
        </w:rPr>
      </w:pPr>
    </w:p>
    <w:p>
      <w:pPr>
        <w:ind w:left="520" w:right="80" w:hanging="512"/>
        <w:spacing w:after="0" w:line="261"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demonstration of safety, efficacy and acceptable risk-benefit profiles of our product candidates to the satisfaction of the FDA and foreign regulatory agencies and attractive to physicians, patients, advocates, payors and caregivers;</w:t>
      </w:r>
    </w:p>
    <w:p>
      <w:pPr>
        <w:spacing w:after="0" w:line="62" w:lineRule="exact"/>
        <w:rPr>
          <w:rFonts w:ascii="Arial" w:cs="Arial" w:eastAsia="Arial" w:hAnsi="Arial"/>
          <w:sz w:val="18"/>
          <w:szCs w:val="18"/>
          <w:color w:val="auto"/>
        </w:rPr>
      </w:pPr>
    </w:p>
    <w:p>
      <w:pPr>
        <w:ind w:left="520" w:right="340" w:hanging="512"/>
        <w:spacing w:after="0" w:line="291"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or that of our collaborators, to develop and obtain clearance or approval of companion diagnostics, on a timely basis, or at all, and an adequate supply of these companion diagnostics and access to these companion diagnostics that outpaces demand;</w:t>
      </w:r>
    </w:p>
    <w:p>
      <w:pPr>
        <w:spacing w:after="0" w:line="38" w:lineRule="exact"/>
        <w:rPr>
          <w:rFonts w:ascii="Arial" w:cs="Arial" w:eastAsia="Arial" w:hAnsi="Arial"/>
          <w:sz w:val="17"/>
          <w:szCs w:val="17"/>
          <w:color w:val="auto"/>
        </w:rPr>
      </w:pPr>
    </w:p>
    <w:p>
      <w:pPr>
        <w:ind w:left="520" w:right="300" w:hanging="512"/>
        <w:spacing w:after="0" w:line="261"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receipt and related terms of marketing approvals from applicable regulatory authorities, including the completion of any required post-marketing studies or trials and available funding to perform any post-marketing commitments;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raising additional funds necessary to complete clinical development of and commercialize our product candidates;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obtaining and maintaining patent, trade secret and other intellectual property protection and regulatory exclusivity for our product candidates;</w:t>
      </w:r>
    </w:p>
    <w:p>
      <w:pPr>
        <w:spacing w:after="0" w:line="115" w:lineRule="exact"/>
        <w:rPr>
          <w:rFonts w:ascii="Arial" w:cs="Arial" w:eastAsia="Arial" w:hAnsi="Arial"/>
          <w:sz w:val="17"/>
          <w:szCs w:val="17"/>
          <w:color w:val="auto"/>
        </w:rPr>
      </w:pPr>
    </w:p>
    <w:p>
      <w:pPr>
        <w:ind w:left="520" w:right="260" w:hanging="512"/>
        <w:spacing w:after="0" w:line="261"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 and ensuring a resilient, effective supply chain that produces supply that outpaces demand;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developing and implementing marketing and reimbursement strategies, as well as adequate demand forecasts for supply and sales planning;</w:t>
      </w:r>
    </w:p>
    <w:p>
      <w:pPr>
        <w:spacing w:after="0" w:line="115" w:lineRule="exact"/>
        <w:rPr>
          <w:rFonts w:ascii="Arial" w:cs="Arial" w:eastAsia="Arial" w:hAnsi="Arial"/>
          <w:sz w:val="17"/>
          <w:szCs w:val="17"/>
          <w:color w:val="auto"/>
        </w:rPr>
      </w:pPr>
    </w:p>
    <w:p>
      <w:pPr>
        <w:ind w:left="520" w:right="160" w:hanging="512"/>
        <w:spacing w:after="0" w:line="248"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 in a market where promotional sales approaches are rapidly moving to digital platforms and rep access to major institutions remains uncertain;</w:t>
      </w:r>
    </w:p>
    <w:p>
      <w:pPr>
        <w:spacing w:after="0" w:line="73" w:lineRule="exact"/>
        <w:rPr>
          <w:rFonts w:ascii="Arial" w:cs="Arial" w:eastAsia="Arial" w:hAnsi="Arial"/>
          <w:sz w:val="18"/>
          <w:szCs w:val="18"/>
          <w:color w:val="auto"/>
        </w:rPr>
      </w:pPr>
    </w:p>
    <w:p>
      <w:pPr>
        <w:ind w:left="520" w:right="480" w:hanging="512"/>
        <w:spacing w:after="0" w:line="261"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 underpinned by adequate health economic data and a meaningful value proposition;</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effectively competing with other therapies, including those that have not yet entered the market;</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obtaining and maintaining third-party payor coverage and adequate reimbursement in both public and private payor spaces across multiple countries;</w:t>
      </w:r>
    </w:p>
    <w:p>
      <w:pPr>
        <w:spacing w:after="0" w:line="126" w:lineRule="exact"/>
        <w:rPr>
          <w:rFonts w:ascii="Arial" w:cs="Arial" w:eastAsia="Arial" w:hAnsi="Arial"/>
          <w:sz w:val="16"/>
          <w:szCs w:val="16"/>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appropriate support from patient advocacy organizations;</w:t>
      </w:r>
    </w:p>
    <w:p>
      <w:pPr>
        <w:spacing w:after="0" w:line="103" w:lineRule="exact"/>
        <w:rPr>
          <w:rFonts w:ascii="Arial" w:cs="Arial" w:eastAsia="Arial" w:hAnsi="Arial"/>
          <w:sz w:val="18"/>
          <w:szCs w:val="18"/>
          <w:color w:val="auto"/>
        </w:rPr>
      </w:pPr>
    </w:p>
    <w:p>
      <w:pPr>
        <w:jc w:val="center"/>
        <w:ind w:left="5540" w:right="140" w:hanging="5532"/>
        <w:spacing w:after="0" w:line="261" w:lineRule="auto"/>
        <w:tabs>
          <w:tab w:leader="none" w:pos="5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effectively shaping the market in the early years following launch to help providers understand a new way of thinking about treating these patients;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8" w:name="page39"/>
    <w:bookmarkEnd w:id="38"/>
    <w:p>
      <w:pPr>
        <w:ind w:left="520" w:right="240" w:hanging="512"/>
        <w:spacing w:after="0" w:line="261"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addressing any delays in our ongoing and planned clinical trials resulting from factors related to any major natural disaster or significant political event, including the COVID-19 pandemic and the war in Ukraine;</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w:t>
      </w:r>
    </w:p>
    <w:p>
      <w:pPr>
        <w:spacing w:after="0" w:line="320"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results of our ongoing clinical trial for tovorafenib (DAY101) and Phase 1b/2 trial of tovorafenib (DAY101) as a monotherapy and in combination with pimasertib do not meet the clinical endpoints.</w:t>
      </w:r>
    </w:p>
    <w:p>
      <w:pPr>
        <w:spacing w:after="0" w:line="29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several objectives relating to the discovery or identification, development and commercialization of our product candidates.</w:t>
      </w:r>
    </w:p>
    <w:p>
      <w:pPr>
        <w:spacing w:after="0" w:line="6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Our business depends entirely on the successful discovery or identification, development and commercialization of product candidates. We have no products approved for commercial sale and do not anticipate generating any revenue from product sales for the next several years, if ever. We do not expect to generate significant revenue unless and until we obtain marketing approval for, and begin to sell, tovorafenib (DAY101), pimasertib, or another product candidate. Our ability to generate revenue and achieve profitability depends on several factors, including, but not limited to, our ability to:</w:t>
      </w:r>
    </w:p>
    <w:p>
      <w:pPr>
        <w:spacing w:after="0" w:line="47" w:lineRule="exact"/>
        <w:rPr>
          <w:sz w:val="20"/>
          <w:szCs w:val="20"/>
          <w:color w:val="auto"/>
        </w:rPr>
      </w:pPr>
    </w:p>
    <w:p>
      <w:pPr>
        <w:ind w:left="520" w:right="540" w:hanging="512"/>
        <w:spacing w:after="0" w:line="261"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complete a successful pivotal Phase 2 trial with tovorafenib (DAY101) that achieves a competitive, clinically meaningful and generally well-tolerated target product profile;</w:t>
      </w:r>
    </w:p>
    <w:p>
      <w:pPr>
        <w:spacing w:after="0" w:line="62" w:lineRule="exact"/>
        <w:rPr>
          <w:rFonts w:ascii="Arial" w:cs="Arial" w:eastAsia="Arial" w:hAnsi="Arial"/>
          <w:sz w:val="18"/>
          <w:szCs w:val="18"/>
          <w:color w:val="auto"/>
        </w:rPr>
      </w:pPr>
    </w:p>
    <w:p>
      <w:pPr>
        <w:ind w:left="520" w:right="120" w:hanging="512"/>
        <w:spacing w:after="0" w:line="261"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complete a successful Phase 1b/2 trial of tovorafenib (DAY101) as monotherapy and in combination with pimasertib in patients 12 years and older with tumors having activated RAF signaling;</w:t>
      </w:r>
    </w:p>
    <w:p>
      <w:pPr>
        <w:spacing w:after="0" w:line="62" w:lineRule="exact"/>
        <w:rPr>
          <w:rFonts w:ascii="Arial" w:cs="Arial" w:eastAsia="Arial" w:hAnsi="Arial"/>
          <w:sz w:val="18"/>
          <w:szCs w:val="18"/>
          <w:color w:val="auto"/>
        </w:rPr>
      </w:pPr>
    </w:p>
    <w:p>
      <w:pPr>
        <w:ind w:left="520" w:right="540" w:hanging="512"/>
        <w:spacing w:after="0" w:line="261"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complete a successful pivotal Phase 3 trial with tovorafenib (DAY101) that achieves a competitive, clinically meaningful and generally well-tolerated target product profile in front-line pLGG;</w:t>
      </w:r>
    </w:p>
    <w:p>
      <w:pPr>
        <w:spacing w:after="0" w:line="62" w:lineRule="exact"/>
        <w:rPr>
          <w:rFonts w:ascii="Arial" w:cs="Arial" w:eastAsia="Arial" w:hAnsi="Arial"/>
          <w:sz w:val="18"/>
          <w:szCs w:val="18"/>
          <w:color w:val="auto"/>
        </w:rPr>
      </w:pPr>
    </w:p>
    <w:p>
      <w:pPr>
        <w:ind w:left="520" w:right="740" w:hanging="512"/>
        <w:spacing w:after="0" w:line="261"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initiate and successfully complete all safety, pharmacokinetic and other studies required to obtain U.S. and foreign marketing approval for tovorafenib (DAY101) as a treatment for patients with pLGGs;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initiate and complete successful later-stage clinical trials that meet their clinical endpoints;</w:t>
      </w:r>
    </w:p>
    <w:p>
      <w:pPr>
        <w:spacing w:after="0" w:line="103" w:lineRule="exact"/>
        <w:rPr>
          <w:rFonts w:ascii="Arial" w:cs="Arial" w:eastAsia="Arial" w:hAnsi="Arial"/>
          <w:sz w:val="18"/>
          <w:szCs w:val="18"/>
          <w:color w:val="auto"/>
        </w:rPr>
      </w:pPr>
    </w:p>
    <w:p>
      <w:pPr>
        <w:ind w:left="520" w:right="640" w:hanging="512"/>
        <w:spacing w:after="0" w:line="261"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favorable results from our clinical trials and apply for and obtain marketing approval for tovorafenib (DAY101) and pimasertib from applicable regulatory authorities, including NDAs, from the FDA, and maintaining such approvals;</w:t>
      </w:r>
    </w:p>
    <w:p>
      <w:pPr>
        <w:spacing w:after="0" w:line="62" w:lineRule="exact"/>
        <w:rPr>
          <w:rFonts w:ascii="Arial" w:cs="Arial" w:eastAsia="Arial" w:hAnsi="Arial"/>
          <w:sz w:val="18"/>
          <w:szCs w:val="18"/>
          <w:color w:val="auto"/>
        </w:rPr>
      </w:pPr>
    </w:p>
    <w:p>
      <w:pPr>
        <w:ind w:left="520" w:right="220" w:hanging="512"/>
        <w:spacing w:after="0" w:line="261"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licenses, collaborations or strategic partnerships that allow for the commercialization of our product candidates and/or may increase the value of our programs;</w:t>
      </w:r>
    </w:p>
    <w:p>
      <w:pPr>
        <w:spacing w:after="0" w:line="62" w:lineRule="exact"/>
        <w:rPr>
          <w:rFonts w:ascii="Arial" w:cs="Arial" w:eastAsia="Arial" w:hAnsi="Arial"/>
          <w:sz w:val="18"/>
          <w:szCs w:val="18"/>
          <w:color w:val="auto"/>
        </w:rPr>
      </w:pPr>
    </w:p>
    <w:p>
      <w:pPr>
        <w:ind w:left="520" w:right="480" w:hanging="512"/>
        <w:spacing w:after="0" w:line="291"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establish and maintain viable supply and manufacturing relationships with third parties that can provide adequate, in both amount and quality, products and services to support clinical development and meet the market demand for our product candidates, if approved;</w:t>
      </w:r>
    </w:p>
    <w:p>
      <w:pPr>
        <w:spacing w:after="0" w:line="38" w:lineRule="exact"/>
        <w:rPr>
          <w:rFonts w:ascii="Arial" w:cs="Arial" w:eastAsia="Arial" w:hAnsi="Arial"/>
          <w:sz w:val="17"/>
          <w:szCs w:val="17"/>
          <w:color w:val="auto"/>
        </w:rPr>
      </w:pPr>
    </w:p>
    <w:p>
      <w:pPr>
        <w:ind w:left="520" w:right="60" w:hanging="512"/>
        <w:spacing w:after="0" w:line="261"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successfully commercialize tovorafenib (DAY101), pimasertib, and any future product candidates we may develop, if approved, by building a sales force or entering into collaborations with third parties;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satisfy any required post-marketing approval commitments to applicable regulatory authorities;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a continued acceptable safety profile following any marketing approval of our product candidates;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 assess and develop new product candidates;</w:t>
      </w:r>
    </w:p>
    <w:p>
      <w:pPr>
        <w:spacing w:after="0" w:line="103"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and maintain patent and trade secret protection or regulatory exclusivity for our product candidates; maintain an acceptable safety profile of our products, including pimasertib;</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maintain, protect and defend our intellectual property portfolio;</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 any competing therapies and technological and market developments;</w:t>
      </w:r>
    </w:p>
    <w:p>
      <w:pPr>
        <w:spacing w:after="0" w:line="103" w:lineRule="exact"/>
        <w:rPr>
          <w:rFonts w:ascii="Arial" w:cs="Arial" w:eastAsia="Arial" w:hAnsi="Arial"/>
          <w:sz w:val="18"/>
          <w:szCs w:val="18"/>
          <w:color w:val="auto"/>
        </w:rPr>
      </w:pPr>
    </w:p>
    <w:p>
      <w:pPr>
        <w:ind w:left="520" w:right="260" w:hanging="512"/>
        <w:spacing w:after="0" w:line="261"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achieve market acceptance of tovorafenib (DAY101) or pimasertib and our other successful product candidates, if any, with patients, the medical community and third-party payors, both in the United States and internationally;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9" w:name="page40"/>
    <w:bookmarkEnd w:id="39"/>
    <w:p>
      <w:pPr>
        <w:ind w:right="160"/>
        <w:spacing w:after="0" w:line="276" w:lineRule="auto"/>
        <w:rPr>
          <w:sz w:val="20"/>
          <w:szCs w:val="20"/>
          <w:color w:val="auto"/>
        </w:rPr>
      </w:pPr>
      <w:r>
        <w:rPr>
          <w:rFonts w:ascii="Arial" w:cs="Arial" w:eastAsia="Arial" w:hAnsi="Arial"/>
          <w:sz w:val="16"/>
          <w:szCs w:val="16"/>
          <w:color w:val="auto"/>
        </w:rPr>
        <w:t>To become and remain profitable, we must succeed in designing, developing and eventually commercializing products that generate significant revenue. This will require us to be successful in a range of challenging activities, including completing clinical trials for our product candidates, designing and/or acquiring additional product candidates, establishing arrangements with third parties for the manufacture of clinical supplies of our product candidates, obtaining marketing approval for our product candidates and manufacturing, retaining intellectual property or marketing exclusivity, or marketing and selling any products for which we may obtain marketing approval, if any. We are in the earlier stages of most of these activities. We may never succeed in these activities and, even if we do, may never generate revenues that are significant enough to achieve profitability.</w:t>
      </w:r>
    </w:p>
    <w:p>
      <w:pPr>
        <w:spacing w:after="0" w:line="162"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In cases where we are successful in obtaining regulatory approval to market one or more of our product candidates, our revenue will be dependent, in part, upon the size of the markets in the territories for which we gain regulatory approval, the accepted price for the product, the duration of treatment that physicians believe is appropriate for our product, the speed of physician adoption,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payor decisions or treatment guidelines, we may not generate significant revenue from sales of such products, even if approved.</w:t>
      </w:r>
    </w:p>
    <w:p>
      <w:pPr>
        <w:spacing w:after="0" w:line="175" w:lineRule="exact"/>
        <w:rPr>
          <w:sz w:val="20"/>
          <w:szCs w:val="20"/>
          <w:color w:val="auto"/>
        </w:rPr>
      </w:pPr>
    </w:p>
    <w:p>
      <w:pPr>
        <w:jc w:val="both"/>
        <w:ind w:right="80"/>
        <w:spacing w:after="0" w:line="243" w:lineRule="auto"/>
        <w:rPr>
          <w:sz w:val="20"/>
          <w:szCs w:val="20"/>
          <w:color w:val="auto"/>
        </w:rPr>
      </w:pPr>
      <w:r>
        <w:rPr>
          <w:rFonts w:ascii="Arial" w:cs="Arial" w:eastAsia="Arial" w:hAnsi="Arial"/>
          <w:sz w:val="18"/>
          <w:szCs w:val="18"/>
          <w:color w:val="auto"/>
        </w:rPr>
        <w:t>If we decide to or are required by the FDA or regulatory authorities in other jurisdictions to perform studies or clinical trials in addition to, those currently expected, or to modify ongoing or planned clinical trials, or if there are any delays in establishing appropriate manufacturing arrangements for, in initiating or completing our current and planned clinical trials for, or in the development of, any of our product candidates, our expenses could increase significantly and profitability could be further delayed.</w:t>
      </w:r>
    </w:p>
    <w:p>
      <w:pPr>
        <w:spacing w:after="0" w:line="188" w:lineRule="exact"/>
        <w:rPr>
          <w:sz w:val="20"/>
          <w:szCs w:val="20"/>
          <w:color w:val="auto"/>
        </w:rPr>
      </w:pPr>
    </w:p>
    <w:p>
      <w:pPr>
        <w:jc w:val="both"/>
        <w:ind w:right="360"/>
        <w:spacing w:after="0" w:line="248" w:lineRule="auto"/>
        <w:rPr>
          <w:sz w:val="20"/>
          <w:szCs w:val="20"/>
          <w:color w:val="auto"/>
        </w:rPr>
      </w:pPr>
      <w:r>
        <w:rPr>
          <w:rFonts w:ascii="Arial" w:cs="Arial" w:eastAsia="Arial" w:hAnsi="Arial"/>
          <w:sz w:val="18"/>
          <w:szCs w:val="18"/>
          <w:color w:val="auto"/>
        </w:rPr>
        <w:t>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90"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7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substantially in connection with our ongoing activities, particularly as we advance our lead product candidate, tovorafenib (DAY101), pimasertib, and any future product candidates through clinical development. We expect increased expenses as we continue our research and development, initiate additional clinical trials, seek to expand our product pipeline, seek marketing approval for our lead programs and future product candidates, if any, and invest in our organization. In addition, if we obtain marketing approval for any of our product candidates, we expect to incur significant commercialization expenses related to product manufacturing, marketing, sales and distribution. Furthermore, we have incurred and will continue to incur additional costs associated with operating as a public company, such as acquiring and retaining experienced personnel, developing new information technology systems, and other costs associated with being a public company. Also, we expect to experience ongoing and additional costs related to preparing and filing patent applications, maintaining our intellectual property and potentially expanding our office facilities. Accordingly, we will need to obtain substantial additional funding in connection with our continuing operations.</w:t>
      </w:r>
    </w:p>
    <w:p>
      <w:pPr>
        <w:spacing w:after="0" w:line="186"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Adequate additional financing may 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research and development programs, our commercialization plans or other operations. Our ability to raise capital may be adversely impacted by potential worsening global economic conditions and disruptions to and volatility in the credit and financial markets in the United States and worldwide resulting from the ongoing COVID-19 pandemic, inflation, changes in interest rates, geopolitical instability, including the war in Ukraine, or otherwise.</w:t>
      </w:r>
    </w:p>
    <w:p>
      <w:pPr>
        <w:spacing w:after="0" w:line="17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had $388.9 million in cash and cash equivalents as of June 30, 2022. We believe that our existing cash, and cash equivalents, will enable us to fund our operating expenses, and capital expenditure requirements into 2025.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w:t>
      </w:r>
    </w:p>
    <w:p>
      <w:pPr>
        <w:spacing w:after="0" w:line="81"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progress, timing and results of preclinical studies and clinical trials for our current or any future product candidates;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pipeline product candidates or technologies;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0" w:name="page41"/>
    <w:bookmarkEnd w:id="40"/>
    <w:p>
      <w:pPr>
        <w:ind w:left="520" w:right="80" w:hanging="512"/>
        <w:spacing w:after="0" w:line="261"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and development requirements of current or future product candidates that we may pursue, and other indications for our current product candidates that we may pursue;</w:t>
      </w:r>
    </w:p>
    <w:p>
      <w:pPr>
        <w:spacing w:after="0" w:line="62" w:lineRule="exact"/>
        <w:rPr>
          <w:rFonts w:ascii="Arial" w:cs="Arial" w:eastAsia="Arial" w:hAnsi="Arial"/>
          <w:sz w:val="18"/>
          <w:szCs w:val="18"/>
          <w:color w:val="auto"/>
        </w:rPr>
      </w:pPr>
    </w:p>
    <w:p>
      <w:pPr>
        <w:ind w:left="520" w:right="80" w:hanging="512"/>
        <w:spacing w:after="0" w:line="261"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timing and outcome of obtaining regulatory approvals of our current or future product candidates and any companion diagnostics we may pursue;</w:t>
      </w:r>
    </w:p>
    <w:p>
      <w:pPr>
        <w:spacing w:after="0" w:line="62" w:lineRule="exact"/>
        <w:rPr>
          <w:rFonts w:ascii="Arial" w:cs="Arial" w:eastAsia="Arial" w:hAnsi="Arial"/>
          <w:sz w:val="18"/>
          <w:szCs w:val="18"/>
          <w:color w:val="auto"/>
        </w:rPr>
      </w:pPr>
    </w:p>
    <w:p>
      <w:pPr>
        <w:ind w:left="520" w:right="620" w:hanging="512"/>
        <w:spacing w:after="0" w:line="261"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62" w:lineRule="exact"/>
        <w:rPr>
          <w:rFonts w:ascii="Arial" w:cs="Arial" w:eastAsia="Arial" w:hAnsi="Arial"/>
          <w:sz w:val="18"/>
          <w:szCs w:val="18"/>
          <w:color w:val="auto"/>
        </w:rPr>
      </w:pPr>
    </w:p>
    <w:p>
      <w:pPr>
        <w:ind w:left="520" w:right="360" w:hanging="512"/>
        <w:spacing w:after="0" w:line="261"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involved in growing our organization to the size needed to allow for the research, development and potential commercialization of our current or future product candidates;</w:t>
      </w:r>
    </w:p>
    <w:p>
      <w:pPr>
        <w:spacing w:after="0" w:line="62" w:lineRule="exact"/>
        <w:rPr>
          <w:rFonts w:ascii="Arial" w:cs="Arial" w:eastAsia="Arial" w:hAnsi="Arial"/>
          <w:sz w:val="18"/>
          <w:szCs w:val="18"/>
          <w:color w:val="auto"/>
        </w:rPr>
      </w:pPr>
    </w:p>
    <w:p>
      <w:pPr>
        <w:ind w:left="520" w:right="20" w:hanging="512"/>
        <w:spacing w:after="0" w:line="294" w:lineRule="auto"/>
        <w:tabs>
          <w:tab w:leader="none" w:pos="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the extent we pursue strategic collaborations, including collaborations to commercialize tovorafenib (DAY101), pimasertib, or any of our future pipeline product candidates, in any, our ability to establish and maintain collaborations on favorable terms, if at all, as well as the timing and amount of any milestone or royalty payments we are required to make or are eligible to receive under such collaborations or our current licenses;</w:t>
      </w:r>
    </w:p>
    <w:p>
      <w:pPr>
        <w:spacing w:after="0" w:line="39" w:lineRule="exact"/>
        <w:rPr>
          <w:rFonts w:ascii="Arial" w:cs="Arial" w:eastAsia="Arial" w:hAnsi="Arial"/>
          <w:sz w:val="16"/>
          <w:szCs w:val="16"/>
          <w:color w:val="auto"/>
        </w:rPr>
      </w:pPr>
    </w:p>
    <w:p>
      <w:pPr>
        <w:ind w:left="520" w:right="160" w:hanging="512"/>
        <w:spacing w:after="0" w:line="261"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associated with commercializing any approved product candidates, including establishing sales, marketing, market access and distribution capabilities;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associated with completing any post-marketing studies or trials required by the FDA or other regulatory authorities;</w:t>
      </w:r>
    </w:p>
    <w:p>
      <w:pPr>
        <w:spacing w:after="0" w:line="103" w:lineRule="exact"/>
        <w:rPr>
          <w:rFonts w:ascii="Arial" w:cs="Arial" w:eastAsia="Arial" w:hAnsi="Arial"/>
          <w:sz w:val="18"/>
          <w:szCs w:val="18"/>
          <w:color w:val="auto"/>
        </w:rPr>
      </w:pPr>
    </w:p>
    <w:p>
      <w:pPr>
        <w:ind w:left="520" w:right="680" w:hanging="512"/>
        <w:spacing w:after="0" w:line="261"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tovorafenib (DAY101), pimasertib or any of our future product candidates if any are approved, or any future pipeline product candidates that receive marketing approval;</w:t>
      </w:r>
    </w:p>
    <w:p>
      <w:pPr>
        <w:spacing w:after="0" w:line="62" w:lineRule="exact"/>
        <w:rPr>
          <w:rFonts w:ascii="Arial" w:cs="Arial" w:eastAsia="Arial" w:hAnsi="Arial"/>
          <w:sz w:val="18"/>
          <w:szCs w:val="18"/>
          <w:color w:val="auto"/>
        </w:rPr>
      </w:pPr>
    </w:p>
    <w:p>
      <w:pPr>
        <w:ind w:left="520" w:right="780" w:hanging="512"/>
        <w:spacing w:after="0" w:line="324" w:lineRule="auto"/>
        <w:tabs>
          <w:tab w:leader="none" w:pos="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 and</w:t>
      </w:r>
    </w:p>
    <w:p>
      <w:pPr>
        <w:spacing w:after="0" w:line="16" w:lineRule="exact"/>
        <w:rPr>
          <w:rFonts w:ascii="Arial" w:cs="Arial" w:eastAsia="Arial" w:hAnsi="Arial"/>
          <w:sz w:val="16"/>
          <w:szCs w:val="16"/>
          <w:color w:val="auto"/>
        </w:rPr>
      </w:pPr>
    </w:p>
    <w:p>
      <w:pPr>
        <w:ind w:left="520" w:right="380" w:hanging="512"/>
        <w:spacing w:after="0" w:line="261"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associated with potential product liability claims, including the costs associated with obtaining insurance against such claims and with defending against such claims.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We will require additional capital to complete our planned clinical development programs for our current product candidates to obtain regulatory approval, and we anticipate needing to raise additional capital to complete the development of and commercialize our product candidates.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Furthermore, any additional capital-raising efforts may divert our management from their day-to-day activities, which may adversely affect our ability to develop and commercialize our current and future product candidates, if approved. Changing circumstances, some of which may be beyond our control, could cause us to consume capital significantly faster than we currently anticipate, and we may need to seek additional funds sooner than planned.</w:t>
      </w:r>
    </w:p>
    <w:p>
      <w:pPr>
        <w:spacing w:after="0" w:line="168"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In June 2022, we entered into an equity distribution agreement with Piper Sandler &amp; Co. and JonesTrading Institutional Services LLC, as sales agents, relating to the issuance and sale of shares of our common stock for an aggregate offering price of up to $150.0 million under an at-the-market offering program, or 2022 ATM. To the extent that we raise additional capital through the sale of equity or convertible debt securities, including pursuant to our 2022 ATM,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Our ability to raise additional funds may be adversely impacted by potential worsening global economic conditions and disruptions to and volatility in the credit and financial markets in the United States and worldwide resulting from the ongoing COVID-19 pandemic, inflation, changes in interest rates, geopolitical instability, including the war in Ukraine, or otherwise.</w:t>
      </w:r>
    </w:p>
    <w:p>
      <w:pPr>
        <w:spacing w:after="0" w:line="183"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research or drug development programs, clinical trials or future commercialization efforts.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Risks related to development and commercialization of our product candidates</w:t>
      </w:r>
    </w:p>
    <w:p>
      <w:pPr>
        <w:spacing w:after="0" w:line="108"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b w:val="1"/>
          <w:bCs w:val="1"/>
          <w:i w:val="1"/>
          <w:iCs w:val="1"/>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Our product candidates may not have favorable results in later clinical trials, if any, or receive regulatory approval.</w:t>
      </w:r>
    </w:p>
    <w:p>
      <w:pPr>
        <w:spacing w:after="0" w:line="56"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risk of failure for our product candidates is high. It is impossible to predict when or if any of our product candidates will prove effective or safe in humans or will receive regulatory approval. To obtain the requisite regulatory approvals to market and sell any of our product candidates, we must demonstrate through extensive preclinical studies and clinical trials that our product candidates are safe and effective in humans for use in each target indication. Clinical testing is expensive and can take many years to complete, and the outcome is inherently uncertain. Failure can occur at any time during the clinical trial process.</w:t>
      </w:r>
    </w:p>
    <w:p>
      <w:pPr>
        <w:spacing w:after="0" w:line="189" w:lineRule="exact"/>
        <w:rPr>
          <w:sz w:val="20"/>
          <w:szCs w:val="20"/>
          <w:color w:val="auto"/>
        </w:rPr>
      </w:pPr>
    </w:p>
    <w:p>
      <w:pPr>
        <w:jc w:val="both"/>
        <w:ind w:right="160"/>
        <w:spacing w:after="0" w:line="248" w:lineRule="auto"/>
        <w:rPr>
          <w:sz w:val="20"/>
          <w:szCs w:val="20"/>
          <w:color w:val="auto"/>
        </w:rPr>
      </w:pPr>
      <w:r>
        <w:rPr>
          <w:rFonts w:ascii="Arial" w:cs="Arial" w:eastAsia="Arial" w:hAnsi="Arial"/>
          <w:sz w:val="18"/>
          <w:szCs w:val="18"/>
          <w:color w:val="auto"/>
        </w:rPr>
        <w:t>In addition, the results of preclinical studies and earlier clinical trials may not be predictive of the results of later-stage preclinical studies or clinical trials. We have limited clinical data for our product candidates. Product candidates in later stages of clinical trials may fail to show similar or desired safety and efficacy traits despite having progressed through preclinical and earlier stage clinical trials.</w:t>
      </w:r>
    </w:p>
    <w:p>
      <w:pPr>
        <w:spacing w:after="0" w:line="182"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discontinuation among clinical trial participants. If we fail to produce positive results in our planned clinical trials of any of our product candidates, the development timeline and regulatory approval and commercialization prospects for our product candidates, and, correspondingly, our business and financial prospects, would be materially and adversely affected.</w:t>
      </w:r>
    </w:p>
    <w:p>
      <w:pPr>
        <w:spacing w:after="0" w:line="26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We rely on data from an investigator-initiated trial Phase 1 clinical trial in our regulatory filings and we do not control the trial operations or reporting of the results.</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Tovorafenib's (DAY101) Phase 1 trial is run as an investigator-initiated, multi-center trial in patients with relapsed/refractory pLGG that is being conducted by the Dana Farber Cancer Institute in collaboration with the Pacific Pediatric Neuro-Oncology Consortium, or PNOC. The last data reported from this trial was in January 2020. It is possible that additional data, when reported, will not demonstrate similar results. We have no control over the timing of such clinical data announcements. In addition, although we expect that our pivotal Phase 2 trial in pLGG will provide a sufficient dataset, from approximately 60 patients, to support approval based on preliminary discussions with regulatory agencies, we cannot assure you that the FDA will not require data from additional patients to support approval. In later-stage clinical trials, we will likely be subject to more rigorous statistical analyses than in completed earlier stage clinical trials. A number of companies in the pharmaceutical industry have suffered significant setbacks in later-stage clinical trials due to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7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Furthermore,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While investigator-sponsored initiated trials could be useful to inform our own clinical development efforts, we do not control the data or timing of data releases for investigator-sponsored trials, and there is no guarantee that we will be able to use the data from these trials to form the basis for regulatory approval of our product candidates.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2" w:name="page43"/>
    <w:bookmarkEnd w:id="42"/>
    <w:p>
      <w:pPr>
        <w:spacing w:after="0" w:line="253" w:lineRule="auto"/>
        <w:rPr>
          <w:sz w:val="20"/>
          <w:szCs w:val="20"/>
          <w:color w:val="auto"/>
        </w:rPr>
      </w:pPr>
      <w:r>
        <w:rPr>
          <w:rFonts w:ascii="Arial" w:cs="Arial" w:eastAsia="Arial" w:hAnsi="Arial"/>
          <w:sz w:val="17"/>
          <w:szCs w:val="17"/>
          <w:color w:val="auto"/>
        </w:rPr>
        <w:t>In addition, some patients who receive access to drugs prior to their commercial approval through compassionate use, expanded access programs or right to try access, collectively referred to as compassionate use programs, have life-threatening illnesses and have exhausted all other available therapies. The risk for serious adverse events in this patient population is high, which, if those adverse events are determined to be drug-related, could have a negative impact on the safety profile of our drug candidates if we were to provide them to these patients, which could cause significant delays or an inability to successfully commercialize our drug candidates and materially harm our business. If we were to provide patients with any of our drug candidates under a compassionate use program, our supply capabilities may limit the number of patients who are able to enroll in the program and we may in the future need to restructure or pause any compassionate use program in order to enroll sufficient numbers of patients in our controlled clinical trials required for regulatory approval and successful commercialization of our drug candidates, which could prompt adverse publicity or other disruptions related to current or potential participants in such programs.</w:t>
      </w:r>
    </w:p>
    <w:p>
      <w:pPr>
        <w:spacing w:after="0" w:line="292"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b w:val="1"/>
          <w:bCs w:val="1"/>
          <w:i w:val="1"/>
          <w:iCs w:val="1"/>
          <w:color w:val="auto"/>
        </w:rPr>
        <w:t>Our clinical trials may fail to adequately demonstrate the safety and efficacy of any of our product candidates, which would prevent or delay development, regulatory approval and commercialization.</w:t>
      </w:r>
    </w:p>
    <w:p>
      <w:pPr>
        <w:spacing w:after="0" w:line="63"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Before obtaining marketing approval from the FDA or comparable foreign regulatory authorities for the sale of our current product candidates, we must demonstrate through lengthy, complex and expensive clinical trials that our product candidates are both safe and effective for use in each target indication. Clinical testing is expensive, difficult to design and implement, can take many years to complete and its ultimate outcome is uncertain. Failure can occur at any time during the clinical trial processes, and, because our product candidates are in earlier stages of development, there is a high risk of failure and we may never succeed in developing marketable products.</w:t>
      </w:r>
    </w:p>
    <w:p>
      <w:pPr>
        <w:spacing w:after="0" w:line="18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63"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our product candidates in clinical trials to demonstrate safety and efficacy;</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our product candidates in clinical trials to demonstrate important functional, quality, or patient-reported outcomes;</w:t>
      </w:r>
    </w:p>
    <w:p>
      <w:pPr>
        <w:spacing w:after="0" w:line="103" w:lineRule="exact"/>
        <w:rPr>
          <w:rFonts w:ascii="Arial" w:cs="Arial" w:eastAsia="Arial" w:hAnsi="Arial"/>
          <w:sz w:val="18"/>
          <w:szCs w:val="18"/>
          <w:color w:val="auto"/>
        </w:rPr>
      </w:pPr>
    </w:p>
    <w:p>
      <w:pPr>
        <w:ind w:left="520" w:right="80" w:hanging="512"/>
        <w:spacing w:after="0" w:line="261"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competitive landscape preventing marketing authorization in one or several subsets studied in our programs, including in relapsed or front-line pLGG;</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receipt of feedback from regulatory authorities that requires us to modify the design of our clinical trials;</w:t>
      </w:r>
    </w:p>
    <w:p>
      <w:pPr>
        <w:spacing w:after="0" w:line="103" w:lineRule="exact"/>
        <w:rPr>
          <w:rFonts w:ascii="Arial" w:cs="Arial" w:eastAsia="Arial" w:hAnsi="Arial"/>
          <w:sz w:val="18"/>
          <w:szCs w:val="18"/>
          <w:color w:val="auto"/>
        </w:rPr>
      </w:pPr>
    </w:p>
    <w:p>
      <w:pPr>
        <w:ind w:left="520" w:right="640" w:hanging="512"/>
        <w:spacing w:after="0" w:line="261"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 or inconclusive clinical trial results that may require us to conduct additional clinical trials or abandon certain research and/or drug development programs;</w:t>
      </w:r>
    </w:p>
    <w:p>
      <w:pPr>
        <w:spacing w:after="0" w:line="62" w:lineRule="exact"/>
        <w:rPr>
          <w:rFonts w:ascii="Arial" w:cs="Arial" w:eastAsia="Arial" w:hAnsi="Arial"/>
          <w:sz w:val="18"/>
          <w:szCs w:val="18"/>
          <w:color w:val="auto"/>
        </w:rPr>
      </w:pPr>
    </w:p>
    <w:p>
      <w:pPr>
        <w:ind w:left="520" w:right="320" w:hanging="512"/>
        <w:spacing w:after="0" w:line="261"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third-party contractors failing to comply with regulatory requirements or meet their contractual obligations to us in a timely manner, or at all;</w:t>
      </w:r>
    </w:p>
    <w:p>
      <w:pPr>
        <w:spacing w:after="0" w:line="115" w:lineRule="exact"/>
        <w:rPr>
          <w:rFonts w:ascii="Arial" w:cs="Arial" w:eastAsia="Arial" w:hAnsi="Arial"/>
          <w:sz w:val="17"/>
          <w:szCs w:val="17"/>
          <w:color w:val="auto"/>
        </w:rPr>
      </w:pPr>
    </w:p>
    <w:p>
      <w:pPr>
        <w:ind w:left="520" w:right="120" w:hanging="512"/>
        <w:spacing w:after="0" w:line="261"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anticipated;</w:t>
      </w:r>
    </w:p>
    <w:p>
      <w:pPr>
        <w:spacing w:after="0" w:line="103" w:lineRule="exact"/>
        <w:rPr>
          <w:rFonts w:ascii="Arial" w:cs="Arial" w:eastAsia="Arial" w:hAnsi="Arial"/>
          <w:sz w:val="18"/>
          <w:szCs w:val="18"/>
          <w:color w:val="auto"/>
        </w:rPr>
      </w:pPr>
    </w:p>
    <w:p>
      <w:pPr>
        <w:ind w:left="520" w:right="120" w:hanging="512"/>
        <w:spacing w:after="0" w:line="261"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being insufficient or inadequate;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regulators revising the requirements for approving our product candidates.</w:t>
      </w:r>
    </w:p>
    <w:p>
      <w:pPr>
        <w:spacing w:after="0" w:line="212" w:lineRule="exact"/>
        <w:rPr>
          <w:sz w:val="20"/>
          <w:szCs w:val="20"/>
          <w:color w:val="auto"/>
        </w:rPr>
      </w:pPr>
    </w:p>
    <w:p>
      <w:pPr>
        <w:ind w:right="440"/>
        <w:spacing w:after="0" w:line="252"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3" w:name="page44"/>
    <w:bookmarkEnd w:id="43"/>
    <w:p>
      <w:pPr>
        <w:ind w:right="80"/>
        <w:spacing w:after="0" w:line="272" w:lineRule="auto"/>
        <w:rPr>
          <w:sz w:val="20"/>
          <w:szCs w:val="20"/>
          <w:color w:val="auto"/>
        </w:rPr>
      </w:pPr>
      <w:r>
        <w:rPr>
          <w:rFonts w:ascii="Arial" w:cs="Arial" w:eastAsia="Arial" w:hAnsi="Arial"/>
          <w:sz w:val="16"/>
          <w:szCs w:val="16"/>
          <w:color w:val="auto"/>
        </w:rPr>
        <w:t>Our product candidates are initially targeted towards the pediatric population, for which safety concerns may be particularly scrutinized by regulatory agencies. Trials involving pediatric populations can be difficult to conduct, can be quite costly and, like other clinical trials, may not yield the anticipated results. In addition, pediatric studies are more dependent on a smaller number of specialized clinical trial sites, which in turn can limit site availability and make the trials more expensive to conduct. In addition, as interest in pediatric indications grows as a result of the Research to Accelerate Cures and Equity (RACE) for Children Act and other market forces, trial recruitment may become even more difficult due to competition for eligible patients. Moreover, it may be challenging to ensure that pediatric or adolescent patients adhere to clinical trial protocols. Our inability to enroll a sufficient number of pediatric patients for our clinical trial could result in significant delays, require us to abandon one or more clinical trials altogether, impact our ability to raise additional capital and delay or prevent our ability to obtain necessary regulatory approvals for any drug product candidate.</w:t>
      </w:r>
    </w:p>
    <w:p>
      <w:pPr>
        <w:spacing w:after="0" w:line="168"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63"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delayed in obtaining marketing approval, if at all;</w:t>
      </w:r>
    </w:p>
    <w:p>
      <w:pPr>
        <w:spacing w:after="0" w:line="103" w:lineRule="exact"/>
        <w:rPr>
          <w:rFonts w:ascii="Arial" w:cs="Arial" w:eastAsia="Arial" w:hAnsi="Arial"/>
          <w:sz w:val="18"/>
          <w:szCs w:val="18"/>
          <w:color w:val="auto"/>
        </w:rPr>
      </w:pPr>
    </w:p>
    <w:p>
      <w:pPr>
        <w:ind w:left="520" w:right="320" w:hanging="512"/>
        <w:spacing w:after="0" w:line="261"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 or may have restricted duration expectations or guidance;</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103" w:lineRule="exact"/>
        <w:rPr>
          <w:rFonts w:ascii="Arial" w:cs="Arial" w:eastAsia="Arial" w:hAnsi="Arial"/>
          <w:sz w:val="18"/>
          <w:szCs w:val="18"/>
          <w:color w:val="auto"/>
        </w:rPr>
      </w:pPr>
    </w:p>
    <w:p>
      <w:pPr>
        <w:ind w:left="520" w:right="180" w:hanging="512"/>
        <w:spacing w:after="0" w:line="261"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drug or impose restrictions on its distribution in the form of a modified risk evaluation and mitigation strategy, or REMS;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subject to civil or criminal investigations and litigation; or</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12"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Our drug development costs will also increase if we experience delays in testing or obtaining marketing approvals. Also, delays in obtaining marketing approval may increase commercialization costs if the competitive environment becomes more intense prior to market entry. We do not know whether any of our preclinical studies or clinical trials will begin as planned, need to be restructured or be completed on schedule, if at all.</w:t>
      </w:r>
    </w:p>
    <w:p>
      <w:pPr>
        <w:spacing w:after="0" w:line="16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Further, we, the FDA or an institutional review board, or IRB, may suspend our clinical trials at any time if it appears that we or our collaborators are failing to conduct a trial in accordance with regulatory requirements, including the FDA’s current Good Clinical Practice, or GCP, regulations, that we are exposing participants to unacceptable health risks, or if the FDA finds deficiencies in our investigational NDAs or the conduct of these trials. Therefore, we cannot predict with any certainty the schedule for commencement and completion of future clinical trials. 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63"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4" w:name="page45"/>
    <w:bookmarkEnd w:id="44"/>
    <w:p>
      <w:pPr>
        <w:ind w:right="20"/>
        <w:spacing w:after="0"/>
        <w:rPr>
          <w:sz w:val="20"/>
          <w:szCs w:val="20"/>
          <w:color w:val="auto"/>
        </w:rPr>
      </w:pPr>
      <w:r>
        <w:rPr>
          <w:rFonts w:ascii="Arial" w:cs="Arial" w:eastAsia="Arial" w:hAnsi="Arial"/>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to bridge our modified product candidates to earlier versions. 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 or eliminated entirely.</w:t>
      </w:r>
    </w:p>
    <w:p>
      <w:pPr>
        <w:spacing w:after="0" w:line="29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If we experience delays or difficulties in enrolling patients in our ongoing or planned clinical trials, our receipt of necessary regulatory approvals could be delayed or prevented.</w:t>
      </w:r>
    </w:p>
    <w:p>
      <w:pPr>
        <w:spacing w:after="0" w:line="6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our tovorafenib (DAY101) program, we utilize genomic profiling of patients’ tumors to identify suitable patients for recruitment into our clinical trials. We cannot be certain (i) how many patients will have the requisite alterations for inclusion in our clinical trials, (ii) that the number of patients enrolled in each program will suffice for regulatory approval or (iii) whether each specific BRAF mutation targeted will be included in the approved drug labeling. If our strategies for patient identification and enrollment prove unsuccessful, we may have difficulty enrolling or maintaining patients appropriate for our product candidates. The conditions for which we currently plan to evaluate our product candidates are orphan or rare diseases with limited patient pools from which to draw for clinical trials. The eligibility criteria of our clinical trials, once established, will further limit the pool of available trial participants. In addition,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Further, if any of our competitors receive FDA approval for a product, it may limit our ability to enroll patients in our clinical trials if they decide to seek treatment with an approved product. For example, Novartis recently received approval for dabrafenib in combination with trametinib, which could in the future limit our ability to enroll patients in clinical trials for tovorafenib (DAY101). Patient enrollment is also affected by other factors, including:</w:t>
      </w:r>
    </w:p>
    <w:p>
      <w:pPr>
        <w:spacing w:after="0" w:line="60"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of appropriate competencies and experience;</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incidence and prevalence of our target indications;</w:t>
      </w:r>
    </w:p>
    <w:p>
      <w:pPr>
        <w:spacing w:after="0" w:line="103" w:lineRule="exact"/>
        <w:rPr>
          <w:rFonts w:ascii="Arial" w:cs="Arial" w:eastAsia="Arial" w:hAnsi="Arial"/>
          <w:sz w:val="18"/>
          <w:szCs w:val="18"/>
          <w:color w:val="auto"/>
        </w:rPr>
      </w:pPr>
    </w:p>
    <w:p>
      <w:pPr>
        <w:ind w:left="520" w:right="660" w:hanging="512"/>
        <w:spacing w:after="0" w:line="261"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clinicians’ and patients’ awareness of, and perceptions as to the potential advantages and risks of our product candidates in relation to other available therapies, including any new drugs that may be approved for the indications we are investigating;</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expertise, and selection of CROs to manage operations related to clinical trial enrollment;</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competing studies or trials with similar eligibility criteria;</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invasive procedures required to enroll patients and to obtain evidence of the product candidate’s performance during the clinical trial;</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availability and efficacy of approved medications for the disease under investigation;</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eligibility criteria defined in the protocol for the trial in question;</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size and nature of the patient population required for analysis of the trial’s primary endpoints;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we are subject to a partial or full clinical hold on any of our clinical trials;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reluctance of physicians or patient advocacy organizations to encourage patient participation in clinical trials;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5" w:name="page46"/>
    <w:bookmarkEnd w:id="45"/>
    <w:p>
      <w:pPr>
        <w:spacing w:after="0" w:line="274" w:lineRule="auto"/>
        <w:rPr>
          <w:sz w:val="20"/>
          <w:szCs w:val="20"/>
          <w:color w:val="auto"/>
        </w:rPr>
      </w:pPr>
      <w:r>
        <w:rPr>
          <w:rFonts w:ascii="Arial" w:cs="Arial" w:eastAsia="Arial" w:hAnsi="Arial"/>
          <w:sz w:val="16"/>
          <w:szCs w:val="16"/>
          <w:color w:val="auto"/>
        </w:rPr>
        <w:t>Our inability to enroll and maintain a sufficient number of patients for our clinical trials would result in significant delays or may require us to abandon one or more clinical trials altogether. There may be competing trials, as well as the limited bandwidth of pediatric oncology institutions for running trials, which can lead to the prioritization of certain trials, leading to delays in our clinical trials. In addition, parents may be reluctant to enroll their children in our clinical trials, or may decide to withdraw their children from our clinical trials to pursue other therapies. The American Cancer Society has reported that the COVID-19 pandemic has led to declines in screening, diagnosis and treatment for patients, which will adversely impact the enrollment of patients in clinical trials targeting cancers and retention of patients overall. Enrollment delays in our clinical trials, including due to the COVID-19 pandemic, may result in increased development costs, which would cause the value of our Company to decline and limit our ability to obtain additional financing.</w:t>
      </w:r>
    </w:p>
    <w:p>
      <w:pPr>
        <w:spacing w:after="0" w:line="27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 candidates are currently under development, and may become commercially available in the future, for the treatment of conditions for which we may attempt to develop product candidates. In addition, our product candidates may need to compete with drugs physicians use off-label to treat the indications for which we seek approval. This may make it difficult for us to replace existing therapies with our product candidates.</w:t>
      </w:r>
    </w:p>
    <w:p>
      <w:pPr>
        <w:spacing w:after="0" w:line="180"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w:t>
      </w:r>
    </w:p>
    <w:p>
      <w:pPr>
        <w:spacing w:after="0" w:line="18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also compete with these organizations to recruit and retain qualified scientific, management and sales and marketing personnel, which could negatively affect our level of expertise and our ability to execute our business plan. We will also face competition in establishing clinical trial sites and patient registration for clinical trials, as well as in acquiring technologies complementary to, or necessary for, our programs.</w:t>
      </w:r>
    </w:p>
    <w:p>
      <w:pPr>
        <w:spacing w:after="0" w:line="164"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We expect to face competition from existing products and products in development for each of our programs. Drug discovery efforts focused on V600 mutations have led to clinical success in some cancers. Three BRAF inhibitors have been approved by the FDA for the treatment of tumors containing V600E or V600K mutations. These first-generation BRAF inhibitors, known more generally as Type I RAF inhibitors, are vemurafenib, marketed as Zelboraf</w:t>
      </w:r>
      <w:r>
        <w:rPr>
          <w:rFonts w:ascii="Arial" w:cs="Arial" w:eastAsia="Arial" w:hAnsi="Arial"/>
          <w:sz w:val="20"/>
          <w:szCs w:val="20"/>
          <w:color w:val="auto"/>
          <w:vertAlign w:val="superscript"/>
        </w:rPr>
        <w:t>®</w:t>
      </w:r>
      <w:r>
        <w:rPr>
          <w:rFonts w:ascii="Arial" w:cs="Arial" w:eastAsia="Arial" w:hAnsi="Arial"/>
          <w:sz w:val="17"/>
          <w:szCs w:val="17"/>
          <w:color w:val="auto"/>
        </w:rPr>
        <w:t xml:space="preserve"> by Genentech; dabrafenib, marketed as Tafinlar</w:t>
      </w:r>
      <w:r>
        <w:rPr>
          <w:rFonts w:ascii="Arial" w:cs="Arial" w:eastAsia="Arial" w:hAnsi="Arial"/>
          <w:sz w:val="20"/>
          <w:szCs w:val="20"/>
          <w:color w:val="auto"/>
          <w:vertAlign w:val="superscript"/>
        </w:rPr>
        <w:t>®</w:t>
      </w:r>
      <w:r>
        <w:rPr>
          <w:rFonts w:ascii="Arial" w:cs="Arial" w:eastAsia="Arial" w:hAnsi="Arial"/>
          <w:sz w:val="17"/>
          <w:szCs w:val="17"/>
          <w:color w:val="auto"/>
        </w:rPr>
        <w:t xml:space="preserve"> by Novartis; and encorafenib, marketed as Braftovi</w:t>
      </w:r>
      <w:r>
        <w:rPr>
          <w:rFonts w:ascii="Arial" w:cs="Arial" w:eastAsia="Arial" w:hAnsi="Arial"/>
          <w:sz w:val="20"/>
          <w:szCs w:val="20"/>
          <w:color w:val="auto"/>
          <w:vertAlign w:val="superscript"/>
        </w:rPr>
        <w:t>®</w:t>
      </w:r>
      <w:r>
        <w:rPr>
          <w:rFonts w:ascii="Arial" w:cs="Arial" w:eastAsia="Arial" w:hAnsi="Arial"/>
          <w:sz w:val="17"/>
          <w:szCs w:val="17"/>
          <w:color w:val="auto"/>
        </w:rPr>
        <w:t xml:space="preserve"> by Pfizer. Dabrafenib, in combination with trametinib, is being evaluated in a Novartis-sponsored randomized Phase 2 clinical trial in newly-diagnosed patients with BRAF V600 mutant pLGG. Novartis has announced their plans to file a Supplemental New Drug Application, or sNDA, based on data of this trial in early 2023. Additionally, in June 2022, the combination of dabrafenib and trametinib was granted accelerated approval by the FDA for the treatment of adult and pediatric patients six years and older with unresectable or metastatic solid tumors harboring mutations in BRAF V600E following progression on previous treatment who have no satisfactory alternative treatment options. This includes BRAF V600E pLGG, a subset (10%-20%) of the greater RAF-altered pLGG clinical scope of the tovorafenib development program.</w:t>
      </w:r>
    </w:p>
    <w:p>
      <w:pPr>
        <w:spacing w:after="0" w:line="185" w:lineRule="exact"/>
        <w:rPr>
          <w:sz w:val="20"/>
          <w:szCs w:val="20"/>
          <w:color w:val="auto"/>
        </w:rPr>
      </w:pPr>
    </w:p>
    <w:p>
      <w:pPr>
        <w:ind w:right="440"/>
        <w:spacing w:after="0" w:line="253" w:lineRule="auto"/>
        <w:rPr>
          <w:sz w:val="20"/>
          <w:szCs w:val="20"/>
          <w:color w:val="auto"/>
        </w:rPr>
      </w:pPr>
      <w:r>
        <w:rPr>
          <w:rFonts w:ascii="Arial" w:cs="Arial" w:eastAsia="Arial" w:hAnsi="Arial"/>
          <w:sz w:val="16"/>
          <w:szCs w:val="16"/>
          <w:color w:val="auto"/>
        </w:rPr>
        <w:t>Four MEK inhibitors have been approved by the FDA. Three have been approved for the treatment of tumors containing BRAF V600E or V600K mutations, including cobimetinib, marketed as Cotellic</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by Genentech; trametinib, marketed as Mekinist</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by Novartis; and binimetinib, marketed as Mektovi</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by Pfizer. A fourth MEK inhibitor—selumetinib, marketed as Koselugo</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by AstraZeneca—has been approved for the treatment of pediatric patients, two years of age and older, with neurofibromatosis type 1, or NF1, who have symptomatic, inoperable plexiform neurofibromas.</w:t>
      </w:r>
    </w:p>
    <w:p>
      <w:pPr>
        <w:spacing w:after="0" w:line="17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Novartis is developing the next-generation BRAF inhibitor LXH254 in combination with various agents, in Phase 1/2 clinical trials. BeiGene has two next-generation BRAF programs: Lifirafenib (BGB-283), which is currently in a Phase 1/2 trial in combination with mirdametinib, and BGB-3245 which is currently in a single agent in Phase 1 dose escalation study. Hanmi / Genentech are developing belvarafenib in combination with cobimetinib in a Phase 1b clinical trial. Fore Therapeutics (formerly NovellusDx) is developing the RAF dimer breaker PLX8394 in a Phase 1/2 trial in combination with cobicistat. Kinnate is developing KIN-2787 in a monotherapy Phase 1 clinical trial. Black Diamond Therapeutics have next-generation BRAF inhibitors in various stages of preclinical development.</w:t>
      </w:r>
    </w:p>
    <w:p>
      <w:pPr>
        <w:spacing w:after="0" w:line="189" w:lineRule="exact"/>
        <w:rPr>
          <w:sz w:val="20"/>
          <w:szCs w:val="20"/>
          <w:color w:val="auto"/>
        </w:rPr>
      </w:pPr>
    </w:p>
    <w:p>
      <w:pPr>
        <w:jc w:val="both"/>
        <w:ind w:right="620"/>
        <w:spacing w:after="0"/>
        <w:rPr>
          <w:sz w:val="20"/>
          <w:szCs w:val="20"/>
          <w:color w:val="auto"/>
        </w:rPr>
      </w:pPr>
      <w:r>
        <w:rPr>
          <w:rFonts w:ascii="Arial" w:cs="Arial" w:eastAsia="Arial" w:hAnsi="Arial"/>
          <w:sz w:val="18"/>
          <w:szCs w:val="18"/>
          <w:color w:val="auto"/>
        </w:rPr>
        <w:t>With regard to the treatment of pLGG, some MEK inhibitors and some type I RAF inhibitors other targeted therapies are being studied in academic investigator-initiated clinical trials, and in some regions may be being used in an off-label manner. The off-label use of these agents may represent competition for tovorafenib (DAY101) when it enters the market.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6" w:name="page47"/>
    <w:bookmarkEnd w:id="46"/>
    <w:p>
      <w:pPr>
        <w:jc w:val="both"/>
        <w:ind w:right="240"/>
        <w:spacing w:after="0" w:line="248" w:lineRule="auto"/>
        <w:rPr>
          <w:sz w:val="20"/>
          <w:szCs w:val="20"/>
          <w:color w:val="auto"/>
        </w:rPr>
      </w:pPr>
      <w:r>
        <w:rPr>
          <w:rFonts w:ascii="Arial" w:cs="Arial" w:eastAsia="Arial" w:hAnsi="Arial"/>
          <w:sz w:val="18"/>
          <w:szCs w:val="18"/>
          <w:color w:val="auto"/>
        </w:rPr>
        <w:t>Many of our competitors, either alone or with their collaborators, have significantly greater financial resources, established presence in the market, and expertise in research and development, manufacturing, preclinical and clinical testing, obtaining regulatory approvals and reimbursement and marketing approved products than we do.</w:t>
      </w:r>
    </w:p>
    <w:p>
      <w:pPr>
        <w:spacing w:after="0" w:line="182"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Large pharmaceutical and biotechnology companies, in particular, have extensive experience in clinical testing, obtaining regulatory approvals, recruiting patients and manufacturing biotechnology product candidates. These companies also have significantly greater research, marketing and sales capabilities than we do and may also have product candidates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w:t>
      </w:r>
    </w:p>
    <w:p>
      <w:pPr>
        <w:spacing w:after="0" w:line="163" w:lineRule="exact"/>
        <w:rPr>
          <w:sz w:val="20"/>
          <w:szCs w:val="20"/>
          <w:color w:val="auto"/>
        </w:rPr>
      </w:pPr>
    </w:p>
    <w:p>
      <w:pPr>
        <w:jc w:val="both"/>
        <w:ind w:right="360"/>
        <w:spacing w:after="0" w:line="270" w:lineRule="auto"/>
        <w:rPr>
          <w:sz w:val="20"/>
          <w:szCs w:val="20"/>
          <w:color w:val="auto"/>
        </w:rPr>
      </w:pPr>
      <w:r>
        <w:rPr>
          <w:rFonts w:ascii="Arial" w:cs="Arial" w:eastAsia="Arial" w:hAnsi="Arial"/>
          <w:sz w:val="17"/>
          <w:szCs w:val="17"/>
          <w:color w:val="auto"/>
        </w:rPr>
        <w:t>As a result of all of these factors, our competitors may succeed in obtaining approval from the FDA or comparable foreign regulatory authorities or in discovering, developing and commercializing product candidates in our field before we do, which could result in our competitors establishing a strong market position before we are able to enter the market or could make our development more complicated.</w:t>
      </w:r>
    </w:p>
    <w:p>
      <w:pPr>
        <w:spacing w:after="0" w:line="16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Our potential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any products that we may develop.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demonstrate safety and efficacy to our stakeholders, our reputation may be harmed and our business will suffer.</w:t>
      </w:r>
    </w:p>
    <w:p>
      <w:pPr>
        <w:spacing w:after="0" w:line="10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addition to the regulatory approvals required for product candidates developed for adults, parents, physicians, caregivers, advocates, and patients may not want to participate in our trials, prescribe or take our products, or want to be affiliated with our Company if we do not maintain trust and a reputation for integrity and high quality interactions and products. Pediatric drug development is typically deferred to protect children from exposure to investigational agents, which have historically been cytotoxic chemotherapies that are often associated with severe side effects and poor tolerability. If one of our products or product candidates was found to have a safety impact on pediatric patients our reputation would be harmed and our business would suffer.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impact our business, including our clinical trials and clinical trial operations.</w:t>
      </w:r>
    </w:p>
    <w:p>
      <w:pPr>
        <w:spacing w:after="0" w:line="104"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color w:val="auto"/>
        </w:rPr>
        <w:t>The COVID-19 pandemic in the United States and in other countries in which we have planned or have active clinical trial sites and where our third-party manufacturers operate, could cause significant disruptions that could severely impact our business and ongoing and planned clinical trials, including:</w:t>
      </w:r>
    </w:p>
    <w:p>
      <w:pPr>
        <w:spacing w:after="0" w:line="16"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or difficulties in screening, enrolling and maintaining patients in our ongoing and planned clinical trials;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03" w:lineRule="exact"/>
        <w:rPr>
          <w:rFonts w:ascii="Arial" w:cs="Arial" w:eastAsia="Arial" w:hAnsi="Arial"/>
          <w:sz w:val="18"/>
          <w:szCs w:val="18"/>
          <w:color w:val="auto"/>
        </w:rPr>
      </w:pPr>
    </w:p>
    <w:p>
      <w:pPr>
        <w:ind w:left="520" w:right="180" w:hanging="512"/>
        <w:spacing w:after="0" w:line="291"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our clinical trials as they prioritize resources towards addressing the COVID-19 pandemic;</w:t>
      </w:r>
    </w:p>
    <w:p>
      <w:pPr>
        <w:spacing w:after="0" w:line="38" w:lineRule="exact"/>
        <w:rPr>
          <w:rFonts w:ascii="Arial" w:cs="Arial" w:eastAsia="Arial" w:hAnsi="Arial"/>
          <w:sz w:val="17"/>
          <w:szCs w:val="17"/>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or unwillingness of subjects to travel to the clinical trial sites;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difficulties, or incompleteness in data collection and analysis and other related activities;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implementation of protocol required clinical trial activities and quality of source data verification at clinical trial sites;</w:t>
      </w:r>
    </w:p>
    <w:p>
      <w:pPr>
        <w:spacing w:after="0" w:line="103" w:lineRule="exact"/>
        <w:rPr>
          <w:rFonts w:ascii="Arial" w:cs="Arial" w:eastAsia="Arial" w:hAnsi="Arial"/>
          <w:sz w:val="18"/>
          <w:szCs w:val="18"/>
          <w:color w:val="auto"/>
        </w:rPr>
      </w:pPr>
    </w:p>
    <w:p>
      <w:pPr>
        <w:ind w:left="520" w:right="160" w:hanging="512"/>
        <w:spacing w:after="0" w:line="261"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ind w:left="520" w:right="400" w:hanging="512"/>
        <w:spacing w:after="0" w:line="324" w:lineRule="auto"/>
        <w:tabs>
          <w:tab w:leader="none" w:pos="5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limitations in employee resources that would otherwise be focused on the conduct of our clinical trials and our other research and development activities, including because of sickness of employees or their families or mitigation measures such as lock-downs and social distancing;</w:t>
      </w:r>
    </w:p>
    <w:p>
      <w:pPr>
        <w:spacing w:after="0" w:line="16" w:lineRule="exact"/>
        <w:rPr>
          <w:rFonts w:ascii="Arial" w:cs="Arial" w:eastAsia="Arial" w:hAnsi="Arial"/>
          <w:sz w:val="16"/>
          <w:szCs w:val="16"/>
          <w:color w:val="auto"/>
        </w:rPr>
      </w:pPr>
    </w:p>
    <w:p>
      <w:pPr>
        <w:ind w:left="520" w:right="480" w:hanging="512"/>
        <w:spacing w:after="0" w:line="244"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interruptions, difficulties or delays arising in our existing operations and company culture as a result of some or all of our employees working remotely, including those hired during the COVID-19 pandemic;</w:t>
      </w: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47" w:name="page48"/>
    <w:bookmarkEnd w:id="47"/>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due to production shortages resulting from any events affecting supply or manufacturing capabilities domestically and abroad;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03" w:lineRule="exact"/>
        <w:rPr>
          <w:rFonts w:ascii="Arial" w:cs="Arial" w:eastAsia="Arial" w:hAnsi="Arial"/>
          <w:sz w:val="18"/>
          <w:szCs w:val="18"/>
          <w:color w:val="auto"/>
        </w:rPr>
      </w:pPr>
    </w:p>
    <w:p>
      <w:pPr>
        <w:ind w:left="520" w:right="40" w:hanging="512"/>
        <w:spacing w:after="0" w:line="261"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 in global and domestic shipping that may affect the transport of clinical trial materials, such as investigational drug products used in our clinical trials;</w:t>
      </w:r>
    </w:p>
    <w:p>
      <w:pPr>
        <w:spacing w:after="0" w:line="62" w:lineRule="exact"/>
        <w:rPr>
          <w:rFonts w:ascii="Arial" w:cs="Arial" w:eastAsia="Arial" w:hAnsi="Arial"/>
          <w:sz w:val="18"/>
          <w:szCs w:val="18"/>
          <w:color w:val="auto"/>
        </w:rPr>
      </w:pPr>
    </w:p>
    <w:p>
      <w:pPr>
        <w:ind w:left="520" w:right="80" w:hanging="512"/>
        <w:spacing w:after="0" w:line="248"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including as a result of the emergence and spread of variants of the COVID-19 virus, which may require us to change the ways in which our clinical trials are conducted, which may result in unexpected costs, delays, or to discontinue the clinical trials altogether;</w:t>
      </w:r>
    </w:p>
    <w:p>
      <w:pPr>
        <w:spacing w:after="0" w:line="73" w:lineRule="exact"/>
        <w:rPr>
          <w:rFonts w:ascii="Arial" w:cs="Arial" w:eastAsia="Arial" w:hAnsi="Arial"/>
          <w:sz w:val="18"/>
          <w:szCs w:val="18"/>
          <w:color w:val="auto"/>
        </w:rPr>
      </w:pPr>
    </w:p>
    <w:p>
      <w:pPr>
        <w:ind w:left="520" w:right="20" w:hanging="512"/>
        <w:spacing w:after="0" w:line="261"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of regulatory authorities, such as the FDA, to accept data from clinical trials in affected geographies; and</w:t>
      </w:r>
    </w:p>
    <w:p>
      <w:pPr>
        <w:spacing w:after="0" w:line="103" w:lineRule="exact"/>
        <w:rPr>
          <w:rFonts w:ascii="Arial" w:cs="Arial" w:eastAsia="Arial" w:hAnsi="Arial"/>
          <w:sz w:val="18"/>
          <w:szCs w:val="18"/>
          <w:color w:val="auto"/>
        </w:rPr>
      </w:pPr>
    </w:p>
    <w:p>
      <w:pPr>
        <w:ind w:left="520" w:right="60" w:hanging="512"/>
        <w:spacing w:after="0" w:line="261"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impacts on global economic conditions which could have an adverse effect on our business and financial condition, including impairing our ability to raise capital when needed.</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Such disruptions could impede, delay, limit or prevent completion of our ongoing clinical trials and future preclinical studies or commencement of new clinical trials and ultimately lead to the delay or denial of regulatory approval of our product candidates, which would seriously harm our operations and financial condition and increase our costs and expenses. For example, in March 2022, authorities in Shanghai announced a two-stage lock-down for residents and businesses in response to rising rates of COVID-19. While operations have resumed at our Active Pharmaceutical Ingredients, or API, contract manufacturing and development facilities, we cannot be sure if additional lock-down measures or restrictions will be implemented and what, if any, impact that may have on our facilities and operations in the region, including but not limited to a decrease or disruption of production, increase costs of production or other interruptions in our supply chain. Such disruptions could impede, delay, limit or prevent completion of our ongoing clinical trials. Further, we have experienced delays in trial site initiations, patient participation and patient enrollment in some of our clinical trials and we may continue to experience some delays in our clinical trials and preclinical studies and delays in data collection and analysis, and the measures we have taken in response to the COVID-19 pandemic, may themselves negatively impact our operations. These delays so far have had a limited impact, but this may change as the COVID-19 pandemic and the response to such COVID-19 pandemic continues to evolve, and could have an adverse impact on our timelines and our business. The COVID-19 pandemic could also affect the business of the FDA or other health authorities, which could result in delays in meetings related to planned or completed clinical trials and ultimately of reviews and approvals of our product candidates.</w:t>
      </w:r>
    </w:p>
    <w:p>
      <w:pPr>
        <w:spacing w:after="0" w:line="168"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The global COVID-19 pandemic continues to evolve. Certain jurisdictions have begun re-opening only to return to restrictions due to increases in new COVID-19 disease cases and the emergence of new variant strains of the COVID-19 virus. Even in areas where “stay-at-home” restrictions have been lifted and the number of cases of COVID-19 disease has declined, many individuals remain cautious about resuming activities such as preventive-care medical visits. Additionally, the emergence of new variant strains of the COVID-19 virus in regions that have reopened has necessitated, and may in the future necessitate, renewed government restrictions in the jurisdictions in which we operate. The extent to which the COVID-19 pandemic may impact our business and clinical trials will depend on future developments, which are highly uncertain and cannot be predicted with confidence, such as the ultimate geographic spread of the disease, the duration of the pandemic, the emergence and spread of variants of the COVID-19 virus, travel restrictions and social distancing in the United States and other countries, business closures or business disruptions and the effectiveness of actions taken in the United States and other countries to contain and treat the disease.</w:t>
      </w:r>
    </w:p>
    <w:p>
      <w:pPr>
        <w:spacing w:after="0" w:line="18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To the extent the COVID-19 pandemic adversely affects our business, financial condition and operating results, it may also have the effect of heightening many of the risks described in this “Risk Factors” section.</w:t>
      </w:r>
    </w:p>
    <w:p>
      <w:pPr>
        <w:spacing w:after="0" w:line="279" w:lineRule="exact"/>
        <w:rPr>
          <w:sz w:val="20"/>
          <w:szCs w:val="20"/>
          <w:color w:val="auto"/>
        </w:rPr>
      </w:pPr>
    </w:p>
    <w:p>
      <w:pPr>
        <w:ind w:right="420"/>
        <w:spacing w:after="0" w:line="270" w:lineRule="auto"/>
        <w:rPr>
          <w:sz w:val="20"/>
          <w:szCs w:val="20"/>
          <w:color w:val="auto"/>
        </w:rPr>
      </w:pPr>
      <w:r>
        <w:rPr>
          <w:rFonts w:ascii="Arial" w:cs="Arial" w:eastAsia="Arial" w:hAnsi="Arial"/>
          <w:sz w:val="17"/>
          <w:szCs w:val="17"/>
          <w:b w:val="1"/>
          <w:bCs w:val="1"/>
          <w:i w:val="1"/>
          <w:iCs w:val="1"/>
          <w:color w:val="auto"/>
        </w:rPr>
        <w:t>Adverse side effects or other safety risks associated with tovorafenib (DAY101), pimasertib or any future product candidates we may develop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56" w:lineRule="exact"/>
        <w:rPr>
          <w:sz w:val="20"/>
          <w:szCs w:val="20"/>
          <w:color w:val="auto"/>
        </w:rPr>
      </w:pPr>
    </w:p>
    <w:p>
      <w:pPr>
        <w:ind w:right="300"/>
        <w:spacing w:after="0" w:line="274" w:lineRule="auto"/>
        <w:rPr>
          <w:sz w:val="20"/>
          <w:szCs w:val="20"/>
          <w:color w:val="auto"/>
        </w:rPr>
      </w:pPr>
      <w:r>
        <w:rPr>
          <w:rFonts w:ascii="Arial" w:cs="Arial" w:eastAsia="Arial" w:hAnsi="Arial"/>
          <w:sz w:val="16"/>
          <w:szCs w:val="16"/>
          <w:color w:val="auto"/>
        </w:rPr>
        <w:t>As is the case with pharmaceuticals generally, we have observed side effects and adverse events associated with our lead product candidate, tovorafenib (DAY101) and our other product candidates. These side effects included acneiform rash, anemia, headache, muscle pain, nausea and fatigue.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8" w:name="page49"/>
    <w:bookmarkEnd w:id="48"/>
    <w:p>
      <w:pPr>
        <w:spacing w:after="0" w:line="241" w:lineRule="auto"/>
        <w:rPr>
          <w:sz w:val="20"/>
          <w:szCs w:val="20"/>
          <w:color w:val="auto"/>
        </w:rPr>
      </w:pPr>
      <w:r>
        <w:rPr>
          <w:rFonts w:ascii="Arial" w:cs="Arial" w:eastAsia="Arial" w:hAnsi="Arial"/>
          <w:sz w:val="18"/>
          <w:szCs w:val="18"/>
          <w:color w:val="auto"/>
        </w:rPr>
        <w:t>Results of our ongoing and planned clinical trials could reveal a high and unacceptable severity and prevalence of side effects or unexpected characteristics. Undesirable side effects caused by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w:t>
      </w:r>
    </w:p>
    <w:p>
      <w:pPr>
        <w:spacing w:after="0" w:line="189"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Additionally, patients treated with our product candidates may also be undergoing surgical, radiation and chemotherapy treatments, which can cause side effects or adverse events that are unrelated to our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to be enrolled in our future clinical trials will die or experience major clinical events either during the course of our clinical trials or after participating in such trials for non-treatment related reasons, which could impact development of tovorafenib (DAY101), pimasertib or our other product candidates. If we elect or are required to delay, suspend or terminate any clinical trial, the commercial prospects of our product candidates will be harmed and our ability to generate product revenues from this product candidate will be delayed or eliminated. Serious adverse events, or SAEs, observed in clinical trials could hinder or prevent market acceptance of our product candidates or reduce the duration of time that physicians expect to use our product in particular patients. Any of these occurrences may harm our business, prospects, financial condition and results of operations significantly.</w:t>
      </w:r>
    </w:p>
    <w:p>
      <w:pPr>
        <w:spacing w:after="0" w:line="18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 stage testing have later been found to cause side effects that prevented further development. In addition, regulatory authorities may draw different conclusions, require additional testing to confirm these determinations, require more restrictive labeling, or deny regulatory approval of the product candidate.</w:t>
      </w:r>
    </w:p>
    <w:p>
      <w:pPr>
        <w:spacing w:after="0" w:line="180"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It is possible that, as we test our product candidates in larger, longer and more extensive clinical trials, including with different dosing regimens, or as the use of our product candidates becomes more widespread following any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harm our business, financial condition, results of operations and prospects significantly.</w:t>
      </w:r>
    </w:p>
    <w:p>
      <w:pPr>
        <w:spacing w:after="0" w:line="18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In addition, if any of our product candidates receive marketing approval, and we or others later identify undesirable side effects caused by treatment with such drug, a number of potentially significant negative consequences could result, including:</w:t>
      </w:r>
    </w:p>
    <w:p>
      <w:pPr>
        <w:spacing w:after="0" w:line="63"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withdraw approval of the drug;</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the drug is administered to patients;</w:t>
      </w:r>
    </w:p>
    <w:p>
      <w:pPr>
        <w:spacing w:after="0" w:line="103" w:lineRule="exact"/>
        <w:rPr>
          <w:rFonts w:ascii="Arial" w:cs="Arial" w:eastAsia="Arial" w:hAnsi="Arial"/>
          <w:sz w:val="18"/>
          <w:szCs w:val="18"/>
          <w:color w:val="auto"/>
        </w:rPr>
      </w:pPr>
    </w:p>
    <w:p>
      <w:pPr>
        <w:ind w:left="520" w:right="340" w:hanging="512"/>
        <w:spacing w:after="0" w:line="324" w:lineRule="auto"/>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16" w:lineRule="exact"/>
        <w:rPr>
          <w:rFonts w:ascii="Arial" w:cs="Arial" w:eastAsia="Arial" w:hAnsi="Arial"/>
          <w:sz w:val="16"/>
          <w:szCs w:val="16"/>
          <w:color w:val="auto"/>
        </w:rPr>
      </w:pPr>
    </w:p>
    <w:p>
      <w:pPr>
        <w:ind w:left="520" w:hanging="512"/>
        <w:spacing w:after="0"/>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may be required to implement a REMS or create a medication guide outlining the risks of such side effects for distribution to patients;</w:t>
      </w:r>
    </w:p>
    <w:p>
      <w:pPr>
        <w:spacing w:after="0" w:line="115" w:lineRule="exact"/>
        <w:rPr>
          <w:rFonts w:ascii="Arial" w:cs="Arial" w:eastAsia="Arial" w:hAnsi="Arial"/>
          <w:sz w:val="17"/>
          <w:szCs w:val="17"/>
          <w:color w:val="auto"/>
        </w:rPr>
      </w:pPr>
    </w:p>
    <w:p>
      <w:pPr>
        <w:ind w:left="520" w:right="300" w:hanging="512"/>
        <w:spacing w:after="0" w:line="261"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promotion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drug could become less competitive;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if approved, and could significantly harm our business, financial condition, results of operations and prospects.</w:t>
      </w: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9" w:name="page50"/>
    <w:bookmarkEnd w:id="49"/>
    <w:p>
      <w:pPr>
        <w:ind w:right="200"/>
        <w:spacing w:after="0" w:line="291" w:lineRule="auto"/>
        <w:rPr>
          <w:sz w:val="20"/>
          <w:szCs w:val="20"/>
          <w:color w:val="auto"/>
        </w:rPr>
      </w:pPr>
      <w:r>
        <w:rPr>
          <w:rFonts w:ascii="Arial" w:cs="Arial" w:eastAsia="Arial" w:hAnsi="Arial"/>
          <w:sz w:val="17"/>
          <w:szCs w:val="17"/>
          <w:b w:val="1"/>
          <w:bCs w:val="1"/>
          <w:i w:val="1"/>
          <w:iCs w:val="1"/>
          <w:color w:val="auto"/>
        </w:rPr>
        <w:t>Preliminary, interim, initial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39"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such as the preliminary data analysis for the pivotal Phase 2 of our tovorafenib (DAY101) trial. These updates are based on a preliminary analysis of then-available data, and the results and related findings and conclusions are subject to change following a more comprehensive review of the data related to the particular study or trial. Additionally, interim data from clinical trials that we may complete are subject to the risk that one or more of the clinical outcomes may materially change as patient enrollment continues and more patient data become available. Therefore, positive interim or initial results in any ongoing clinical trial may not be predictive of such results in the completed study or trial. We also make assumptions, estimations, calculations and conclusions as part of our analyses of data, and we may not have received or had the opportunity to fully and carefully evaluate all data. As a result, the initial or topline results that we report may differ from future results of the same studies, or different conclusions or considerations may qualify such results, once additional data have been received and fully evaluated. Initial or topline data also remain subject to audit and verification procedures that may result in the final data being materially different from the preliminary data we previously published.</w:t>
      </w:r>
    </w:p>
    <w:p>
      <w:pPr>
        <w:spacing w:after="0" w:line="180"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7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3"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8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The market opportunities for any product candidates we develop, if approved, may be limited to certain smaller patient subsets and may be smaller than we estimate them to be.</w:t>
      </w:r>
    </w:p>
    <w:p>
      <w:pPr>
        <w:spacing w:after="0" w:line="63"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We plan to seek approval of tovorafenib (DAY101) as a treatment of both naïve and relapsed/progressive pLGG. There is no guarantee that our product candidates would be approved for either line of treatment, and prior to any such approvals we may have to conduct additional clinical trials that may be costly, time-consuming and subject to risk.</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50" w:name="page51"/>
    <w:bookmarkEnd w:id="50"/>
    <w:p>
      <w:pPr>
        <w:spacing w:after="0" w:line="270" w:lineRule="auto"/>
        <w:rPr>
          <w:sz w:val="20"/>
          <w:szCs w:val="20"/>
          <w:color w:val="auto"/>
        </w:rPr>
      </w:pPr>
      <w:r>
        <w:rPr>
          <w:rFonts w:ascii="Arial" w:cs="Arial" w:eastAsia="Arial" w:hAnsi="Arial"/>
          <w:sz w:val="16"/>
          <w:szCs w:val="16"/>
          <w:color w:val="auto"/>
        </w:rPr>
        <w:t>Our projections of both the number of people who have the cancers we are targeting, as well as the subset of people with these cancers in a position to receive a particular line of therapy and who have the potential to benefit from treatment with our product candidates, are based on our beliefs and estimates. For example, pLGG is a rare disease, and as such, our projections of both the number of people who have this disease, as well as the subset of people with pLGG who have the potential to benefit from treatment with our product candidates, are based on estimates. These estimates have been derived from a variety of sources, including scientific literature, surveys of clinics, patient foundations or market research, and may prove to be incorrect. Further, new studies may change the estimated incidence or prevalence of the cancers that we are targeting. The potentially addressable patient population for our product candidates may be limited or may not be amenable to treatment with our product candidates. Consequently, even if our product candidates are approved,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 Even if we obtain significant market share for our products, if approved, if the potential target populations are small, we may never achieve profitability without obtaining regulatory approval for additional indications.</w:t>
      </w:r>
    </w:p>
    <w:p>
      <w:pPr>
        <w:spacing w:after="0" w:line="275" w:lineRule="exact"/>
        <w:rPr>
          <w:sz w:val="20"/>
          <w:szCs w:val="20"/>
          <w:color w:val="auto"/>
        </w:rPr>
      </w:pPr>
    </w:p>
    <w:p>
      <w:pPr>
        <w:jc w:val="both"/>
        <w:ind w:right="200"/>
        <w:spacing w:after="0" w:line="248" w:lineRule="auto"/>
        <w:rPr>
          <w:sz w:val="20"/>
          <w:szCs w:val="20"/>
          <w:color w:val="auto"/>
        </w:rPr>
      </w:pPr>
      <w:r>
        <w:rPr>
          <w:rFonts w:ascii="Arial" w:cs="Arial" w:eastAsia="Arial" w:hAnsi="Arial"/>
          <w:sz w:val="18"/>
          <w:szCs w:val="18"/>
          <w:b w:val="1"/>
          <w:bCs w:val="1"/>
          <w:i w:val="1"/>
          <w:iCs w:val="1"/>
          <w:color w:val="auto"/>
        </w:rPr>
        <w:t>Our clinical development activities are primarily focused on the development of targeted therapeutics for patients with genomically defined cancers, which is a rapidly evolving area of science, and the approach we are taking to discover and develop drugs is novel and may never lead to approved or marketable products.</w:t>
      </w:r>
    </w:p>
    <w:p>
      <w:pPr>
        <w:spacing w:after="0" w:line="74"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discovery and development of targeted therapeutics for patients with genomically defined cancers is an emerging field, and the scientific discoveries that form the basis for our efforts to discover, identify and develop product candidates are relatively new. The scientific evidence to support the feasibility of developing product candidates based on these discoveries is both preliminary and limited. Although we believe, based on our product candidates’ preclinical trial results and our clinical work, that the genomic alterations targeted by our programs are oncogenic drivers,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we cannot be certain that the resulting patient populations for each mutation will be large enough to allow us to successfully obtain approval for each mutation type and commercialize our product candidates and achieve profitability. In addition, even if our approach is successful in showing clinical benefit for RAF-driven cancers for our tovorafenib (DAY101) program, we may never successfully identify additional oncogenic alterations sensitive to tovorafenib (DAY101) in other MAPK-driven tumors. Therefore, we do not know if our approach of treating patients with genomically defined cancers will be successful, and if our approach is unsuccessful, our business will suffer.</w:t>
      </w:r>
    </w:p>
    <w:p>
      <w:pPr>
        <w:spacing w:after="0" w:line="27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or their families, healthcare payors and others in the medical community necessary for commercial success.</w:t>
      </w:r>
    </w:p>
    <w:p>
      <w:pPr>
        <w:spacing w:after="0" w:line="63"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or their families, third-party payors and others in the medical community. The degree of market acceptance of any of our approved product candidates will depend on a number of factors, including:</w:t>
      </w:r>
    </w:p>
    <w:p>
      <w:pPr>
        <w:spacing w:after="0" w:line="74" w:lineRule="exact"/>
        <w:rPr>
          <w:sz w:val="20"/>
          <w:szCs w:val="20"/>
          <w:color w:val="auto"/>
        </w:rPr>
      </w:pPr>
    </w:p>
    <w:p>
      <w:pPr>
        <w:ind w:left="520" w:right="220" w:hanging="512"/>
        <w:spacing w:after="0" w:line="261"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efficacy, durability and safety profile as demonstrated in clinical trials compared to alternative treatments, in addition to functional, quality, or patient-reported outcomes;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03" w:lineRule="exact"/>
        <w:rPr>
          <w:rFonts w:ascii="Arial" w:cs="Arial" w:eastAsia="Arial" w:hAnsi="Arial"/>
          <w:sz w:val="18"/>
          <w:szCs w:val="18"/>
          <w:color w:val="auto"/>
        </w:rPr>
      </w:pPr>
    </w:p>
    <w:p>
      <w:pPr>
        <w:ind w:left="520" w:right="460" w:hanging="512"/>
        <w:spacing w:after="0" w:line="261"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the use of product candidates in the labeling approved by regulatory authorities, such as boxed warnings or contraindications in labeling, or a REMS, if any, which may not be required of alternative treatments and competitor products;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and the cost/benefit ratios of each;</w:t>
      </w:r>
    </w:p>
    <w:p>
      <w:pPr>
        <w:spacing w:after="0" w:line="103"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including government authorities, and timing of relevant formulary decision-making resulting in this coverage and reimbursement;</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of an approved product candidate for use as a combination therapy;</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 relation to competition;</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1" w:name="page52"/>
    <w:bookmarkEnd w:id="51"/>
    <w:p>
      <w:pPr>
        <w:ind w:left="520" w:right="200" w:hanging="512"/>
        <w:spacing w:after="0" w:line="291" w:lineRule="auto"/>
        <w:tabs>
          <w:tab w:leader="none" w:pos="5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willingness of the target patient population (which may include willingness of our pediatric patients’ parents) to try new therapies and undergo required diagnostic screening to determine treatment eligibility and of physicians to prescribe these therapies and diagnostic tests;</w:t>
      </w:r>
    </w:p>
    <w:p>
      <w:pPr>
        <w:spacing w:after="0" w:line="38" w:lineRule="exact"/>
        <w:rPr>
          <w:rFonts w:ascii="Arial" w:cs="Arial" w:eastAsia="Arial" w:hAnsi="Arial"/>
          <w:sz w:val="17"/>
          <w:szCs w:val="17"/>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effectiveness of sales, marketing efforts and market access;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212"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255"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b w:val="1"/>
          <w:bCs w:val="1"/>
          <w:i w:val="1"/>
          <w:iCs w:val="1"/>
          <w:color w:val="auto"/>
        </w:rPr>
        <w:t>Any product candidates we develop may become subject to unfavorable third-party coverage and reimbursement practices, as well as pricing regulations.</w:t>
      </w:r>
    </w:p>
    <w:p>
      <w:pPr>
        <w:spacing w:after="0" w:line="6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34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products. The payor mix for pediatric products in the United States is a fragmented combination of state-specific Medicaid policies and a broad universe of private insurance companies. There is no consistent policy or leading payor to inform other price setting entities. National payor policies are expected to be critical to our ability to achieve broad payment coverage.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80"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As federal and state governments implement additional health care cost containment measures, including measures to lower prescription drug pricing, we cannot be sure that our products, if approved, will be covered by private or public payors, and if covered, whether the reimbursement will be adequate or competitive with other marketed products. For example, the former president of the United States signed executive orders aimed at lowering prescription drug prices and the current president of the United States has expressed an intention to address prescription drug costs. These and other actions by federal and state governments and health plans may put additional downward pressure on pharmaceutical pricing and health care costs, which could negatively impact coverage and reimbursement for our products if approved, our revenue, and our ability to compete with other marketed products and to recoup the costs of our research and development.</w:t>
      </w:r>
    </w:p>
    <w:p>
      <w:pPr>
        <w:spacing w:after="0" w:line="18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plan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94"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2" w:name="page53"/>
    <w:bookmarkEnd w:id="52"/>
    <w:p>
      <w:pPr>
        <w:ind w:right="40"/>
        <w:spacing w:after="0" w:line="270" w:lineRule="auto"/>
        <w:rPr>
          <w:sz w:val="20"/>
          <w:szCs w:val="20"/>
          <w:color w:val="auto"/>
        </w:rPr>
      </w:pPr>
      <w:r>
        <w:rPr>
          <w:rFonts w:ascii="Arial" w:cs="Arial" w:eastAsia="Arial" w:hAnsi="Arial"/>
          <w:sz w:val="16"/>
          <w:szCs w:val="16"/>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or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71" w:lineRule="exact"/>
        <w:rPr>
          <w:sz w:val="20"/>
          <w:szCs w:val="20"/>
          <w:color w:val="auto"/>
        </w:rPr>
      </w:pPr>
    </w:p>
    <w:p>
      <w:pPr>
        <w:ind w:right="60" w:firstLine="4"/>
        <w:spacing w:after="0" w:line="241"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9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6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advancing our product candidates into clinical trials or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0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The development and commercialization of pharmaceutical products are subject to extensive regulation, and we may not obtain regulatory approvals for tovorafenib (DAY101), pimasertib or any future product candidates, on a timely basis or at all.</w:t>
      </w:r>
    </w:p>
    <w:p>
      <w:pPr>
        <w:spacing w:after="0" w:line="6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tovorafenib (DAY101) and pimasertib, currently our only product candidates in planned or ongoing clinical trials, as well as any other product candidate that we may develop in the future, are subject to extensive regulation. Marketing approval of drugs in the United States requires the submission of an NDA to the FDA, and we are not permitted to market any product candidate in the United States until we obtain approval from the FDA of the NDA for that product. An NDA must be supported by extensive clinical and preclinical data, as well as extensive information regarding pharmacology, chemistry, manufacturing and controls. Our product candidates must be approved by comparable regulatory authorities in other jurisdictions prior to commercialization.</w:t>
      </w:r>
    </w:p>
    <w:p>
      <w:pPr>
        <w:spacing w:after="0" w:line="19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FDA approval of an NDA is not guaranteed, and the review and approval process is an expensive and uncertain process that may take several years. Of the large number of drugs in development in the United States, only a small percentage will successfully complete the FDA regulatory approval process and will be commercialized. Accordingly, there can be no assurance that any of our product candidates will receive regulatory approval in the United States, or other jurisdictions.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3" w:name="page54"/>
    <w:bookmarkEnd w:id="53"/>
    <w:p>
      <w:pPr>
        <w:ind w:right="20"/>
        <w:spacing w:after="0" w:line="270" w:lineRule="auto"/>
        <w:rPr>
          <w:sz w:val="20"/>
          <w:szCs w:val="20"/>
          <w:color w:val="auto"/>
        </w:rPr>
      </w:pPr>
      <w:r>
        <w:rPr>
          <w:rFonts w:ascii="Arial" w:cs="Arial" w:eastAsia="Arial" w:hAnsi="Arial"/>
          <w:sz w:val="16"/>
          <w:szCs w:val="16"/>
          <w:color w:val="auto"/>
        </w:rPr>
        <w:t>The FDA also has substantial discretion in the approval process. The number and types of preclinical studies and clinical trials that will be required for NDA approval varies depending on the product candidate, the disease or the condition that the product candidate is designed to treat and the regulations applicable to any particular product candidate. For example, if successful, we believe that the pivotal Phase 2 clinical trial of tovorafenib (DAY101) may be sufficient to support FDA approval of an NDA for tovorafenib (DAY101), but the FDA may disagree with the sufficiency of our data and require additional clinical trials. Additionally, depending upon the results of the Phase 2 clinical trial of tovorafenib (DAY101), we may receive accelerated approval for tovorafenib (DAY101), which would require additional data and potentially a confirmatory trial to validate the clinical benefit of the drug. Despite the time and expense associated with preclinical studies and clinical trials, failure can occur at any stage. The results of preclinical and early clinical trials of tovorafenib (DAY101) or pimasertib or any other product candidate may not be predictive of the results of our later-stage clinical trials. Additionally, we have become aware of competitor clinical trials in front-line pLGG and we believe the FDA and other regulators may consider the design and results of these trials when evaluating our front-line program. For example, while we may believe certain results in patients, such as stable disease, suggest encouraging clinical activity, stable disease is not considered a response for regulatory purposes in an endpoint assessing overall response rate, or ORR.</w:t>
      </w:r>
    </w:p>
    <w:p>
      <w:pPr>
        <w:spacing w:after="0" w:line="16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Clinical trial failure may result from a multitude of factors including flaws in trial design, dose selection, placebo effect, patient enrollment criteria and failure to demonstrate favorable safety or efficacy traits, and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The FDA could delay, limit or deny approval of a product candidate for many reasons, including because the FDA:</w:t>
      </w:r>
    </w:p>
    <w:p>
      <w:pPr>
        <w:spacing w:after="0" w:line="83"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not deem our product candidate to be safe and effective;</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determines that the product candidate does not have an acceptable benefit-risk profile;</w:t>
      </w:r>
    </w:p>
    <w:p>
      <w:pPr>
        <w:spacing w:after="0" w:line="103" w:lineRule="exact"/>
        <w:rPr>
          <w:rFonts w:ascii="Arial" w:cs="Arial" w:eastAsia="Arial" w:hAnsi="Arial"/>
          <w:sz w:val="18"/>
          <w:szCs w:val="18"/>
          <w:color w:val="auto"/>
        </w:rPr>
      </w:pPr>
    </w:p>
    <w:p>
      <w:pPr>
        <w:ind w:left="520" w:right="420" w:hanging="512"/>
        <w:spacing w:after="0" w:line="261"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determines in the case of an NDA seeking accelerated approval that the NDA does not provide evidence that the product candidate represents a meaningful advantage over available therapies;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determines that ORR as the primary endpoint, complemented by key secondary endpoints, are insufficient to reliably define clinical benefit;</w:t>
      </w:r>
    </w:p>
    <w:p>
      <w:pPr>
        <w:spacing w:after="0" w:line="115" w:lineRule="exact"/>
        <w:rPr>
          <w:rFonts w:ascii="Arial" w:cs="Arial" w:eastAsia="Arial" w:hAnsi="Arial"/>
          <w:sz w:val="17"/>
          <w:szCs w:val="17"/>
          <w:color w:val="auto"/>
        </w:rPr>
      </w:pPr>
    </w:p>
    <w:p>
      <w:pPr>
        <w:ind w:left="520" w:right="140" w:hanging="512"/>
        <w:spacing w:after="0" w:line="291"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may not agree that the data collected from preclinical studies and clinical trials are acceptable or sufficient to support the submission of an NDA or other submission or to obtain regulatory approval, and may impose requirements for additional preclinical studies or clinical trials;</w:t>
      </w:r>
    </w:p>
    <w:p>
      <w:pPr>
        <w:spacing w:after="0" w:line="38" w:lineRule="exact"/>
        <w:rPr>
          <w:rFonts w:ascii="Arial" w:cs="Arial" w:eastAsia="Arial" w:hAnsi="Arial"/>
          <w:sz w:val="17"/>
          <w:szCs w:val="17"/>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determine that adverse events experienced by participants in our clinical trials represent an unacceptable level of risk;</w:t>
      </w:r>
    </w:p>
    <w:p>
      <w:pPr>
        <w:spacing w:after="0" w:line="103" w:lineRule="exact"/>
        <w:rPr>
          <w:rFonts w:ascii="Arial" w:cs="Arial" w:eastAsia="Arial" w:hAnsi="Arial"/>
          <w:sz w:val="18"/>
          <w:szCs w:val="18"/>
          <w:color w:val="auto"/>
        </w:rPr>
      </w:pPr>
    </w:p>
    <w:p>
      <w:pPr>
        <w:ind w:left="520" w:right="200" w:hanging="512"/>
        <w:spacing w:after="0" w:line="261"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determine that the population studied in the clinical trial may not be sufficiently broad or representative to assure safety in the full population for which we seek approval;</w:t>
      </w:r>
    </w:p>
    <w:p>
      <w:pPr>
        <w:spacing w:after="0" w:line="62" w:lineRule="exact"/>
        <w:rPr>
          <w:rFonts w:ascii="Arial" w:cs="Arial" w:eastAsia="Arial" w:hAnsi="Arial"/>
          <w:sz w:val="18"/>
          <w:szCs w:val="18"/>
          <w:color w:val="auto"/>
        </w:rPr>
      </w:pPr>
    </w:p>
    <w:p>
      <w:pPr>
        <w:ind w:left="520" w:right="260" w:hanging="512"/>
        <w:spacing w:after="0" w:line="261"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not accept clinical data from trials, which are conducted at clinical facilities or in countries where the standard of care is potentially different from that of the United States;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disagree regarding the formulation, labeling and/or the specifications;</w:t>
      </w:r>
    </w:p>
    <w:p>
      <w:pPr>
        <w:spacing w:after="0" w:line="103" w:lineRule="exact"/>
        <w:rPr>
          <w:rFonts w:ascii="Arial" w:cs="Arial" w:eastAsia="Arial" w:hAnsi="Arial"/>
          <w:sz w:val="18"/>
          <w:szCs w:val="18"/>
          <w:color w:val="auto"/>
        </w:rPr>
      </w:pPr>
    </w:p>
    <w:p>
      <w:pPr>
        <w:ind w:left="520" w:hanging="512"/>
        <w:spacing w:after="0" w:line="261"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not approve the manufacturing processes associated with our product candidate or may determine that a manufacturing facility does not have an acceptable compliance status;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change approval policies or adopt new regulations; or</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not file a submission due to, among other reasons, the content or formatting of the submission.</w:t>
      </w:r>
    </w:p>
    <w:p>
      <w:pPr>
        <w:spacing w:after="0" w:line="212"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We have not obtained FDA approval for any product. This lack of experience may impede our ability to obtain FDA approval in a timely manner, if at all, for our clinical product candidates. Furthermore, even if we receive FDA approval, there is no assurance that we will receive similar approval from comparable regulatory authorities in foreign jurisdictions, which may limit our addressable market and could adversely affect our business, prospects, financial condition and results of operations.</w:t>
      </w:r>
    </w:p>
    <w:p>
      <w:pPr>
        <w:spacing w:after="0" w:line="188" w:lineRule="exact"/>
        <w:rPr>
          <w:sz w:val="20"/>
          <w:szCs w:val="20"/>
          <w:color w:val="auto"/>
        </w:rPr>
      </w:pPr>
    </w:p>
    <w:p>
      <w:pPr>
        <w:jc w:val="both"/>
        <w:ind w:right="340"/>
        <w:spacing w:after="0" w:line="248" w:lineRule="auto"/>
        <w:rPr>
          <w:sz w:val="20"/>
          <w:szCs w:val="20"/>
          <w:color w:val="auto"/>
        </w:rPr>
      </w:pPr>
      <w:r>
        <w:rPr>
          <w:rFonts w:ascii="Arial" w:cs="Arial" w:eastAsia="Arial" w:hAnsi="Arial"/>
          <w:sz w:val="18"/>
          <w:szCs w:val="18"/>
          <w:color w:val="auto"/>
        </w:rPr>
        <w:t>If we experience delays in obtaining approval or if we fail to obtain approval of tovorafenib (DAY101) or pimasertib, our commercial prospects will be harmed and our ability to generate revenues will be materially impaired, which would adversely affect our business, prospects, financial condition and results of operations.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4" w:name="page55"/>
    <w:bookmarkEnd w:id="54"/>
    <w:p>
      <w:pPr>
        <w:ind w:right="180"/>
        <w:spacing w:after="0" w:line="261" w:lineRule="auto"/>
        <w:rPr>
          <w:sz w:val="20"/>
          <w:szCs w:val="20"/>
          <w:color w:val="auto"/>
        </w:rPr>
      </w:pPr>
      <w:r>
        <w:rPr>
          <w:rFonts w:ascii="Arial" w:cs="Arial" w:eastAsia="Arial" w:hAnsi="Arial"/>
          <w:sz w:val="18"/>
          <w:szCs w:val="18"/>
          <w:b w:val="1"/>
          <w:bCs w:val="1"/>
          <w:i w:val="1"/>
          <w:iCs w:val="1"/>
          <w:color w:val="auto"/>
        </w:rPr>
        <w:t>The accelerated approval pathway for our product candidates may not lead to a faster development or regulatory review or approval process and does not increase the likelihood that our product candidates will receive marketing approval.</w:t>
      </w:r>
    </w:p>
    <w:p>
      <w:pPr>
        <w:spacing w:after="0" w:line="6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Under the FDA’s accelerated approval program,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may seek accelerated approval for one or more of our product candidates on the basis of ORR, a surrogate endpoint that we believe is reasonably likely to predict clinical benefit.</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For drugs granted accelerated approval, post-marketing confirmatory trials are required to describe the anticipated effect on irreversible morbidity or mortality or other clinical benefit. These confirmatory trials must be completed with due diligence and, in most cases, the FDA may require that the trial be designed, initiated, and/or fully enrolled prior to approval. If any of our competitors were to receive full approval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 Moreover, the FDA may withdraw approval of our product candidate approved under the accelerated approval pathway if, for example:</w:t>
      </w:r>
    </w:p>
    <w:p>
      <w:pPr>
        <w:spacing w:after="0" w:line="67" w:lineRule="exact"/>
        <w:rPr>
          <w:sz w:val="20"/>
          <w:szCs w:val="20"/>
          <w:color w:val="auto"/>
        </w:rPr>
      </w:pPr>
    </w:p>
    <w:p>
      <w:pPr>
        <w:ind w:left="520" w:right="160" w:hanging="512"/>
        <w:spacing w:after="0" w:line="261"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trial or trials required to verify the predicted clinical benefit of our product candidate fail to verify such benefit or do not demonstrate sufficient clinical benefit to justify the risks associated with the drug;</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evidence demonstrates that our product candidate is not shown to be safe or effective under the conditions of use;</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fail to conduct any required post-approval trial of our product candidate with due diligence; or</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disseminate false or misleading promotional materials relating to the relevant product candidate.</w:t>
      </w:r>
    </w:p>
    <w:p>
      <w:pPr>
        <w:spacing w:after="0" w:line="320"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b w:val="1"/>
          <w:bCs w:val="1"/>
          <w:i w:val="1"/>
          <w:iCs w:val="1"/>
          <w:color w:val="auto"/>
        </w:rPr>
        <w:t>Even though we have received Breakthrough Therapy designation by the FDA for tovorafenib (DAY101) in treating pLGG, such designation may not lead to a faster development or regulatory review or approval process, and it does not increase the likelihood that tovorafenib (DAY101) will receive marketing approval.</w:t>
      </w:r>
    </w:p>
    <w:p>
      <w:pPr>
        <w:spacing w:after="0" w:line="74"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We have received Breakthrough Therapy designation by the FDA for tovorafenib (DAY101) in patients with advanced pLGG.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NDA.</w:t>
      </w:r>
    </w:p>
    <w:p>
      <w:pPr>
        <w:spacing w:after="0" w:line="180"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Although Breakthrough Therapy designation or access to any other expedited program may expedite the development or approval process, it does not change the standards for approval. Although we obtained Breakthrough Therapy designation for tovorafenib (DAY101) in advanced pLGG, we may not experience faster development timelines or achieve faster review or approval compared to conventional FDA procedures. For example, the time required to identify and resolve issues relating to manufacturing and controls, the acquisition of a sufficient supply of our product for clinical trial purposes or the need to conduct additional nonclinical or clinical studies may delay approval by the FDA, even if the product qualifies for Breakthrough Therapy designation or access to any other expedited program.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such product.</w:t>
      </w:r>
    </w:p>
    <w:p>
      <w:pPr>
        <w:spacing w:after="0" w:line="289" w:lineRule="exact"/>
        <w:rPr>
          <w:sz w:val="20"/>
          <w:szCs w:val="20"/>
          <w:color w:val="auto"/>
        </w:rPr>
      </w:pPr>
    </w:p>
    <w:p>
      <w:pPr>
        <w:ind w:right="40"/>
        <w:spacing w:after="0" w:line="292" w:lineRule="auto"/>
        <w:rPr>
          <w:sz w:val="20"/>
          <w:szCs w:val="20"/>
          <w:color w:val="auto"/>
        </w:rPr>
      </w:pPr>
      <w:r>
        <w:rPr>
          <w:rFonts w:ascii="Arial" w:cs="Arial" w:eastAsia="Arial" w:hAnsi="Arial"/>
          <w:sz w:val="15"/>
          <w:szCs w:val="15"/>
          <w:b w:val="1"/>
          <w:bCs w:val="1"/>
          <w:i w:val="1"/>
          <w:iCs w:val="1"/>
          <w:color w:val="auto"/>
        </w:rPr>
        <w:t>Our failure to obtain marketing approval in foreign jurisdictions would prevent our product candidates from being marketed in those jurisdictions, and any approval we are granted for our product candidates in the United States would not assure approval of product candidates in foreign jurisdictions.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5" w:name="page56"/>
    <w:bookmarkEnd w:id="55"/>
    <w:p>
      <w:pPr>
        <w:spacing w:after="0" w:line="272" w:lineRule="auto"/>
        <w:rPr>
          <w:sz w:val="20"/>
          <w:szCs w:val="20"/>
          <w:color w:val="auto"/>
        </w:rPr>
      </w:pPr>
      <w:r>
        <w:rPr>
          <w:rFonts w:ascii="Arial" w:cs="Arial" w:eastAsia="Arial" w:hAnsi="Arial"/>
          <w:sz w:val="16"/>
          <w:szCs w:val="16"/>
          <w:color w:val="auto"/>
        </w:rPr>
        <w:t>In order to market and sell our products in any jurisdiction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necessary approvals to commercialize our products in any market.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w:t>
      </w:r>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We have obtained orphan drug designation in the United States and in the EU for use of tovorafenib (DAY101) in treating malignant glioma and glioma, respectively. We may seek orphan drug designation for tovorafenib (DAY101) in additional geographies or indications, or for pimasertib or any product candidates we develop in the future. 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the drug for the type of disease or condition will be recovered from sales of the product in the United States.</w:t>
      </w:r>
    </w:p>
    <w:p>
      <w:pPr>
        <w:spacing w:after="0" w:line="180"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drug for the same indication during that time period. The applicable period is seven years in the United States and ten years in the EU. The EU exclusivity period can be reduced to six years if a drug no longer meets the criteria for orphan drug designation or if the drug is sufficiently profitable so that market exclusivity is no longer justified. Orphan drug exclusivity in the United States may be lost if the FDA determines that the request for designation was materially defective or if the manufacturer is unable to assure sufficient quantity of the drug to meet the needs of patients with the rare disease or condition.</w:t>
      </w:r>
    </w:p>
    <w:p>
      <w:pPr>
        <w:spacing w:after="0" w:line="19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FDA may approve a subsequent application to market the same drug for the same indication during the exclusivity period in certain circumstances, such as if the subsequent product demonstrates clinical superiority (i.e., the subsequent product is safer, more effective or makes a major contribution to patient care) over the product with orphan exclusivity. Competitors, however, may receive approval of different products for the same indication for which the orphan product has exclusivity, or obtain approval for the same product but for a different indication than that for which the orphan product has exclusivity. Orphan drug designation also entitles a party to financial incentives, such as opportunities for grant funding towards clinical trial costs, tax advantages and user-fee waivers.</w:t>
      </w:r>
    </w:p>
    <w:p>
      <w:pPr>
        <w:spacing w:after="0" w:line="18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cannot assure you that any future application for orphan drug designation with respect to any other product candidate will be granted. If we are unable to obtain orphan drug designation with respect to other product candidates in the United States or other jurisdictions, we will not be eligible to obtain the period of market exclusivity that could result from orphan drug designation or be afforded the financial incentives associated with orphan drug designation.</w:t>
      </w:r>
    </w:p>
    <w:p>
      <w:pPr>
        <w:spacing w:after="0" w:line="147"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b w:val="1"/>
          <w:bCs w:val="1"/>
          <w:i w:val="1"/>
          <w:iCs w:val="1"/>
          <w:color w:val="auto"/>
        </w:rPr>
        <w:t>We may seek a rare pediatric disease designation for one or more of our product candidates. Even if we were to obtain approval for our product candidates with the rare pediatric disease designation, the Rare Pediatric Disease Priority Review Voucher program may no longer be in effect at the time of such approval or we might not be able to capture the value of the Rare Pediatric Disease Priority Review Voucher program.</w:t>
      </w:r>
    </w:p>
    <w:p>
      <w:pPr>
        <w:spacing w:after="0" w:line="39" w:lineRule="exact"/>
        <w:rPr>
          <w:sz w:val="20"/>
          <w:szCs w:val="20"/>
          <w:color w:val="auto"/>
        </w:rPr>
      </w:pPr>
    </w:p>
    <w:p>
      <w:pPr>
        <w:jc w:val="both"/>
        <w:ind w:right="120"/>
        <w:spacing w:after="0" w:line="270" w:lineRule="auto"/>
        <w:rPr>
          <w:sz w:val="20"/>
          <w:szCs w:val="20"/>
          <w:color w:val="auto"/>
        </w:rPr>
      </w:pPr>
      <w:r>
        <w:rPr>
          <w:rFonts w:ascii="Arial" w:cs="Arial" w:eastAsia="Arial" w:hAnsi="Arial"/>
          <w:sz w:val="17"/>
          <w:szCs w:val="17"/>
          <w:color w:val="auto"/>
        </w:rPr>
        <w:t>Tovorafenib (DAY101) was granted rare pediatric designation by the FDA in May 2021 for tovorafenib (DAY101) in the treatment of low-grade gliomas, or LGGs, harboring an activating RAF alteration that disproportionately affects children. We intend to submit the initial tovorafenib (DAY101) NDA as a rare pediatric designation marketing application which may or may not be designated as such by the FDA upon review.</w:t>
      </w:r>
    </w:p>
    <w:p>
      <w:pPr>
        <w:spacing w:after="0" w:line="5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Congress authorized the FDA to award priority review vouchers to sponsors of certain rare pediatric disease product applications that meet the specified criteria. These vouchers are designed to encourage development of new drug and biological products for prevention and treatment of certain rare pediatric diseases.</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56" w:name="page57"/>
    <w:bookmarkEnd w:id="56"/>
    <w:p>
      <w:pPr>
        <w:ind w:right="40"/>
        <w:spacing w:after="0"/>
        <w:rPr>
          <w:sz w:val="20"/>
          <w:szCs w:val="20"/>
          <w:color w:val="auto"/>
        </w:rPr>
      </w:pPr>
      <w:r>
        <w:rPr>
          <w:rFonts w:ascii="Arial" w:cs="Arial" w:eastAsia="Arial" w:hAnsi="Arial"/>
          <w:sz w:val="18"/>
          <w:szCs w:val="18"/>
          <w:color w:val="auto"/>
        </w:rPr>
        <w:t>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Although the voucher can be sold or transferred to third parties, there is no guarantee that we will be able to receive such voucher, or realize any value if we receive and were to sell the voucher.</w:t>
      </w:r>
    </w:p>
    <w:p>
      <w:pPr>
        <w:spacing w:after="0" w:line="189"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For the purposes of this program, a rare pediatric disease is a (i) serious or life-threatening disease in which the serious or life-threatening manifestations primarily affect individuals aged from birth to 18 years, including age groups often called neonates, infants, children, and adolescents; and (ii) rare disease or condition within the meaning of the Orphan Drug Act. The FDA may determine that an application for one or more of our product candidates does not meet the eligibility criteria for a priority review voucher upon approval.</w:t>
      </w:r>
    </w:p>
    <w:p>
      <w:pPr>
        <w:spacing w:after="0" w:line="188"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Moreover, while the opportunity to receive a priority review voucher was meant to expire for those companies that had not received a designation by September 30, 2020, the Rare Pediatric Disease Priority Review Voucher program was extended by Congress in December 2020. Under the current statutory sunset provisions, after September 30, 2024, the FDA may only award a voucher for an approved rare pediatric disease product application if the sponsor has rare pediatric disease designation for the drug, and that designation was granted by September 30, 2024. After September 30, 2026, the FDA may not award any rare pediatric disease priority review vouchers.</w:t>
      </w:r>
    </w:p>
    <w:p>
      <w:pPr>
        <w:spacing w:after="0" w:line="297" w:lineRule="exact"/>
        <w:rPr>
          <w:sz w:val="20"/>
          <w:szCs w:val="20"/>
          <w:color w:val="auto"/>
        </w:rPr>
      </w:pPr>
    </w:p>
    <w:p>
      <w:pPr>
        <w:ind w:right="560"/>
        <w:spacing w:after="0" w:line="248" w:lineRule="auto"/>
        <w:rPr>
          <w:sz w:val="20"/>
          <w:szCs w:val="20"/>
          <w:color w:val="auto"/>
        </w:rPr>
      </w:pPr>
      <w:r>
        <w:rPr>
          <w:rFonts w:ascii="Arial" w:cs="Arial" w:eastAsia="Arial" w:hAnsi="Arial"/>
          <w:sz w:val="18"/>
          <w:szCs w:val="18"/>
          <w:b w:val="1"/>
          <w:bCs w:val="1"/>
          <w:i w:val="1"/>
          <w:iCs w:val="1"/>
          <w:color w:val="auto"/>
        </w:rPr>
        <w:t>If we are unable to successfully develop, validate, obtain regulatory approval of and commercialize companion diagnostic tests for any product candidates that require such tests, or experience significant delays in doing so, we may not realize the full commercial potential of these product candidates.</w:t>
      </w:r>
    </w:p>
    <w:p>
      <w:pPr>
        <w:spacing w:after="0" w:line="74"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 xml:space="preserve">A companion diagnostic is a medical device, often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device, which provides information that is essential for the safe and effective use of a corresponding therapeutic drug product. A companion diagnostic can be used to identify patients who are most likely to benefit from the therapeutic product. In the future, if required to develop a companion diagnostic, we may evaluate opportunities to develop, either by ourselves or with collaborators, companion diagnostic tests for our product candidates for certain indications.</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A companion diagnostic is generally developed in conjunction with the clinical program for an associated therapeutic product. To date, the FDA has required premarket approval of the vast majority of companion diagnostics for cancer therapies. Generally, when a companion diagnostic is essential to the safe and effective use of a drug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15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Development of a companion diagnostic could include additional meetings with regulatory authorities, such as a pre-submission meeting and the requirement to submit an investigational device exemption application. In the case of a companion diagnostic that is designated as “significant risk device,” approval of an investigational device exemption by the FDA and IRB is required before such diagnostic is used in conjunction with the clinical trials for a corresponding product candidate.</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7" w:name="page58"/>
    <w:bookmarkEnd w:id="57"/>
    <w:p>
      <w:pPr>
        <w:spacing w:after="0" w:line="268" w:lineRule="auto"/>
        <w:rPr>
          <w:sz w:val="20"/>
          <w:szCs w:val="20"/>
          <w:color w:val="auto"/>
        </w:rPr>
      </w:pPr>
      <w:r>
        <w:rPr>
          <w:rFonts w:ascii="Arial" w:cs="Arial" w:eastAsia="Arial" w:hAnsi="Arial"/>
          <w:sz w:val="16"/>
          <w:szCs w:val="16"/>
          <w:color w:val="auto"/>
        </w:rPr>
        <w:t>To be successful in developing, validating, obtaining approval of and commercializing a companion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 therapeutic product candidates that require such tests, the application for and receipt of any required regulatory approvals, and the commercial supply of these companion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approval, and we may not realize the full commercial potential of any of these therapeutics that obtain marketing approval.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regulatory approvals and the continued ability of such third parties to make the companion diagnostic commercially available to us on reasonable terms in the relevant geographies. There is no guarantee that physicians will adopt any particular companion diagnostic, be willing to understand how to use it, how to obtain reimbursement for it, how to explain it to patients, or dedicate staff to using it. Any failure to do so could materially harm our business, results of operations and financial condition.</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decide to pursue a Fast Track Designation by the FDA, it may not lead to a faster development or regulatory review or approval process.</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may seek Fast Track Designation for one or more of our product candidates. If a drug is intended for the treatment of a serious or life-threatening condition and the drug demonstrates the potential to address unmet medical needs for this condition, the product sponsor may apply for FDA Fast Track Designation. The FDA has broad discretion whether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283"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i w:val="1"/>
          <w:iCs w:val="1"/>
          <w:color w:val="auto"/>
        </w:rPr>
        <w:t>Even if we obtain marketing approval for our product candidates,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w:t>
      </w:r>
    </w:p>
    <w:p>
      <w:pPr>
        <w:spacing w:after="0" w:line="7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Any product candidates for which we receive accelerated approval from the FDA are required to undergo one or more confirmatory clinical trials. If such a product candidate fails to meet its safety and efficacy endpoints in such confirmatory clinical trials, the regulatory authority may withdraw its conditional approval. There is no assurance that any such product will successfully advance through its confirmatory clinical trial(s). Therefore, even if a product candidate receives accelerated approval from the FDA, such approval may be withdrawn at a later date. Even if marketing approval of a product candidate is granted, an approved product and its manufacturer and marketer, are subject to ongoing review and extensive regulation, which may include the requirement to implement a REMS or to conduct costly post-marketing studies or clinical trials and surveillance to monitor the safety or efficacy of the product.</w:t>
      </w:r>
    </w:p>
    <w:p>
      <w:pPr>
        <w:spacing w:after="0" w:line="19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8"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and our CMOs could be subject to periodic unannounced inspections by the FDA to monitor and ensure compliance with cGMPs.</w:t>
      </w:r>
    </w:p>
    <w:p>
      <w:pPr>
        <w:spacing w:after="0" w:line="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Accordingly, assuming we obtain marketing approval for one or more of our product candidates,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8" w:name="page59"/>
    <w:bookmarkEnd w:id="58"/>
    <w:p>
      <w:pPr>
        <w:spacing w:after="0" w:line="294" w:lineRule="auto"/>
        <w:rPr>
          <w:sz w:val="20"/>
          <w:szCs w:val="20"/>
          <w:color w:val="auto"/>
        </w:rPr>
      </w:pPr>
      <w:r>
        <w:rPr>
          <w:rFonts w:ascii="Arial" w:cs="Arial" w:eastAsia="Arial" w:hAnsi="Arial"/>
          <w:sz w:val="16"/>
          <w:szCs w:val="16"/>
          <w:b w:val="1"/>
          <w:bCs w:val="1"/>
          <w:i w:val="1"/>
          <w:iCs w:val="1"/>
          <w:color w:val="auto"/>
        </w:rPr>
        <w:t>Any product candidate for which we obtain marketing approval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p>
    <w:p>
      <w:pPr>
        <w:spacing w:after="0" w:line="3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Federal Food, Drug, and Cosmetic Act, or FDCA,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w:t>
      </w:r>
    </w:p>
    <w:p>
      <w:pPr>
        <w:spacing w:after="0" w:line="73"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2" w:right="399" w:bottom="1440" w:gutter="0" w:footer="0" w:header="0"/>
        </w:sectPr>
      </w:pPr>
    </w:p>
    <w:bookmarkStart w:id="59" w:name="page60"/>
    <w:bookmarkEnd w:id="59"/>
    <w:p>
      <w:pPr>
        <w:jc w:val="both"/>
        <w:ind w:right="40"/>
        <w:spacing w:after="0" w:line="270" w:lineRule="auto"/>
        <w:rPr>
          <w:sz w:val="20"/>
          <w:szCs w:val="20"/>
          <w:color w:val="auto"/>
        </w:rPr>
      </w:pPr>
      <w:r>
        <w:rPr>
          <w:rFonts w:ascii="Arial" w:cs="Arial" w:eastAsia="Arial" w:hAnsi="Arial"/>
          <w:sz w:val="17"/>
          <w:szCs w:val="17"/>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p>
    <w:p>
      <w:pPr>
        <w:spacing w:after="0" w:line="56"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Healthcare providers, including physicians, and third-party payors will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Restrictions under applicable federal and state healthcare laws and regulations that may be applicable to our business include the following:</w:t>
      </w:r>
    </w:p>
    <w:p>
      <w:pPr>
        <w:spacing w:after="0" w:line="51" w:lineRule="exact"/>
        <w:rPr>
          <w:sz w:val="20"/>
          <w:szCs w:val="20"/>
          <w:color w:val="auto"/>
        </w:rPr>
      </w:pPr>
    </w:p>
    <w:p>
      <w:pPr>
        <w:ind w:left="520" w:right="100" w:hanging="512"/>
        <w:spacing w:after="0" w:line="243"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9" w:lineRule="exact"/>
        <w:rPr>
          <w:rFonts w:ascii="Arial" w:cs="Arial" w:eastAsia="Arial" w:hAnsi="Arial"/>
          <w:sz w:val="18"/>
          <w:szCs w:val="18"/>
          <w:color w:val="auto"/>
        </w:rPr>
      </w:pPr>
    </w:p>
    <w:p>
      <w:pPr>
        <w:ind w:left="520" w:right="100" w:hanging="512"/>
        <w:spacing w:after="0" w:line="241"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civil false claims laws,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81" w:lineRule="exact"/>
        <w:rPr>
          <w:rFonts w:ascii="Arial" w:cs="Arial" w:eastAsia="Arial" w:hAnsi="Arial"/>
          <w:sz w:val="18"/>
          <w:szCs w:val="18"/>
          <w:color w:val="auto"/>
        </w:rPr>
      </w:pPr>
    </w:p>
    <w:p>
      <w:pPr>
        <w:ind w:left="520" w:right="400" w:hanging="512"/>
        <w:spacing w:after="0" w:line="284" w:lineRule="auto"/>
        <w:tabs>
          <w:tab w:leader="none" w:pos="5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47" w:lineRule="exact"/>
        <w:rPr>
          <w:rFonts w:ascii="Arial" w:cs="Arial" w:eastAsia="Arial" w:hAnsi="Arial"/>
          <w:sz w:val="16"/>
          <w:szCs w:val="16"/>
          <w:color w:val="auto"/>
        </w:rPr>
      </w:pPr>
    </w:p>
    <w:p>
      <w:pPr>
        <w:ind w:left="520" w:right="40" w:hanging="512"/>
        <w:spacing w:after="0" w:line="262" w:lineRule="auto"/>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or HITECH, and their implementing regulations, imposes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spacing w:after="0" w:line="64" w:lineRule="exact"/>
        <w:rPr>
          <w:rFonts w:ascii="Arial" w:cs="Arial" w:eastAsia="Arial" w:hAnsi="Arial"/>
          <w:sz w:val="17"/>
          <w:szCs w:val="17"/>
          <w:color w:val="auto"/>
        </w:rPr>
      </w:pPr>
    </w:p>
    <w:p>
      <w:pPr>
        <w:ind w:left="520" w:right="40" w:hanging="512"/>
        <w:spacing w:after="0" w:line="274" w:lineRule="auto"/>
        <w:tabs>
          <w:tab w:leader="none" w:pos="5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federal transparency requirements under the Patient Protection and Affordable Care Act, as amended by the Health Care and Education Reconciliation Act of 2010, collectively referred to as the ACA, require certain manufacturers of drugs, devices, biologics and medical supplies to annually report to the Centers for Medicare &amp; Medicaid Services, or CMS, information related to payments and other transfers of value provided to teaching hospitals, as well as ownership and investment interests held by physicians, defined to include doctors, dentists, optometrists, podiatrists and chiropractors, and their immediate family members. Beginning calendar year 2021, manufacturers must collect information regarding payments and transfers of value to physician assistants, nurse practitioners, clinical nurse specialists, anesthesiologist assistants, certified nurse anesthetists and certified nurse-midwives for reporting in the following year. The reported information is made available on a public website; and</w:t>
      </w:r>
    </w:p>
    <w:p>
      <w:pPr>
        <w:spacing w:after="0" w:line="55" w:lineRule="exact"/>
        <w:rPr>
          <w:rFonts w:ascii="Arial" w:cs="Arial" w:eastAsia="Arial" w:hAnsi="Arial"/>
          <w:sz w:val="16"/>
          <w:szCs w:val="16"/>
          <w:color w:val="auto"/>
        </w:rPr>
      </w:pPr>
    </w:p>
    <w:p>
      <w:pPr>
        <w:ind w:left="520" w:hanging="512"/>
        <w:spacing w:after="0" w:line="251" w:lineRule="auto"/>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State and local laws require the registration of pharmaceutical sales representatives. State and non-U.S. laws that also govern the privacy and security of health information in some circumstances, many of which differ from each other in significant ways and often are not preempted by HIPAA, thus complicating compliance efforts.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60" w:name="page61"/>
    <w:bookmarkEnd w:id="60"/>
    <w:p>
      <w:pPr>
        <w:ind w:right="40"/>
        <w:spacing w:after="0" w:line="237" w:lineRule="auto"/>
        <w:rPr>
          <w:sz w:val="20"/>
          <w:szCs w:val="20"/>
          <w:color w:val="auto"/>
        </w:rPr>
      </w:pPr>
      <w:r>
        <w:rPr>
          <w:rFonts w:ascii="Arial" w:cs="Arial" w:eastAsia="Arial" w:hAnsi="Arial"/>
          <w:sz w:val="18"/>
          <w:szCs w:val="18"/>
          <w:color w:val="auto"/>
        </w:rPr>
        <w:t>Efforts to ensure that our internal business processes and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spacing w:after="0" w:line="30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decrease the prices we may obtain.</w:t>
      </w:r>
    </w:p>
    <w:p>
      <w:pPr>
        <w:spacing w:after="0" w:line="63"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example, in March 2010, the ACA was signed into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04"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annual fees and taxes on manufacturers of certain branded prescription drugs;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products;</w:t>
      </w:r>
    </w:p>
    <w:p>
      <w:pPr>
        <w:spacing w:after="0" w:line="103" w:lineRule="exact"/>
        <w:rPr>
          <w:rFonts w:ascii="Arial" w:cs="Arial" w:eastAsia="Arial" w:hAnsi="Arial"/>
          <w:sz w:val="18"/>
          <w:szCs w:val="18"/>
          <w:color w:val="auto"/>
        </w:rPr>
      </w:pPr>
    </w:p>
    <w:p>
      <w:pPr>
        <w:ind w:left="520" w:right="140" w:hanging="512"/>
        <w:spacing w:after="0" w:line="248"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73" w:lineRule="exact"/>
        <w:rPr>
          <w:rFonts w:ascii="Arial" w:cs="Arial" w:eastAsia="Arial" w:hAnsi="Arial"/>
          <w:sz w:val="18"/>
          <w:szCs w:val="18"/>
          <w:color w:val="auto"/>
        </w:rPr>
      </w:pPr>
    </w:p>
    <w:p>
      <w:pPr>
        <w:ind w:left="520" w:right="280" w:hanging="512"/>
        <w:spacing w:after="0" w:line="261"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ind w:left="520" w:hanging="512"/>
        <w:spacing w:after="0" w:line="261"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and extended the rebate program to individuals enrolled in Medicaid managed care organizations;</w:t>
      </w:r>
    </w:p>
    <w:p>
      <w:pPr>
        <w:spacing w:after="0" w:line="62" w:lineRule="exact"/>
        <w:rPr>
          <w:rFonts w:ascii="Arial" w:cs="Arial" w:eastAsia="Arial" w:hAnsi="Arial"/>
          <w:sz w:val="18"/>
          <w:szCs w:val="18"/>
          <w:color w:val="auto"/>
        </w:rPr>
      </w:pPr>
    </w:p>
    <w:p>
      <w:pPr>
        <w:ind w:left="520" w:right="80" w:hanging="512"/>
        <w:spacing w:after="0" w:line="261"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requirements to report financial arrangements with physicians, as defined by such law, and teaching hospitals;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103" w:lineRule="exact"/>
        <w:rPr>
          <w:rFonts w:ascii="Arial" w:cs="Arial" w:eastAsia="Arial" w:hAnsi="Arial"/>
          <w:sz w:val="18"/>
          <w:szCs w:val="18"/>
          <w:color w:val="auto"/>
        </w:rPr>
      </w:pPr>
    </w:p>
    <w:p>
      <w:pPr>
        <w:ind w:left="520" w:hanging="512"/>
        <w:spacing w:after="0" w:line="244"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1" w:name="page62"/>
    <w:bookmarkEnd w:id="61"/>
    <w:p>
      <w:pPr>
        <w:spacing w:after="0" w:line="252" w:lineRule="auto"/>
        <w:rPr>
          <w:sz w:val="20"/>
          <w:szCs w:val="20"/>
          <w:color w:val="auto"/>
        </w:rPr>
      </w:pPr>
      <w:r>
        <w:rPr>
          <w:rFonts w:ascii="Arial" w:cs="Arial" w:eastAsia="Arial" w:hAnsi="Arial"/>
          <w:sz w:val="17"/>
          <w:szCs w:val="17"/>
          <w:color w:val="auto"/>
        </w:rPr>
        <w:t>There have been executive, judicial and Congressional challenges to repeal or replace certain aspects of the ACA, including measures taken during the former U.S. president’s administration. The former president of the United States signed Executive Orders and other directives designed to delay the implementation of certain provisions of the ACA or otherwise circumvent some of the requirements for health insurance mandated by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eliminating the implementation of certain ACA-mandated fees, and increasing the point-of-sale discount that is owed by pharmaceutical manufacturers who participate in Medicare Part D. In November 2020, the United States Supreme Court held oral arguments on the U.S. Court of Appeals for the Fifth Circuit’s decision that held that the individual mandate is unconstitutional. On February 10, 2021, the current presidential administration withdrew the federal government’s support for overturning the ACA. In June 2021, the Supreme Court remanded the case with instructions to dismiss for lack of standing. However, the Supreme Court did not decide the ultimate issue of the validity of the individual mandate. Thus, there may be other efforts to challenge the individual mandate or to challenge, repeal or replace the ACA. It is unclear how the Supreme Court ruling, other such litigation and the healthcare reform measures of the current presidential administration will impact the ACA and our business.</w:t>
      </w:r>
    </w:p>
    <w:p>
      <w:pPr>
        <w:spacing w:after="0" w:line="180"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In addition, other legislative changes have been proposed and adopted since the ACA was enacted. On August 2, 2011, the Budget Control Act of 2011 was signed into law, which, among other things, created the Joint Select Committee on Deficit Reduction to recommend to Congress proposals for spending reductions. The Joint Select Committee did not achieve a targeted deficit reduction, triggering the legislation’s automatic reduction to several government programs. These changes include aggregate reductions to Medicare payments to providers of up to 2% per fiscal year, which began in 2013, and due to subsequent legislative amendments to the statute, will remain in effect through 2030, with the exception of a temporary suspension from May 1, 2020 through December 31, 2021 due to the COVID-19 pandemic,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w:t>
      </w:r>
    </w:p>
    <w:p>
      <w:pPr>
        <w:spacing w:after="0" w:line="184"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former president of the United States used several means to propose or implement drug pricing reform, including through federal budget proposals, executive orders, and policy initiatives. It is unclear whether the current presidential administration will work to reverse those measures or pursue similar policy initiatives. On March 11, 2021, the President signed the American Rescue Plan Act of 2021 into law, which eliminates the statutory Medicaid drug rebate cap, currently set at 100% of a drug’s average manufacturer price, for single source and innovator multiple source drugs, beginning January 1, 2024. In addition, at the state level, individual states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particularly in light of the new presidential administration. Such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spacing w:after="0" w:line="18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 It is also possible that additional governmental action is taken in response to the COVID-19 pandemic.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Governments outside of the United States tend to impose strict price controls, which may adversely affect our revenues, if any.</w:t>
      </w:r>
    </w:p>
    <w:p>
      <w:pPr>
        <w:spacing w:after="0" w:line="104"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In some countries, including Canada and certain member states of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Publication of discounts by third-party payors or authorities may lead to further pressure on the prices or reimbursement levels within the country of publication or other countries. In addition, the withdrawal of the United Kingdom, or UK, from its membership in the EU, often referred to as “Brexit,” could lead to further legal and regulatory uncertainty in the UK and may lead to the UK and EU adopting divergent laws and regulations, including those related to the pricing of prescription pharmaceuticals, as the UK determines which EU laws to replicate or replace. If the UK were to significantly alter its regulations affecting the pricing of prescription pharmaceuticals, we could face significant new costs. As a result, Brexit could impair our ability to transact business in the EU and the UK.</w:t>
      </w:r>
    </w:p>
    <w:p>
      <w:pPr>
        <w:spacing w:after="0" w:line="297" w:lineRule="exact"/>
        <w:rPr>
          <w:sz w:val="20"/>
          <w:szCs w:val="20"/>
          <w:color w:val="auto"/>
        </w:rPr>
      </w:pPr>
    </w:p>
    <w:p>
      <w:pPr>
        <w:ind w:right="140"/>
        <w:spacing w:after="0" w:line="356" w:lineRule="auto"/>
        <w:rPr>
          <w:sz w:val="20"/>
          <w:szCs w:val="20"/>
          <w:color w:val="auto"/>
        </w:rPr>
      </w:pPr>
      <w:r>
        <w:rPr>
          <w:rFonts w:ascii="Arial" w:cs="Arial" w:eastAsia="Arial" w:hAnsi="Arial"/>
          <w:sz w:val="15"/>
          <w:szCs w:val="15"/>
          <w:b w:val="1"/>
          <w:bCs w:val="1"/>
          <w:i w:val="1"/>
          <w:iCs w:val="1"/>
          <w:color w:val="auto"/>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and their party agents from paying, offering, authorizing payment or offering anything of value, directly or indirectly, to any foreign official, political party or candidate for the purpose of influencing any act or decision of such third-party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80"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w:t>
      </w:r>
    </w:p>
    <w:p>
      <w:pPr>
        <w:spacing w:after="0" w:line="18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We are also subject to U.S. laws and regulations governing export controls, as well as economic sanctions and embargoes on certain countries and persons.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18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the SEC, also may suspend or bar issuers from trading securities on U.S. exchanges for violations of the FCPA’s accounting provisions.</w:t>
      </w:r>
    </w:p>
    <w:p>
      <w:pPr>
        <w:spacing w:after="0" w:line="29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We could also be held liable for unexpected safety events that could happen in our business offices.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3" w:name="page64"/>
    <w:bookmarkEnd w:id="63"/>
    <w:p>
      <w:pPr>
        <w:jc w:val="both"/>
        <w:ind w:right="500"/>
        <w:spacing w:after="0" w:line="262" w:lineRule="auto"/>
        <w:rPr>
          <w:sz w:val="20"/>
          <w:szCs w:val="20"/>
          <w:color w:val="auto"/>
        </w:rPr>
      </w:pPr>
      <w:r>
        <w:rPr>
          <w:rFonts w:ascii="Arial" w:cs="Arial" w:eastAsia="Arial" w:hAnsi="Arial"/>
          <w:sz w:val="17"/>
          <w:szCs w:val="17"/>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7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164"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29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3"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84"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5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We are developing our current product candidates, and may continue to develop future product candidates, in combination with other therapies, which would expose us to additional risks.</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We are developing our current product candidates in combination with one or more currently approved cancer therapies or therapies in development. Even if any of our current or future product candidates were to receive marketing approval or be commercialized for use in combination with other existing therapies, we would continue to be subject to the risks that the FDA or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18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may also evaluate our current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approval.</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4" w:name="page65"/>
    <w:bookmarkEnd w:id="64"/>
    <w:p>
      <w:pPr>
        <w:ind w:right="20"/>
        <w:spacing w:after="0" w:line="239" w:lineRule="auto"/>
        <w:rPr>
          <w:sz w:val="20"/>
          <w:szCs w:val="20"/>
          <w:color w:val="auto"/>
        </w:rPr>
      </w:pPr>
      <w:r>
        <w:rPr>
          <w:rFonts w:ascii="Arial" w:cs="Arial" w:eastAsia="Arial" w:hAnsi="Arial"/>
          <w:sz w:val="18"/>
          <w:szCs w:val="18"/>
          <w:color w:val="auto"/>
        </w:rPr>
        <w:t>If the FDA or comparable foreign regulatory authorities do not approve or withdraw their approval of these other therapies, or if safety, efficacy, commercial adoption, manufacturing or supply issues arise with the therapies we choose to evaluate in combination with any of our current or future product candidates, we may be unable to obtain approval of or successfully market any one or all of 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299"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b w:val="1"/>
          <w:bCs w:val="1"/>
          <w:i w:val="1"/>
          <w:iCs w:val="1"/>
          <w:color w:val="auto"/>
        </w:rPr>
        <w:t>We have never commercialized a product candidate as a company before and currently lack the comprehensive, fully-staffed expertise, personnel and resources to successfully commercialize any products on our own or together with suitable collaborators.</w:t>
      </w:r>
    </w:p>
    <w:p>
      <w:pPr>
        <w:spacing w:after="0" w:line="3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have never commercialized a product candidate as a company. We may license certain rights with respect to our product candidates to collaborators and rely on the assistance and guidance of those collaborators. For product candidates for which we retain commercialization rights and marketing approval, we will have to develop our own sales, marketing, market access, commercial planning and supply organization or outsource these activities to a third-party.</w:t>
      </w:r>
    </w:p>
    <w:p>
      <w:pPr>
        <w:ind w:right="340"/>
        <w:spacing w:after="0" w:line="243" w:lineRule="auto"/>
        <w:rPr>
          <w:sz w:val="20"/>
          <w:szCs w:val="20"/>
          <w:color w:val="auto"/>
        </w:rPr>
      </w:pPr>
      <w:r>
        <w:rPr>
          <w:rFonts w:ascii="Arial" w:cs="Arial" w:eastAsia="Arial" w:hAnsi="Arial"/>
          <w:sz w:val="18"/>
          <w:szCs w:val="18"/>
          <w:color w:val="auto"/>
        </w:rPr>
        <w:t>We are planning on finding collaborations to secure regulatory approvals and commercialize our products outside of the US. We cannot assure that any collaboration(s) will result in short term or long term benefit to the company.</w:t>
      </w:r>
    </w:p>
    <w:p>
      <w:pPr>
        <w:spacing w:after="0" w:line="186"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Factors that may affect our ability to commercialize our product candidates, if approved, on our own include recruiting and retaining adequate numbers of effective sales, marketing, and market access personnel, developing and producing adequate educational and marketing programs to increase public acceptance of our approved product candidates, ensuring regulatory compliance of our company, all communications and materials in the promotional domain,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build our own distribution and marketing capabilities or to find suitable partners for the commercialization of our product candidates, we may not generate revenues from them or be able to reach or sustain profitability.</w:t>
      </w: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0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i w:val="1"/>
          <w:iCs w:val="1"/>
          <w:color w:val="auto"/>
        </w:rPr>
        <w:t>We rely, and intend to continue to rely, on third parties to conduct our clinical trials and perform some of our research and potential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47"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do not have the ability to independently conduct all aspects of our clinical trials ourselves. As a result, we are dependent on third parties to conduct our ongoing and planned clinical trials of tovorafenib (DAY101) and pimasertib, and any preclinical studies and clinical trials of any future product candidates. The timing of the initiation and completion of these trials will therefore be partially controlled by such third parties and may result in delays to our development programs. Since such third parties partially control the progress of these trials, they may also publish the data related to these trials prior to obtaining or without our approval for doing so. Specifically, we expect CROs, independent clinical investigators and consultants to play a significant role in the conduct of these trials and the subsequent collection and analysis of data. For example, in addition to the Phase 1 clinical trial run by Dana Farber Cancer Institute in collaboration with PNOC, the Children’s Oncology Group, a National Cancer Institute-supported clinical trials group and the world’s largest organization devoted exclusively to childhood and adolescent cancer research, is developing a group-wide clinical trial of tovorafenib (DAY101) in relapsed Langerhans cell histiocytosis. However, these investigators,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are required to comply with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cGMP regulations. Our failure or the failure of third parties on whom we rely to comply with these regulations may require us to stop and/or repeat clinical trials, which would delay the marketing approval process.</w:t>
      </w:r>
    </w:p>
    <w:p>
      <w:pPr>
        <w:spacing w:after="0" w:line="177"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There is no guarantee that any such CROs, clinical trial investigators or other third parties on which we rely will devote adequate time and resources to our development activities or perform as contractually required.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175"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In addition, with respect to investigator-sponsored trials that may be conducted, we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The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Additionally, the FDA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may require us to obtain and submit additional preclinical, manufacturing, or clinical data.</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6" w:name="page67"/>
    <w:bookmarkEnd w:id="66"/>
    <w:p>
      <w:pPr>
        <w:ind w:right="280"/>
        <w:spacing w:after="0" w:line="279" w:lineRule="auto"/>
        <w:rPr>
          <w:sz w:val="20"/>
          <w:szCs w:val="20"/>
          <w:color w:val="auto"/>
        </w:rPr>
      </w:pPr>
      <w:r>
        <w:rPr>
          <w:rFonts w:ascii="Arial" w:cs="Arial" w:eastAsia="Arial" w:hAnsi="Arial"/>
          <w:sz w:val="16"/>
          <w:szCs w:val="16"/>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tovorafenib (DAY101), pimasertib or any future product candidates and will not be able to, or may be delayed in our efforts to, successfully commercialize our products.</w:t>
      </w:r>
    </w:p>
    <w:p>
      <w:pPr>
        <w:spacing w:after="0" w:line="267"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b w:val="1"/>
          <w:bCs w:val="1"/>
          <w:i w:val="1"/>
          <w:iCs w:val="1"/>
          <w:color w:val="auto"/>
        </w:rPr>
        <w:t>The manufacture of our product candidates is complex. Our third-party manufacturers may encounter difficulties in production, which could delay or entirely halt their ability to supply our product candidates for clinical trials or, if approved, for commercial sale.</w:t>
      </w:r>
    </w:p>
    <w:p>
      <w:pPr>
        <w:spacing w:after="0" w:line="39"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do not have any manufacturing facilities, and we currently contract with certain third-party manufacturers in China. We rely, and expect to continue to rely, on third parties for the manufacture of our product candidates for clinical testing, product development purposes, to support regulatory application submissions, as well as for commercial manufacture if any of our product candidates obtain marketing approval.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 For example, the extent to which the COVID-19 pandemic impacts our ability to procure sufficient supplies for the development of our product candidates will depend on the severity and duration of the spread of the virus and the actions undertaken to contain the COVID-19 virus or treat its effects. For example, in March 2022, authorities in Shanghai announced a two-stage lock-down for residents and businesses in response to rising rates of COVID-19. While operations have resumed at our API contract manufacturing and development facilities, we cannot be sure if additional lock-down measures or restrictions will be implemented and what, if any, impact that may have on our facilities and operations in the region, including but not limited to a decrease or disruption of production, increased costs of production or other interruptions in our supply chain. In addition, any disruption in production or inability of our manufacturers specifically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Any of these matters could materially adversely affect our business, financial condition and results of operations. In addition, disruptions in logistics routes and transportation capabilities could disrupt our supply chain. And, if we experience unexpected spikes in demand over time, we risk running out of our necessary supplies.</w:t>
      </w:r>
    </w:p>
    <w:p>
      <w:pPr>
        <w:spacing w:after="0" w:line="18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may be unable to establish any agreements with third-party manufacturers or do so on favorable terms. Even if we are able to establish agreements with third-party manufacturers, reliance on third-party manufacturers entails additional risks, including:</w:t>
      </w:r>
    </w:p>
    <w:p>
      <w:pPr>
        <w:spacing w:after="0" w:line="63" w:lineRule="exact"/>
        <w:rPr>
          <w:sz w:val="20"/>
          <w:szCs w:val="20"/>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reliance on the third-party for regulatory, compliance and quality assurance;</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reliance on the third-party for product development, analytical testing, and data generation to support regulatory applications;</w:t>
      </w:r>
    </w:p>
    <w:p>
      <w:pPr>
        <w:spacing w:after="0" w:line="103" w:lineRule="exact"/>
        <w:rPr>
          <w:rFonts w:ascii="Arial" w:cs="Arial" w:eastAsia="Arial" w:hAnsi="Arial"/>
          <w:sz w:val="18"/>
          <w:szCs w:val="18"/>
          <w:color w:val="auto"/>
        </w:rPr>
      </w:pPr>
    </w:p>
    <w:p>
      <w:pPr>
        <w:ind w:left="520" w:right="20" w:hanging="512"/>
        <w:spacing w:after="0" w:line="248"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regulatory authority;</w:t>
      </w:r>
    </w:p>
    <w:p>
      <w:pPr>
        <w:spacing w:after="0" w:line="73" w:lineRule="exact"/>
        <w:rPr>
          <w:rFonts w:ascii="Arial" w:cs="Arial" w:eastAsia="Arial" w:hAnsi="Arial"/>
          <w:sz w:val="18"/>
          <w:szCs w:val="18"/>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third-party at a time that is costly or inconvenient for us;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third-party at a time that is costly or inconvenient for us;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deliver our drugs under specified storage conditions and in a timely manner.</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67" w:name="page68"/>
    <w:bookmarkEnd w:id="67"/>
    <w:p>
      <w:pPr>
        <w:ind w:right="40"/>
        <w:spacing w:after="0" w:line="238" w:lineRule="auto"/>
        <w:rPr>
          <w:sz w:val="20"/>
          <w:szCs w:val="20"/>
          <w:color w:val="auto"/>
        </w:rPr>
      </w:pPr>
      <w:r>
        <w:rPr>
          <w:rFonts w:ascii="Arial" w:cs="Arial" w:eastAsia="Arial" w:hAnsi="Arial"/>
          <w:sz w:val="18"/>
          <w:szCs w:val="18"/>
          <w:color w:val="auto"/>
        </w:rPr>
        <w:t>We have only limited supply arrangements in place with respect to our product candidates, and these arrangements do not extend to commercial supply. We acquire all key materials on a purchase order basis. As a result, we do not have long-term committed arrangements with respect to our product candidates and other materials. We will need to establish one or more agreements with third parties to develop and scale up the drug manufacturing process, conduct drug testing, and generate data to support a regulatory submission. If we obtain marketing approval for any of our product candidates, we will need to establish an agreement for commercial manufacture with a third party. In addition, we are dependent on a sole supplier for certain components of our manufacturing process. Even if we are able to replace any raw materials or other materials with an alternative, such alternatives may cost more, result in lower yields or not be as suitable for our purposes. In addition, some of the materials that we use to manufacture our product candidates are complex materials, which may be more difficult to substitute. Therefore, any disruptions arising from our sole suppliers could result in delays and additional regulatory submissions.</w:t>
      </w:r>
    </w:p>
    <w:p>
      <w:pPr>
        <w:spacing w:after="0" w:line="191"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We rely on a limited number of suppliers, some of whom are our sole source for certain materials, and some of whom are based in foreign jurisdictions. Our small number of suppliers involves a number of additional risks, including risks related to supplier capacity constraints, component availability, price increases, timely delivery, component quality, failure of a key supplier to remain in business and adjust to market conditions, natural disasters, fire, acts of terrorism, pandemics, including the COVID-19 pandemic, or other catastrophic events.</w:t>
      </w:r>
    </w:p>
    <w:p>
      <w:pPr>
        <w:spacing w:after="0" w:line="188"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of the United States. If the FDA determines that our CMOs are not in compliance with FDA laws and regulations, including those governing cGMPs, the FDA may not approve an NDA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180"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189"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8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As we prepare for later-stage clinical trials and potential commercialization, we will need to take steps to increase the scale of production of our product candidates. We have not yet scaled up the manufacturing process for any of our product candidates. Third-party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for clinical testing cannot perform as agreed, we may be required to replace such CMOs.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public health epidemics such as the COVID-19 pandemic. If our current third-party manufacturers cannot perform as agreed, we may be required to replace such manufacturers and we may be unable to replace them on a timely basis or at all.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8" w:name="page69"/>
    <w:bookmarkEnd w:id="68"/>
    <w:p>
      <w:pPr>
        <w:ind w:right="60"/>
        <w:spacing w:after="0" w:line="261"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products may adversely affect our future profit margins and our ability to commercialize any products that obtain marketing approval on a timely and competitive basis.</w:t>
      </w:r>
    </w:p>
    <w:p>
      <w:pPr>
        <w:spacing w:after="0" w:line="27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63"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We may seek third-party collaborators for the development and commercialization of some of our product candidates on a select basis. We have not entered into any collaborations to date.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spacing w:after="0" w:line="15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If we do enter into any such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w:t>
      </w:r>
    </w:p>
    <w:p>
      <w:pPr>
        <w:spacing w:after="0" w:line="64" w:lineRule="exact"/>
        <w:rPr>
          <w:sz w:val="20"/>
          <w:szCs w:val="20"/>
          <w:color w:val="auto"/>
        </w:rPr>
      </w:pPr>
    </w:p>
    <w:p>
      <w:pPr>
        <w:ind w:left="520" w:right="280" w:hanging="512"/>
        <w:spacing w:after="0" w:line="261"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and may not perform their obligations as expected;</w:t>
      </w:r>
    </w:p>
    <w:p>
      <w:pPr>
        <w:spacing w:after="0" w:line="62" w:lineRule="exact"/>
        <w:rPr>
          <w:rFonts w:ascii="Arial" w:cs="Arial" w:eastAsia="Arial" w:hAnsi="Arial"/>
          <w:sz w:val="18"/>
          <w:szCs w:val="18"/>
          <w:color w:val="auto"/>
        </w:rPr>
      </w:pPr>
    </w:p>
    <w:p>
      <w:pPr>
        <w:ind w:left="520" w:right="20" w:hanging="512"/>
        <w:spacing w:after="0" w:line="243"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79" w:lineRule="exact"/>
        <w:rPr>
          <w:rFonts w:ascii="Arial" w:cs="Arial" w:eastAsia="Arial" w:hAnsi="Arial"/>
          <w:sz w:val="18"/>
          <w:szCs w:val="18"/>
          <w:color w:val="auto"/>
        </w:rPr>
      </w:pPr>
    </w:p>
    <w:p>
      <w:pPr>
        <w:ind w:left="520" w:right="200" w:hanging="512"/>
        <w:spacing w:after="0" w:line="261"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ind w:left="520" w:right="80" w:hanging="512"/>
        <w:spacing w:after="0" w:line="248"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73" w:lineRule="exact"/>
        <w:rPr>
          <w:rFonts w:ascii="Arial" w:cs="Arial" w:eastAsia="Arial" w:hAnsi="Arial"/>
          <w:sz w:val="18"/>
          <w:szCs w:val="18"/>
          <w:color w:val="auto"/>
        </w:rPr>
      </w:pPr>
    </w:p>
    <w:p>
      <w:pPr>
        <w:ind w:left="520" w:right="200" w:hanging="512"/>
        <w:spacing w:after="0" w:line="261"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62" w:lineRule="exact"/>
        <w:rPr>
          <w:rFonts w:ascii="Arial" w:cs="Arial" w:eastAsia="Arial" w:hAnsi="Arial"/>
          <w:sz w:val="18"/>
          <w:szCs w:val="18"/>
          <w:color w:val="auto"/>
        </w:rPr>
      </w:pPr>
    </w:p>
    <w:p>
      <w:pPr>
        <w:ind w:left="520" w:right="360" w:hanging="512"/>
        <w:spacing w:after="0" w:line="294" w:lineRule="auto"/>
        <w:tabs>
          <w:tab w:leader="none" w:pos="5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39" w:lineRule="exact"/>
        <w:rPr>
          <w:rFonts w:ascii="Arial" w:cs="Arial" w:eastAsia="Arial" w:hAnsi="Arial"/>
          <w:sz w:val="16"/>
          <w:szCs w:val="16"/>
          <w:color w:val="auto"/>
        </w:rPr>
      </w:pPr>
    </w:p>
    <w:p>
      <w:pPr>
        <w:ind w:left="520" w:right="100" w:hanging="512"/>
        <w:spacing w:after="0" w:line="324" w:lineRule="auto"/>
        <w:tabs>
          <w:tab w:leader="none" w:pos="5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16" w:lineRule="exact"/>
        <w:rPr>
          <w:rFonts w:ascii="Arial" w:cs="Arial" w:eastAsia="Arial" w:hAnsi="Arial"/>
          <w:sz w:val="16"/>
          <w:szCs w:val="16"/>
          <w:color w:val="auto"/>
        </w:rPr>
      </w:pPr>
    </w:p>
    <w:p>
      <w:pPr>
        <w:ind w:left="520" w:right="120" w:hanging="512"/>
        <w:spacing w:after="0" w:line="261"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 and</w:t>
      </w:r>
    </w:p>
    <w:p>
      <w:pPr>
        <w:spacing w:after="0" w:line="115" w:lineRule="exact"/>
        <w:rPr>
          <w:rFonts w:ascii="Arial" w:cs="Arial" w:eastAsia="Arial" w:hAnsi="Arial"/>
          <w:sz w:val="17"/>
          <w:szCs w:val="17"/>
          <w:color w:val="auto"/>
        </w:rPr>
      </w:pPr>
    </w:p>
    <w:p>
      <w:pPr>
        <w:ind w:left="520" w:right="260" w:hanging="512"/>
        <w:spacing w:after="0" w:line="261"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 future collaborator of ours were to be involved in a business combination, the continued pursuit and emphasis on our product development or commercialization program could be delayed, diminished or terminated.</w:t>
      </w:r>
    </w:p>
    <w:p>
      <w:pPr>
        <w:spacing w:after="0" w:line="171" w:lineRule="exact"/>
        <w:rPr>
          <w:sz w:val="20"/>
          <w:szCs w:val="20"/>
          <w:color w:val="auto"/>
        </w:rPr>
      </w:pPr>
    </w:p>
    <w:p>
      <w:pPr>
        <w:ind w:right="320"/>
        <w:spacing w:after="0" w:line="244" w:lineRule="auto"/>
        <w:rPr>
          <w:sz w:val="20"/>
          <w:szCs w:val="20"/>
          <w:color w:val="auto"/>
        </w:rPr>
      </w:pPr>
      <w:r>
        <w:rPr>
          <w:rFonts w:ascii="Arial" w:cs="Arial" w:eastAsia="Arial" w:hAnsi="Arial"/>
          <w:sz w:val="18"/>
          <w:szCs w:val="18"/>
          <w:color w:val="auto"/>
        </w:rPr>
        <w:t>If we establish one or more collaborations, all of the risks relating to product development, regulatory approval and commercialization described herein would also apply to the activities of any such future collaborators.</w:t>
      </w: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Risks related to employee matters and our operations</w:t>
      </w:r>
    </w:p>
    <w:p>
      <w:pPr>
        <w:spacing w:after="0" w:line="10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Our future success depends on our ability to retain our executive officers and key employees and to attract, retain and motivate qualified personnel and manage our human capital.</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Our ability to compete in the highly competitive biotechnology and pharmaceutical industries depends upon our ability to attract, motivate and retain highly qualified managerial, scientific and medical personnel. We are highly dependent on the development and management expertise of Jeremy Bender, Ph.D., M.B.A., our Chief Executive Officer, Samuel Blackman, M.D., Ph.D., our Chief Medical Officer, as well as the other members of our management team, other key employees and advisors. We currently do not maintain key person insurance on these individuals. Although we have entered into employment agreements with our executive officers, each of them may terminate their employment with us at any time.</w:t>
      </w:r>
    </w:p>
    <w:p>
      <w:pPr>
        <w:spacing w:after="0" w:line="17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and management skills and experience.</w:t>
      </w:r>
    </w:p>
    <w:p>
      <w:pPr>
        <w:spacing w:after="0" w:line="18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largely conduct our operations in the greater San Francisco Bay Area, a region that is home to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In addition, as our business changes, key personnel may not want to work for a larger, commercial enterprise. Any or all of these competing factors may limit our ability to continue to attract and retain high quality personnel, which could negatively affect our ability to successfully develop and commercialize our product candidates and to grow our business and operations as currently contemplated. We have adopted a greater level of flexibility in our recruiting practices to attract and hire candidates outside of the San Francisco Bay Area, which is intended to increase retention but could have a negative impact on employee engagement, resulting in greater employee turnover.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104"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We had 94 full-time employees as of June 30, 2022. We expect significant growth in the number of our employees and the scope of our operations, particularly in the areas of clinical development, clinical operations, manufacturing,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163"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tovorafenib (DAY101), pimasertib,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tovorafenib (DAY101), pimasertib, or any future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168"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If we are not able to effectively manage growth and expand our organization, we may not be able to successfully implement the tasks necessary to further develop and commercialize tovorafenib (DAY101), pimasertib, our other pipeline product candidates or any future product candidates and, accordingly, may not achieve our research, development and commercialization goals.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70" w:name="page71"/>
    <w:bookmarkEnd w:id="70"/>
    <w:p>
      <w:pPr>
        <w:ind w:right="300"/>
        <w:spacing w:after="0" w:line="291" w:lineRule="auto"/>
        <w:rPr>
          <w:sz w:val="20"/>
          <w:szCs w:val="20"/>
          <w:color w:val="auto"/>
        </w:rPr>
      </w:pPr>
      <w:r>
        <w:rPr>
          <w:rFonts w:ascii="Arial" w:cs="Arial" w:eastAsia="Arial" w:hAnsi="Arial"/>
          <w:sz w:val="17"/>
          <w:szCs w:val="17"/>
          <w:b w:val="1"/>
          <w:bCs w:val="1"/>
          <w:i w:val="1"/>
          <w:iCs w:val="1"/>
          <w:color w:val="auto"/>
        </w:rPr>
        <w:t>Our employees, clinical trial investigators, CROs, CMOs, consultants, vendors and any potential commercial partners may engage in misconduct or other improper activities, including non-compliance with regulatory standards and requirements and insider trading.</w:t>
      </w:r>
    </w:p>
    <w:p>
      <w:pPr>
        <w:spacing w:after="0" w:line="39"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are exposed to the risk of fraud or other misconduct by our employees, clinical trial investigators, CROs, CMOs, consultants, vendors and any potential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w:t>
      </w:r>
    </w:p>
    <w:p>
      <w:pPr>
        <w:spacing w:after="0" w:line="16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spacing w:after="0" w:line="299" w:lineRule="exact"/>
        <w:rPr>
          <w:sz w:val="20"/>
          <w:szCs w:val="20"/>
          <w:color w:val="auto"/>
        </w:rPr>
      </w:pPr>
    </w:p>
    <w:p>
      <w:pPr>
        <w:ind w:right="180"/>
        <w:spacing w:after="0" w:line="308" w:lineRule="auto"/>
        <w:rPr>
          <w:sz w:val="20"/>
          <w:szCs w:val="20"/>
          <w:color w:val="auto"/>
        </w:rPr>
      </w:pPr>
      <w:r>
        <w:rPr>
          <w:rFonts w:ascii="Arial" w:cs="Arial" w:eastAsia="Arial" w:hAnsi="Arial"/>
          <w:sz w:val="15"/>
          <w:szCs w:val="15"/>
          <w:b w:val="1"/>
          <w:bCs w:val="1"/>
          <w:i w:val="1"/>
          <w:iCs w:val="1"/>
          <w:color w:val="auto"/>
        </w:rPr>
        <w:t>If our security measures are compromised, or our information technology systems or those of our CROs, CMOs, vendors, contractors, consultants, or other third-party partners fail or suffer security breaches, cyber-attacks, loss or leakage of data and other disruptions, this could result in a material disruption of our development programs, compromise sensitive information related to our business or other personal information or prevent us from accessing critical information, potentially exposing us to liability, harm our reputation, or otherwise adversely affecting our business.</w:t>
      </w:r>
    </w:p>
    <w:p>
      <w:pPr>
        <w:spacing w:after="0" w:line="3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In the ordinary course of business, we may collect, process, store, and transmit proprietary, confidential, and sensitive information (including but not limited to intellectual property, trade secrets, proprietary business information, personal information, and protected health information, or PHI). It is critical that we do so in a secure manner to maintain the confidentiality, integrity, and availability of such information. We depend on information technology and telecommunications systems for significant elements of our operations and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 parties with whom we work, as we rely on a number of third parties to operate our critical business systems and process confidential, proprietary, and sensitive information.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1" w:name="page72"/>
    <w:bookmarkEnd w:id="71"/>
    <w:p>
      <w:pPr>
        <w:ind w:right="60"/>
        <w:spacing w:after="0" w:line="272" w:lineRule="auto"/>
        <w:rPr>
          <w:sz w:val="20"/>
          <w:szCs w:val="20"/>
          <w:color w:val="auto"/>
        </w:rPr>
      </w:pPr>
      <w:r>
        <w:rPr>
          <w:rFonts w:ascii="Arial" w:cs="Arial" w:eastAsia="Arial" w:hAnsi="Arial"/>
          <w:sz w:val="16"/>
          <w:szCs w:val="16"/>
          <w:color w:val="auto"/>
        </w:rPr>
        <w:t>Despite the implementation of security measures, given the size, complexity, and increasing amounts of proprietary, sensitive, and confidential information maintained by our internal information technology systems and those of our CROs, CMOs, vendors, contractors, consultants, and other third-party partners are potentially vulnerable to breakdown, service interruptions, system malfunction, accidents by our personnel or third-party partners, natural disasters, terrorism, global pandemics, war and telecommunication and electrical failures, as well as security breaches from inadvertent or intentional actions by our personnel or those of our CROs, CMOs, vendors, contractors, consultants, business partners and/or other third-party partners, or from cyber-attacks by malicious third parties (including through viruses, worms, malicious code, malware, ransomware, denial-of-service attacks, social engineering and other means to affect service reliability and the confidentiality, integrity and availability of information), which may compromise our system infrastructure, or that of our CROs, CMOs, vendors, contractors, consultants, and other third-party partners, or lead to data leakage.</w:t>
      </w:r>
    </w:p>
    <w:p>
      <w:pPr>
        <w:spacing w:after="0" w:line="16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risk of a security breach or disruption, particularly through cyber-attacks or cyber intrusion, including by computer hackers, viruses, foreign governments, and cyber terrorists, has generally increased as the number, intensity and sophistication of attempted attacks and intrusions from around the world have increased. The COVID-19 pandemic and the subsequent increase of “work from home” have generally increased the attack surface available for exploitation,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COVID-19 pandemic to their advantage.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CROs, CMOs, vendors, contractors, consultants, and other third-party partners, or inappropriate disclosure of confidential, sensitive, or proprietary information, we could incur liability and reputational damage and the further development and commercialization of tovorafenib (DAY101), pimasertib, or any future product candidates could be delayed. Any breach, loss or compromise of proprietary, sensitive, or confidential information may also subject us to civil fines and penalties, including under HIPAA, and other relevant state and federal privacy laws in the United States. For example, the California Consumer Privacy Act of 2018, or the CCPA, imposes a private right of action for security breaches that could lead to some form of remedy including regulatory scrutiny, fines, private right of action settlements, and other consequences.</w:t>
      </w:r>
    </w:p>
    <w:p>
      <w:pPr>
        <w:spacing w:after="0" w:line="185" w:lineRule="exact"/>
        <w:rPr>
          <w:sz w:val="20"/>
          <w:szCs w:val="20"/>
          <w:color w:val="auto"/>
        </w:rPr>
      </w:pPr>
    </w:p>
    <w:p>
      <w:pPr>
        <w:jc w:val="both"/>
        <w:ind w:right="140"/>
        <w:spacing w:after="0" w:line="284" w:lineRule="auto"/>
        <w:rPr>
          <w:sz w:val="20"/>
          <w:szCs w:val="20"/>
          <w:color w:val="auto"/>
        </w:rPr>
      </w:pPr>
      <w:r>
        <w:rPr>
          <w:rFonts w:ascii="Arial" w:cs="Arial" w:eastAsia="Arial" w:hAnsi="Arial"/>
          <w:sz w:val="16"/>
          <w:szCs w:val="16"/>
          <w:color w:val="auto"/>
        </w:rPr>
        <w:t>The costs related to significant security breaches or disruptions could be material and exceed the limits of the cybersecurity insurance we maintain against such risks. If the information technology systems of our CROs, CMOs, vendors, contractors, consultants, and other third-party partners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5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cannot assure you that our data protection efforts and our investment in information technology will prevent significant breakdowns, data leakages, breaches in our systems, or those of our CROs, CMOs, vendors, contractors, consultants, and other third-party partners,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our product candidates could be delayed. In addition, the loss of clinical trial data for tovorafenib (DAY101), pimasertib, or any other product candidates could result in delays in our marketing approval efforts and significantly increase our costs to recover or reproduce the data. Furthermore, significant disruptions of our internal information technology systems or those of our third-party CROs, CMOs,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personnel,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2" w:name="page73"/>
    <w:bookmarkEnd w:id="72"/>
    <w:p>
      <w:pPr>
        <w:ind w:right="20"/>
        <w:spacing w:after="0" w:line="274" w:lineRule="auto"/>
        <w:rPr>
          <w:sz w:val="20"/>
          <w:szCs w:val="20"/>
          <w:color w:val="auto"/>
        </w:rPr>
      </w:pPr>
      <w:r>
        <w:rPr>
          <w:rFonts w:ascii="Arial" w:cs="Arial" w:eastAsia="Arial" w:hAnsi="Arial"/>
          <w:sz w:val="16"/>
          <w:szCs w:val="16"/>
          <w:color w:val="auto"/>
        </w:rPr>
        <w:t>We are required to comply with laws, rules and regulations that require us to maintain the security of personal information. We may have contractual and other legal obligations to notify relevant stakeholders of security breaches. Failure to prevent or mitigate cyber-attacks could result in the unauthorized access to sensitive, confidential, or proprietary information. Most jurisdictions have enacted laws requiring companies to notify individuals, regulatory authorities, and others of security breaches involving certain types of data. In addition, our agreements with CROs, CMOs, vendors, contractors, consultants, and other third-party partners may require us to notify them in the event of a security breach. Such mandatory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w:t>
      </w:r>
    </w:p>
    <w:p>
      <w:pPr>
        <w:spacing w:after="0" w:line="163"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color w:val="auto"/>
        </w:rPr>
        <w:t>The costs to respond to a security breach and/or to mitigate any security vulnerabilities that may be identified could be significant, our efforts to address these issues may not be successful, and these issues could result in interruptions, delays, negative publicity, loss of customer trust, diminished use of our products as well as other harms to our business and our competitive position. Remediation of any potential security breach may involve significant time, resources, and expenses. Any security breach may result in regulatory inquiries, litigation or other investigations, and can affect our financial and operational condition.</w:t>
      </w:r>
    </w:p>
    <w:p>
      <w:pPr>
        <w:spacing w:after="0" w:line="189"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A security breach may cause us to breach customer contracts. Our agreements with certain customers may require us to use industry-standard or reasonable measures to safeguard personal information. We also may be subject to laws that require us to use industry-standard or reasonable security measures to safeguard personal information. A security breach could lead to claims by our customers or other relevant stakeholders that we have failed to comply with such legal or contractual obligations. In addition, our inability to comply with data privacy obligations in our customer contracts or our inability to flow down such obligations from our customers to our CROs, CMOs, vendors, contractors, consultants, and other third-party partners may cause us to breach our customer contracts. As a result, we could be subject to legal action or our customers could end their relationships with us. There can be no assurance that the limitations of liability in our contracts would be enforceable or adequate or would otherwise protect us from liabilities or damages.</w:t>
      </w:r>
    </w:p>
    <w:p>
      <w:pPr>
        <w:spacing w:after="0" w:line="163"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Litigation resulting from security breaches may adversely affect our business. Unauthorized access to our systems, networks, or physical facilities could result in litigation with our customers or other relevant stakeholders. These proceedings could force us to spend money in defense or settlement, divert management’s time and attention, increase our costs of doing business, or adversely affect our reputation.</w:t>
      </w:r>
    </w:p>
    <w:p>
      <w:pPr>
        <w:spacing w:after="0" w:line="18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 may not have adequate insurance coverage for security incidents or breaches, including fines, judgments, settlements, penalties, costs, attorney fees and other impacts that arise out of incidents or breaches. The successful assertion of one or more large claims against us that exceeds available insurance coverage, or results in changes to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grow our customer base, and process, store, and transmit increasingly large amounts of proprietary and sensitive data.</w:t>
      </w:r>
    </w:p>
    <w:p>
      <w:pPr>
        <w:spacing w:after="0" w:line="269" w:lineRule="exact"/>
        <w:rPr>
          <w:sz w:val="20"/>
          <w:szCs w:val="20"/>
          <w:color w:val="auto"/>
        </w:rPr>
      </w:pPr>
    </w:p>
    <w:p>
      <w:pPr>
        <w:ind w:right="260"/>
        <w:spacing w:after="0" w:line="322" w:lineRule="auto"/>
        <w:rPr>
          <w:sz w:val="20"/>
          <w:szCs w:val="20"/>
          <w:color w:val="auto"/>
        </w:rPr>
      </w:pPr>
      <w:r>
        <w:rPr>
          <w:rFonts w:ascii="Arial" w:cs="Arial" w:eastAsia="Arial" w:hAnsi="Arial"/>
          <w:sz w:val="15"/>
          <w:szCs w:val="15"/>
          <w:b w:val="1"/>
          <w:bCs w:val="1"/>
          <w:i w:val="1"/>
          <w:iCs w:val="1"/>
          <w:color w:val="auto"/>
        </w:rPr>
        <w:t>We are subject to stringent and changing laws, regulations and standards, and contractual obligations related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spacing w:after="0" w:line="21"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color w:val="auto"/>
        </w:rPr>
        <w:t>We and third parties who we work with are or may become subject to numerous domestic and foreign data protection laws and regulations (i.e., laws and regulations that address privacy and data security), the scope of which are changing, subject to differing applications and interpretations, and may be inconsistent among countries, or conflict with other rules. We are or may become subject to the terms of contractual obligations related to privacy, data protection, and data security. The actual or perceived failure by us or related third parties to comply with such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w:t>
      </w:r>
    </w:p>
    <w:p>
      <w:pPr>
        <w:spacing w:after="0" w:line="161"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In the United States, numerous federal and state laws and regulations, including federal health information privacy and security laws, federal and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protected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3" w:name="page74"/>
    <w:bookmarkEnd w:id="73"/>
    <w:p>
      <w:pPr>
        <w:ind w:right="60"/>
        <w:spacing w:after="0" w:line="269" w:lineRule="auto"/>
        <w:rPr>
          <w:sz w:val="20"/>
          <w:szCs w:val="20"/>
          <w:color w:val="auto"/>
        </w:rPr>
      </w:pPr>
      <w:r>
        <w:rPr>
          <w:rFonts w:ascii="Arial" w:cs="Arial" w:eastAsia="Arial" w:hAnsi="Arial"/>
          <w:sz w:val="16"/>
          <w:szCs w:val="16"/>
          <w:color w:val="auto"/>
        </w:rPr>
        <w:t>The state of California recently enacted the CCPA, which creates new individual privacy rights for California consumers and places increased privacy and data security obligations on entities handling personal information of consumers or households. The CCPA went into effect on January 1, 2020 and may impact our business activities and exemplifies the vulnerability of our business to the evolving regulatory environment related to personal information and protected health information. Additionally, although not effective until January 1, 2023, the California Privacy Rights Act, or the CPRA, which expands upon the CCPA, was passed in the November 2020 election. The CCPA gives (and the CPRA will give)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The CCPA and CPRA provide for civil penalties and a private right of action for data breaches that is expected to increase data breach litigation. The CCPA and CPRA may increase our compliance costs and potential liability. The CCPA has prompted several proposals for new federal and state-level privacy legislation, such as in Nevada, New Hampshire, Ohio, New York, Washington, Illinois and Nebraska, as well as in Virginia, which passed the Virginia Consumer Data Protection Act, or VCDPA, which will be effective as of January 1, 2023, and Colorado, which enacted the Colorado Privacy Act, or CoPA, which is set to take effect on July 1, 2023. The VCDPA, CoPA and other such proposed legislation, if enacted, could increase our potential liability and compliance costs, and adversely affect our business.</w:t>
      </w:r>
    </w:p>
    <w:p>
      <w:pPr>
        <w:spacing w:after="0" w:line="17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Foreign data protection laws, including Regulation 2016/679, known as the General Data Protection Regulation, or GDPR, may apply to personal information (including health-related data) obtained from individuals in the European Economic Area, or the EEA, and Switzerland. The GDPR, and its implementing legislation across the EU, imposes strict obligations on businesses, including requiring changes to informed consent practices and more detailed notices for clinical trial subjects and investigators, requiring limitations on data processing, establishing a legal basis for processing personal information, notification of data processing obligations, notification of security incidents to appropriate data protection authorities or data subjects, protecting the security and confidentiality of the personal information, and establishing means for data subjects to exercise rights in relation to their personal information. The GDPR subjects noncompliant companies to fines of up to the greater of 20 million Euros or 4% of their global annual revenues, potential bans on processing of personal information (including clinical trials), and private litigation. To the extent applicable, the GDPR will increase our responsibility and liability in relation to personal information that we process, and we may be required to put in place additional mechanisms and expend additional time and resources to ensure compliance with the EU data protection rules. Additionally, the UK implemented the Data Protection Act effective in May 2018 and statutorily amended in 2019, that substantially implements the GDPR and contains provisions, including UK-specific derogations, for how GDPR is applied in the UK. Changes in these legislations may add additional complexity, variation in requirements, restrictions and potential legal risk, require additional investment in resources for compliance programs, could impact strategies and availability of previously useful data, and could result in increased compliance costs and/or changes in business practices and policies. In addition, supervisory authorities in the EEA, Switzerland, and the UK have enforced data protection legislation inconsistently, which may result in us having to spend additional resources in order to comply with rules and guidance applicable only in certain, local jurisdictions.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4" w:name="page75"/>
    <w:bookmarkEnd w:id="74"/>
    <w:p>
      <w:pPr>
        <w:spacing w:after="0" w:line="266" w:lineRule="auto"/>
        <w:rPr>
          <w:sz w:val="20"/>
          <w:szCs w:val="20"/>
          <w:color w:val="auto"/>
        </w:rPr>
      </w:pPr>
      <w:r>
        <w:rPr>
          <w:rFonts w:ascii="Arial" w:cs="Arial" w:eastAsia="Arial" w:hAnsi="Arial"/>
          <w:sz w:val="16"/>
          <w:szCs w:val="16"/>
          <w:color w:val="auto"/>
        </w:rPr>
        <w:t>Further, European data protection laws generally prohibit the transfer of personal information to countries outside of the EEA, UK, and Switzerland, such as the United States, which are not considered by the European Commission to provide an adequate level of data protection. Switzerland has adopted similar restrictions. Although there are legal mechanisms to allow for the transfer of personal information from the EEA, UK, and Switzerland to the United States and other countries, they are or may become subject to legal challenges that, if successful, could invalidate these mechanisms, restrict our ability to process personal information of Europeans outside of Europe and adversely impact our business. For example, in July 2020, the Court of Justice of the European Union, or CJEU, invalidated the EU-U.S. Privacy Shield, which enabled the transfer of personal information from EU to the U.S. for companies that had self-certified to the Privacy Shield on the grounds that the EU-U.S. Privacy Shield failed to offer adequate protections to EU personal information transferred to the United States. While the CJEU did not invalidate the use of other data transfer mechanisms, such as the Standard Contractual Clauses, the decision has led to uncertainty regarding the use of such mechanisms for data transfers to the United States, and the CJEU made clear that reliance on Standard Contractual Clauses alone may not necessarily be sufficient in all circumstances. The European Data Protection Board, or EDPB, issued additional guidance regarding the CJEU’s decision on November 11, 2020 which imposes higher burdens on the use of data transfer mechanisms, such as the Standard Contractual Clauses, for cross-border data transfers. In June 2021, the European Commission adopted new Standard Contractual Clauses under the GDPR for transfers of personal data outside the EU to countries that the European Commission has not deemed to provide an adequate level of protection for such personal data. If we elect to rely on the new Standard Contractual Clauses for personal data transfers out of the EU, and in light of the EDPB recommendations, we may be required to expend significant resources to meet the obligations the new Standard Contractual Clauses impose; for example, we may be required to conduct transfer impact assessments for such cross-border data transfers and implement additional security measures. We will also have to spend resources to ensure that, prior to 2023, these new Standard Contractual Clauses are incorporated into all contracts governing data processing and cross-border transfer, including those contracts that are currently subject to the old Standard Contractual Clauses. In addition, it is anticipated that the UK will finalize its new model clauses governing cross-border data transfers, and therefore we will have to spend additional time and resources seeking to comply with the UK’s unique requirements in this area. Due to potential legal challenges, there is uncertainty regarding whether the new EU Standard Contractual Clauses will remain a valid mechanism for transfers of personal information out of the EEA. The use of Standard Contractual Clauses for the transfer of personal information specifically to the United States also remains under review by a number of European data protection supervisory authorities. For example, German and Irish supervisory authorities have indicated that the Standard Contractual Clauses alone provide inadequate protection for EU-U.S. data transfers. Use of the data transfer mechanisms must now be assessed on a case-by-case basis taking into account the legal regime applicable in the destination country, in particular applicable surveillance laws and rights of individuals. To comply with these requirements and as supervisory authorities continue to issue further guidance, we may need to implement additional safeguards to further enhance the security of data transferred out of Europe, we could suffer additional costs, complaints, or regulatory investigations or fines, and if we are otherwise unable to transfer personal information between and among countries and regions in which we operate, it could affect the manner in which we provide our products and services, the geographical location or segregation of our relevant systems and operations, and could adversely affect our financial results.</w:t>
      </w:r>
    </w:p>
    <w:p>
      <w:pPr>
        <w:spacing w:after="0" w:line="175"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In addition, further to the UK’s exit from the EU on January 31, 2020, the GDPR ceased to apply in the UK at the end of the transition period on December 31, 2020. However, as of January 1, 2021, the United Kingdom’s European Union (Withdrawal) Act 2018 incorporated the GDPR (as it existed on December 31, 2020 but subject to certain UK-specific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With respect to transfers of personal data from the EU to the United Kingdom,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w:t>
      </w:r>
    </w:p>
    <w:p>
      <w:pPr>
        <w:spacing w:after="0" w:line="16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Other countries, including China, Brazil, Australia and Japan, for example, have adopted certain legal requirements for local storage and processing of data and cross-border transfers of personal information, any and all of which could increase the cost and complexity of conducting preclinical testing and clinical trials or delivering our future products, if any, and operating our business. These obligations may be interpreted and applied in a manner that is inconsistent from one jurisdiction to another and may conflict with other requirements or our practices.</w:t>
      </w:r>
    </w:p>
    <w:p>
      <w:pPr>
        <w:spacing w:after="0" w:line="172" w:lineRule="exact"/>
        <w:rPr>
          <w:sz w:val="20"/>
          <w:szCs w:val="20"/>
          <w:color w:val="auto"/>
        </w:rPr>
      </w:pPr>
    </w:p>
    <w:p>
      <w:pPr>
        <w:ind w:right="380"/>
        <w:spacing w:after="0" w:line="244" w:lineRule="auto"/>
        <w:rPr>
          <w:sz w:val="20"/>
          <w:szCs w:val="20"/>
          <w:color w:val="auto"/>
        </w:rPr>
      </w:pPr>
      <w:r>
        <w:rPr>
          <w:rFonts w:ascii="Arial" w:cs="Arial" w:eastAsia="Arial" w:hAnsi="Arial"/>
          <w:sz w:val="18"/>
          <w:szCs w:val="18"/>
          <w:color w:val="auto"/>
        </w:rPr>
        <w:t>We are or may become subject to the terms of external and internal privacy and security policies, representations, certifications, publications related to privacy and security.</w:t>
      </w: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5" w:name="page76"/>
    <w:bookmarkEnd w:id="75"/>
    <w:p>
      <w:pPr>
        <w:ind w:right="80"/>
        <w:spacing w:after="0" w:line="238" w:lineRule="auto"/>
        <w:rPr>
          <w:sz w:val="20"/>
          <w:szCs w:val="20"/>
          <w:color w:val="auto"/>
        </w:rPr>
      </w:pPr>
      <w:r>
        <w:rPr>
          <w:rFonts w:ascii="Arial" w:cs="Arial" w:eastAsia="Arial" w:hAnsi="Arial"/>
          <w:sz w:val="18"/>
          <w:szCs w:val="18"/>
          <w:color w:val="auto"/>
        </w:rPr>
        <w:t>Compliance with domestic and foreign privacy, data security, and data protection laws, regulations, and contractual and other obligations could require us to take on more onerous obligations in our contracts, restrict our ability to collect, use and disclose data, or in some cases, impact our ability to operate in certain jurisdictions. The actual or perceived failure to comply with domestic and foreign privacy, data privacy, and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privacy, data security, and data protection laws, or breached our contractual obligations, even if we are not found liable, could be expensive and time consuming to defend and could result in adverse publicity that could harm our business.</w:t>
      </w:r>
    </w:p>
    <w:p>
      <w:pPr>
        <w:spacing w:after="0" w:line="29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6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current operations are primarily located in the San Francisco Bay Area. Any unplanned event, such as earthquake, flood, fire, explosion, extreme weather conditions, medical epidemic or pandemic,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In addition, the long-term effects of climate change on general economic conditions and the pharmaceutical industry in particular are unclear, and may heighten or intensify existing risk of natural disasters. Loss of access to these facilities may result in increased costs, delays in the development of our product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6" w:name="page77"/>
    <w:bookmarkEnd w:id="76"/>
    <w:p>
      <w:pPr>
        <w:ind w:right="160"/>
        <w:spacing w:after="0" w:line="261"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63"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or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have incurred substantial losses during our history and do not expect to become profitable in the near future, and we may never achieve profitability. Unused losses incurred in taxable years beginning on or prior to December 31, 2017, will carry forward to offset future taxable income, if any, until such unused losses expire. Under the Tax Cuts and Jobs Act, as modified by the CARES Act, unused U.S. federal net operating losses generated in tax years beginning after December 31, 2017, will not expire and may be carried forward indefinitely but the deductibility of such federal net operating losses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or the Code, if we undergo, or have undergone, an “ownership change,” generally defined as a greater than 50 percentage point change (by value) in our equity ownership by certain stockholders over a three-year period. We have not completed a Section 382 study to assess whether an ownership change has occurred or whether there have been multiple ownership changes since our formation due to the complexity and cost associated with such a study and the fact that there may be additional ownership changes in the future. As a result, our net operating loss carryforwards generated in taxable years beginning on or before December 31, 2017, may expire prior to being used, and the deductibility of our net operating loss carryforwards generated in taxable years beginning after December 31, 2017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28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have engaged, and will continue to engage, in strategic transactions that could impact our liquidity, increase our expenses and present significant distractions to our management.</w:t>
      </w:r>
    </w:p>
    <w:p>
      <w:pPr>
        <w:spacing w:after="0" w:line="63"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We have engaged, for instance with affiliates of Takeda Pharmaceutical Company Limited, Viracta Therapeutics, Inc. and Merck KGaA, Darmstadt, Germany, and from time to time, we may consider further strategic transactions, such as acquisitions of companies, businesses or assets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72"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03" w:lineRule="exact"/>
        <w:rPr>
          <w:rFonts w:ascii="Arial" w:cs="Arial" w:eastAsia="Arial" w:hAnsi="Arial"/>
          <w:sz w:val="18"/>
          <w:szCs w:val="18"/>
          <w:color w:val="auto"/>
        </w:rPr>
      </w:pPr>
    </w:p>
    <w:p>
      <w:pPr>
        <w:ind w:left="520" w:right="520" w:hanging="512"/>
        <w:spacing w:after="0" w:line="261"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77" w:name="page78"/>
    <w:bookmarkEnd w:id="77"/>
    <w:p>
      <w:pPr>
        <w:ind w:left="520" w:hanging="512"/>
        <w:spacing w:after="0"/>
        <w:tabs>
          <w:tab w:leader="none" w:pos="5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difficulty and cost in combining the operations, systems and personnel of any acquired businesses with our operations, systems and personnel;</w:t>
      </w:r>
    </w:p>
    <w:p>
      <w:pPr>
        <w:spacing w:after="0" w:line="126" w:lineRule="exact"/>
        <w:rPr>
          <w:rFonts w:ascii="Arial" w:cs="Arial" w:eastAsia="Arial" w:hAnsi="Arial"/>
          <w:sz w:val="16"/>
          <w:szCs w:val="16"/>
          <w:color w:val="auto"/>
        </w:rPr>
      </w:pPr>
    </w:p>
    <w:p>
      <w:pPr>
        <w:ind w:left="520" w:hanging="512"/>
        <w:spacing w:after="0"/>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 and</w:t>
      </w:r>
    </w:p>
    <w:p>
      <w:pPr>
        <w:spacing w:after="0" w:line="115" w:lineRule="exact"/>
        <w:rPr>
          <w:rFonts w:ascii="Arial" w:cs="Arial" w:eastAsia="Arial" w:hAnsi="Arial"/>
          <w:sz w:val="17"/>
          <w:szCs w:val="17"/>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b w:val="1"/>
          <w:bCs w:val="1"/>
          <w:i w:val="1"/>
          <w:iCs w:val="1"/>
          <w:color w:val="auto"/>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p>
    <w:p>
      <w:pPr>
        <w:spacing w:after="0" w:line="80"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United States and other countries for our current product candidates and future products, as well as our core technologies, including our manufacturing know-how. We strive to protect and enhance the proprietary technology, inventions and improvements that are commercially important to the development of our business by seeking, maintaining and defending our intellectual property, whether developed internally or licensed from third parties. We also rely on trade secrets, know-how, continuing technological innovation and in-licensing opportunities to develop, strengthen and maintain our proprietary position in the field of cancer drug development. Additionally, we intend to rely on regulatory protection afforded through rare drug designations, data exclusivity and market exclusivity as well as patent term extensions, where available.</w:t>
      </w:r>
    </w:p>
    <w:p>
      <w:pPr>
        <w:spacing w:after="0" w:line="180"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 or licensed patent applications will mature into issued patents, and cannot provide any assurances that any such patents, if issued, will include claims with a scope sufficient to protect our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twenty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spacing w:after="0" w:line="17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Moreover, our exclusive licenses may be subject to field restrictions and retained rights, which may adversely impact our competitive position. See “Management’s Discussion and Analysis of Financial Condition and Results of Operations—Significant agreements.” Our licensed patent portfolio may not provide us with adequate and continuing patent protection sufficient to exclude others from commercializing products similar to our product candidates, including generic versions of such products. In addition, the patent portfolio licensed to us is, or may be, licensed to third parties outside our licensed field, and such third parties may have certain enforcement rights. Thus, patents licensed to us could be put at risk of being invalidated or interpreted narrowly in litigation filed by or against another licensee or in administrative proceedings brought by or against another licensee in response to such litigation or for other reasons.</w:t>
      </w:r>
    </w:p>
    <w:p>
      <w:pPr>
        <w:spacing w:after="0" w:line="191"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Publications of discoveries in the scientific literature often lag behind the actual discoveries, and patent applications in the United States and in 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they were the first to file for patent protection of such inventions. Further, we cannot assure you that all of the potentially relevant prior art relating to our patents and patent applications has been found. If such prior art exists, it can invalidate a patent or prevent a patent from issuing from a pending patent application. As a result, the issuance, scope, validity and commercial value of our patent rights cannot be predicted with any certainty. Further,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8" w:name="page79"/>
    <w:bookmarkEnd w:id="78"/>
    <w:p>
      <w:pPr>
        <w:ind w:right="20"/>
        <w:spacing w:after="0" w:line="254" w:lineRule="auto"/>
        <w:rPr>
          <w:sz w:val="20"/>
          <w:szCs w:val="20"/>
          <w:color w:val="auto"/>
        </w:rPr>
      </w:pPr>
      <w:r>
        <w:rPr>
          <w:rFonts w:ascii="Arial" w:cs="Arial" w:eastAsia="Arial" w:hAnsi="Arial"/>
          <w:sz w:val="17"/>
          <w:szCs w:val="17"/>
          <w:color w:val="auto"/>
        </w:rPr>
        <w:t>In addition, the patent prosecution process is expensive and time-consuming, and we or our licensors may not be able to file and prosecute all necessary or desirable patent applications at a reasonable cost or in a timely manner. In addition, the scope of the claims initially submitted for examination may be significantly narrowed by the time they issue, if at all. It is also possible that we or our licensors will fail to identify patentable aspects of our research and development output before it is too late to obtain patent protection. We cannot provide any assurances that we will be able to pursue or obtain additional patent protection based on our research and development efforts, or that any such patents or other intellectual property we generate will provide any competitive advantage. Moreover, we do not have the right to control the preparation, filing and prosecution of patent applications, or to control the maintenance of the patents, covering technology that we license from third parties. Therefore, these patents and applications may not be filed, prosecuted or maintained in a manner consistent with the best interests of our business.</w:t>
      </w:r>
    </w:p>
    <w:p>
      <w:pPr>
        <w:spacing w:after="0" w:line="181"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 xml:space="preserve">Even if we acquire patent protection that we expect should enable us to maintain competitive advantage, the issuance of a patent is not conclusive as to its inventorship, scope, validity or enforceability. Third parties, including competitors, may challenge the inventorship, scope, validity, or enforceability thereof, which may result in such patents being narrowed, invalidated or held unenforceable. If issued, our patents may be challenged in patent offices in the United States and abroad, or in court. For example, we may be subject to a third-party submission of prior art to the U.S. Patent and Trademark Office, or USPTO, challenging the validity of one or more claims of our patents, once issued. Such submissions may also be made prior to a patent’s issuance, precluding the granting of a patent based on one of our patent applications. We may become involved in opposition,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derivation, interference, or similar proceedings in the United States or abroad challenging the claims of our patents, once issued. Furthermore, patents may be challenged in court, once issued. Competitors may claim that they invented the inventions claimed in such patents or patent applications prior to the inventors of our patents, or may have filed patent applications before the inventors of our patents did. A competitor may also claim that we are infringing its patents and that we therefore cannot practice our technology as claimed under our patent applications and patents, if issued. As a result, one or more claims of our patents may be narrowed or invalidated. In litigation, a competitor could claim that our patents, if issued, are not valid for a number of reasons. If a court agrees, we would lose our rights to those challenged patents.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Even if they are unchallenged,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even if we have a valid and enforceable patent, we may not be able to exclude others from practicing our invention if the other party can show that they used the invention in commerce before our filing date or the other party benefits from a compulsory license.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 Certain regulatory exclusivities may be available, however, the scope of such regulatory exclusivities is subject to change, and may not provide us with adequate and continuing protection sufficient to exclude others from commercializing products similar to our product candidates.</w:t>
      </w:r>
    </w:p>
    <w:p>
      <w:pPr>
        <w:spacing w:after="0" w:line="27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6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188"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own or in-license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9" w:name="page80"/>
    <w:bookmarkEnd w:id="79"/>
    <w:p>
      <w:pPr>
        <w:spacing w:after="0" w:line="251" w:lineRule="auto"/>
        <w:rPr>
          <w:sz w:val="20"/>
          <w:szCs w:val="20"/>
          <w:color w:val="auto"/>
        </w:rPr>
      </w:pPr>
      <w:r>
        <w:rPr>
          <w:rFonts w:ascii="Arial" w:cs="Arial" w:eastAsia="Arial" w:hAnsi="Arial"/>
          <w:sz w:val="17"/>
          <w:szCs w:val="17"/>
          <w:color w:val="auto"/>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other similar proceedings challenging our owned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189"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Furthermore, the issuance of a patent does not give us the right to practice the patented invention. Third parties may have blocking patents that could prevent us from marketing our own patented product and practicing our own patented technology.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0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3" w:lineRule="exact"/>
        <w:rPr>
          <w:sz w:val="20"/>
          <w:szCs w:val="20"/>
          <w:color w:val="auto"/>
        </w:rPr>
      </w:pPr>
    </w:p>
    <w:p>
      <w:pPr>
        <w:ind w:left="520" w:right="40" w:hanging="512"/>
        <w:spacing w:after="0" w:line="261"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make the inventions covered by the issued patents or patent application that we own or license;</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file patent applications covering certain of our inventions;</w:t>
      </w:r>
    </w:p>
    <w:p>
      <w:pPr>
        <w:spacing w:after="0" w:line="103" w:lineRule="exact"/>
        <w:rPr>
          <w:rFonts w:ascii="Arial" w:cs="Arial" w:eastAsia="Arial" w:hAnsi="Arial"/>
          <w:sz w:val="18"/>
          <w:szCs w:val="18"/>
          <w:color w:val="auto"/>
        </w:rPr>
      </w:pPr>
    </w:p>
    <w:p>
      <w:pPr>
        <w:ind w:left="520" w:right="620" w:hanging="512"/>
        <w:spacing w:after="0" w:line="261"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103" w:lineRule="exact"/>
        <w:rPr>
          <w:rFonts w:ascii="Arial" w:cs="Arial" w:eastAsia="Arial" w:hAnsi="Arial"/>
          <w:sz w:val="18"/>
          <w:szCs w:val="18"/>
          <w:color w:val="auto"/>
        </w:rPr>
      </w:pPr>
    </w:p>
    <w:p>
      <w:pPr>
        <w:ind w:left="520" w:right="340" w:hanging="512"/>
        <w:spacing w:after="0" w:line="261"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fail to adequately protect and police our trademarks and trade secrets; and</w:t>
      </w:r>
    </w:p>
    <w:p>
      <w:pPr>
        <w:spacing w:after="0" w:line="103" w:lineRule="exact"/>
        <w:rPr>
          <w:rFonts w:ascii="Arial" w:cs="Arial" w:eastAsia="Arial" w:hAnsi="Arial"/>
          <w:sz w:val="18"/>
          <w:szCs w:val="18"/>
          <w:color w:val="auto"/>
        </w:rPr>
      </w:pPr>
    </w:p>
    <w:p>
      <w:pPr>
        <w:ind w:left="520" w:right="120" w:hanging="512"/>
        <w:spacing w:after="0" w:line="261"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third-party may subsequently file a patent covering such intellectual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0" w:name="page81"/>
    <w:bookmarkEnd w:id="80"/>
    <w:p>
      <w:pPr>
        <w:ind w:right="440"/>
        <w:spacing w:after="0" w:line="248"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74"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Inter Partes Review, or IPR, proceedings and Post Grant Review, or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169"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There may also be patent applications that, if issued as patents, could be asserted against us.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and their uses or manufacturing processes.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 candidates. Further, we may incorrectly determine that our product candidates and their uses and manufacturing processes are not covered by a third-party patent or may incorrectly predict whether a third-party’s pending patent application will issue with claims of relevant scope. Our determination of the expiration date of any patent in the United States or abroad that we consider relevant may be incorrect, which may negatively impact our ability to develop and market our product candidates. Third-party intellectual property right holders may also actively bring infringement or other intellectual property-related claims against us, even if we have received patent protection for our product candidates and the relevant uses and processes.</w:t>
      </w:r>
    </w:p>
    <w:p>
      <w:pPr>
        <w:spacing w:after="0" w:line="168"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78"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03" w:lineRule="exact"/>
        <w:rPr>
          <w:rFonts w:ascii="Arial" w:cs="Arial" w:eastAsia="Arial" w:hAnsi="Arial"/>
          <w:sz w:val="18"/>
          <w:szCs w:val="18"/>
          <w:color w:val="auto"/>
        </w:rPr>
      </w:pPr>
    </w:p>
    <w:p>
      <w:pPr>
        <w:ind w:left="520" w:right="160" w:hanging="512"/>
        <w:spacing w:after="0" w:line="261"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not infringed in a court of law;</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103" w:lineRule="exact"/>
        <w:rPr>
          <w:rFonts w:ascii="Arial" w:cs="Arial" w:eastAsia="Arial" w:hAnsi="Arial"/>
          <w:sz w:val="18"/>
          <w:szCs w:val="18"/>
          <w:color w:val="auto"/>
        </w:rPr>
      </w:pPr>
    </w:p>
    <w:p>
      <w:pPr>
        <w:ind w:left="520" w:right="160" w:hanging="512"/>
        <w:spacing w:after="0" w:line="244"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81" w:name="page82"/>
    <w:bookmarkEnd w:id="81"/>
    <w:p>
      <w:pPr>
        <w:spacing w:after="0" w:line="252" w:lineRule="auto"/>
        <w:rPr>
          <w:sz w:val="20"/>
          <w:szCs w:val="20"/>
          <w:color w:val="auto"/>
        </w:rPr>
      </w:pPr>
      <w:r>
        <w:rPr>
          <w:rFonts w:ascii="Arial" w:cs="Arial" w:eastAsia="Arial" w:hAnsi="Arial"/>
          <w:sz w:val="17"/>
          <w:szCs w:val="17"/>
          <w:color w:val="auto"/>
        </w:rPr>
        <w:t>Although no third party has asserted a claim of patent infringement against us as of June 30, 2022, others may hold proprietary rights that could prevent our product candidates from being marketed. It is possible that a third-party may assert a claim of patent infringement directed at any of our product candidates. Any patent-related legal action against us claiming damages and seeking to enjoin commercial activities relating to our product candidates,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and/or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180"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28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Some of our current product candidates and research programs are licensed from third parties. If these license agreements are terminated or interpreted to narrow our rights, our ability to advance our current product candidates or develop new product candidates based on these technologies will be materially adversely affected.</w:t>
      </w:r>
    </w:p>
    <w:p>
      <w:pPr>
        <w:spacing w:after="0" w:line="7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now depend on, at least in part, Viracta Therapeutics, Inc., Takeda Pharmaceutical Company Limited, Dana Farber Cancer Institute, Millennium Pharmaceuticals, Inc. and Merck KGaA, Darmstadt, Germany, and will continue to depend on Viracta Therapeutics, Inc., Takeda Pharmaceutical Company Limited, Dana Farber Cancer Institute, Millennium Pharmaceuticals, Inc. and Merck KGaA, Darmstadt, Germany and on licenses and sublicenses from other third parties, as well as potentially on other strategic relationships with third parties, for the research, development, manufacturing and commercialization of our current product candidates. If any of our licenses or relationships or any in-licenses on which our licenses are based are terminated or breached, we may:</w:t>
      </w:r>
    </w:p>
    <w:p>
      <w:pPr>
        <w:spacing w:after="0" w:line="81"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lose our rights to develop and market our current product candidates;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lose patent or trade secret protection for our current product candidates;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experience significant delays in the development or commercialization of our current product candidates;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be able to obtain any other licenses on acceptable terms, if at all; or</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incur liability for damages.</w:t>
      </w:r>
    </w:p>
    <w:p>
      <w:pPr>
        <w:spacing w:after="0" w:line="212" w:lineRule="exact"/>
        <w:rPr>
          <w:sz w:val="20"/>
          <w:szCs w:val="20"/>
          <w:color w:val="auto"/>
        </w:rPr>
      </w:pPr>
    </w:p>
    <w:p>
      <w:pPr>
        <w:ind w:right="200"/>
        <w:spacing w:after="0" w:line="324" w:lineRule="auto"/>
        <w:rPr>
          <w:sz w:val="20"/>
          <w:szCs w:val="20"/>
          <w:color w:val="auto"/>
        </w:rPr>
      </w:pPr>
      <w:r>
        <w:rPr>
          <w:rFonts w:ascii="Arial" w:cs="Arial" w:eastAsia="Arial" w:hAnsi="Arial"/>
          <w:sz w:val="16"/>
          <w:szCs w:val="16"/>
          <w:color w:val="auto"/>
        </w:rPr>
        <w:t>Additionally, even if not terminated or breached, our intellectual property licenses or sublicenses may be subject to disagreements over contract interpretation which could narrow the scope of our rights to the relevant intellectual property or technology or increase our financial or other obligations.</w:t>
      </w:r>
    </w:p>
    <w:p>
      <w:pPr>
        <w:spacing w:after="0" w:line="12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If we experience any of the foregoing, it could have a materially adverse effect on our business and could force us to cease operations which could cause you to lose all of your investment.</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breach our license agreements, it could have a material adverse effect on our commercialization efforts for our product candidates.</w:t>
      </w:r>
    </w:p>
    <w:p>
      <w:pPr>
        <w:spacing w:after="0" w:line="115"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If we breach any of the agreements under which we license the use, development and commercialization rights to our product candidates or technology from third parties, we could lose license rights that are important to our business. Or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2" w:name="page83"/>
    <w:bookmarkEnd w:id="82"/>
    <w:p>
      <w:pPr>
        <w:ind w:right="20"/>
        <w:spacing w:after="0" w:line="248" w:lineRule="auto"/>
        <w:rPr>
          <w:sz w:val="20"/>
          <w:szCs w:val="20"/>
          <w:color w:val="auto"/>
        </w:rPr>
      </w:pPr>
      <w:r>
        <w:rPr>
          <w:rFonts w:ascii="Arial" w:cs="Arial" w:eastAsia="Arial" w:hAnsi="Arial"/>
          <w:sz w:val="18"/>
          <w:szCs w:val="18"/>
          <w:color w:val="auto"/>
        </w:rPr>
        <w:t>Our current lead product candidates are protected by, among other intellectual property rights, patents and patent applications we co-own and exclusively in-licensed from Viracta Therapeutics, Inc. (f/k/a Sunesis Pharmaceuticals, Inc.). Our current lead product candidates and pipeline and our anticipated near-term pipeline may include technologies, licensed from, for example Merck KGaA, Darmstadt, Germany.</w:t>
      </w:r>
    </w:p>
    <w:p>
      <w:pPr>
        <w:spacing w:after="0" w:line="18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Under the license agreements,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licensors may have the right to terminate the applicable license in whole or in part. Generally, the loss of any one of our current licenses, or any other license we may acquire in the future, could harm our business, prospects, financial condition and results of operations.</w:t>
      </w:r>
    </w:p>
    <w:p>
      <w:pPr>
        <w:spacing w:after="0" w:line="17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63"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03" w:lineRule="exact"/>
        <w:rPr>
          <w:rFonts w:ascii="Arial" w:cs="Arial" w:eastAsia="Arial" w:hAnsi="Arial"/>
          <w:sz w:val="18"/>
          <w:szCs w:val="18"/>
          <w:color w:val="auto"/>
        </w:rPr>
      </w:pPr>
    </w:p>
    <w:p>
      <w:pPr>
        <w:ind w:left="520" w:right="360" w:hanging="512"/>
        <w:spacing w:after="0" w:line="261"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right to sublicense patent and other intellectual property rights to third parties under collaborative development relationships;</w:t>
      </w:r>
    </w:p>
    <w:p>
      <w:pPr>
        <w:spacing w:after="0" w:line="103" w:lineRule="exact"/>
        <w:rPr>
          <w:rFonts w:ascii="Arial" w:cs="Arial" w:eastAsia="Arial" w:hAnsi="Arial"/>
          <w:sz w:val="18"/>
          <w:szCs w:val="18"/>
          <w:color w:val="auto"/>
        </w:rPr>
      </w:pPr>
    </w:p>
    <w:p>
      <w:pPr>
        <w:ind w:left="520" w:right="340" w:hanging="512"/>
        <w:spacing w:after="0" w:line="261"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03" w:lineRule="exact"/>
        <w:rPr>
          <w:rFonts w:ascii="Arial" w:cs="Arial" w:eastAsia="Arial" w:hAnsi="Arial"/>
          <w:sz w:val="18"/>
          <w:szCs w:val="18"/>
          <w:color w:val="auto"/>
        </w:rPr>
      </w:pPr>
    </w:p>
    <w:p>
      <w:pPr>
        <w:ind w:left="520" w:right="100" w:hanging="512"/>
        <w:spacing w:after="0" w:line="261"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and the extent to which inventors are able to contest the assignment of their rights to our licensors.</w:t>
      </w:r>
    </w:p>
    <w:p>
      <w:pPr>
        <w:spacing w:after="0" w:line="21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or at all, we may be unable to successfully develop and commercialize the affected product candidates. In addition, if disputes arise as to ownership of licensed intellectual property, our ability to pursue or enforce the licensed patent rights may be jeopardized. If we or our licensors fail to adequately protect this intellectual property, our ability to commercialize our products could suffer.</w:t>
      </w:r>
    </w:p>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In addition, the agreements under which we license intellectual property or technology from third parties, including our licenses with Viracta Therapeutics, Inc., Takeda Pharmaceutical Company Limited, Dana Farber Cancer Institute, Millennium Pharmaceuticals, Inc. and Merck KGaA, Darmstadt, Germany,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68"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In spite of our best efforts, our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189"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3" w:name="page84"/>
    <w:bookmarkEnd w:id="83"/>
    <w:p>
      <w:pPr>
        <w:ind w:right="40"/>
        <w:spacing w:after="0" w:line="356" w:lineRule="auto"/>
        <w:rPr>
          <w:sz w:val="20"/>
          <w:szCs w:val="20"/>
          <w:color w:val="auto"/>
        </w:rPr>
      </w:pPr>
      <w:r>
        <w:rPr>
          <w:rFonts w:ascii="Arial" w:cs="Arial" w:eastAsia="Arial" w:hAnsi="Arial"/>
          <w:sz w:val="15"/>
          <w:szCs w:val="15"/>
          <w:b w:val="1"/>
          <w:bCs w:val="1"/>
          <w:i w:val="1"/>
          <w:iCs w:val="1"/>
          <w:color w:val="auto"/>
        </w:rPr>
        <w:t>In the future, we may need to obtain additional licenses of third-party technology that may not be available to us or are available only on commercially unreasonable terms, and which may cause us to operate our business in a more costly or otherwise adverse manner that was not anticipated.</w:t>
      </w:r>
    </w:p>
    <w:p>
      <w:pPr>
        <w:spacing w:after="0" w:line="1" w:lineRule="exact"/>
        <w:rPr>
          <w:sz w:val="20"/>
          <w:szCs w:val="20"/>
          <w:color w:val="auto"/>
        </w:rPr>
      </w:pPr>
    </w:p>
    <w:p>
      <w:pPr>
        <w:jc w:val="both"/>
        <w:ind w:right="120"/>
        <w:spacing w:after="0" w:line="270" w:lineRule="auto"/>
        <w:rPr>
          <w:sz w:val="20"/>
          <w:szCs w:val="20"/>
          <w:color w:val="auto"/>
        </w:rPr>
      </w:pPr>
      <w:r>
        <w:rPr>
          <w:rFonts w:ascii="Arial" w:cs="Arial" w:eastAsia="Arial" w:hAnsi="Arial"/>
          <w:sz w:val="17"/>
          <w:szCs w:val="17"/>
          <w:color w:val="auto"/>
        </w:rPr>
        <w:t>We seek to expand our product candidate pipeline in part by in-licensing the rights to key technologies. The future growth of our business will depend in part on our ability to in-license or otherwise acquire the rights to additional product candidates or technologies. We cannot assure you that we will be able to in-license or acquire the rights to any product candidates or technologies from third parties on acceptable terms or at all.</w:t>
      </w:r>
    </w:p>
    <w:p>
      <w:pPr>
        <w:spacing w:after="0" w:line="16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Other companies and academic institutions may also have filed or are planning to file patent applications potentially relevant to our business. From time to time, in order to avoid infringing these third-party patents, we may be required to license technology from third parties to further develop or commercialize our existing or future product candidates. Should we be required to obtain licenses to any third-party technology, including any such patents required to manufacture, use or sell our existing or future product candidates, such licenses may not be available to us on commercially reasonable terms, or at all. The inability to obtain any third-party license required to develop or commercialize any of our existing or future product candidates could cause us to abandon any related efforts, which could seriously harm our business and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in-licensing and acquisition of these technologies is a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financial condition and prospects could suffer.</w:t>
      </w:r>
    </w:p>
    <w:p>
      <w:pPr>
        <w:spacing w:after="0" w:line="297" w:lineRule="exact"/>
        <w:rPr>
          <w:sz w:val="20"/>
          <w:szCs w:val="20"/>
          <w:color w:val="auto"/>
        </w:rPr>
      </w:pPr>
    </w:p>
    <w:p>
      <w:pPr>
        <w:ind w:right="680"/>
        <w:spacing w:after="0" w:line="356" w:lineRule="auto"/>
        <w:rPr>
          <w:sz w:val="20"/>
          <w:szCs w:val="20"/>
          <w:color w:val="auto"/>
        </w:rPr>
      </w:pPr>
      <w:r>
        <w:rPr>
          <w:rFonts w:ascii="Arial" w:cs="Arial" w:eastAsia="Arial" w:hAnsi="Arial"/>
          <w:sz w:val="15"/>
          <w:szCs w:val="15"/>
          <w:b w:val="1"/>
          <w:bCs w:val="1"/>
          <w:i w:val="1"/>
          <w:iCs w:val="1"/>
          <w:color w:val="auto"/>
        </w:rPr>
        <w:t>We may be involved in lawsuits to protect or enforce our own patents or our licensors’ patents, which could be expensive, time consuming and unsuccessful. Further, our own issued patents or our licensors’ patents could be found invalid or unenforceable if challenged in court.</w:t>
      </w:r>
    </w:p>
    <w:p>
      <w:pPr>
        <w:spacing w:after="0" w:line="1"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collaborators were to initiate legal proceedings against a third-party to enforce a patent directed at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6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third-party were to prevail on a legal assertion of invalidity or unenforceability, we would lose at least part, and perhaps all, of the patent protection on our technology, or any product candidates that we may develop. Such a loss of patent protection would have a material adverse impact on our business, financial condition, results of operations and prospects.</w:t>
      </w:r>
    </w:p>
    <w:p>
      <w:pPr>
        <w:spacing w:after="0" w:line="184"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84" w:name="page85"/>
    <w:bookmarkEnd w:id="84"/>
    <w:p>
      <w:pPr>
        <w:ind w:right="20"/>
        <w:spacing w:after="0" w:line="257" w:lineRule="auto"/>
        <w:rPr>
          <w:sz w:val="20"/>
          <w:szCs w:val="20"/>
          <w:color w:val="auto"/>
        </w:rPr>
      </w:pPr>
      <w:r>
        <w:rPr>
          <w:rFonts w:ascii="Arial" w:cs="Arial" w:eastAsia="Arial" w:hAnsi="Arial"/>
          <w:sz w:val="17"/>
          <w:szCs w:val="17"/>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costs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5"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29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6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product candidates, approved products, programs or intellectual property could be diminished. Accordingly, the market price of shares of our common stock may decline. Such announcements could also harm our reputation or the market for our product candidates, which could have a material adverse effect on our business.</w:t>
      </w:r>
    </w:p>
    <w:p>
      <w:pPr>
        <w:spacing w:after="0" w:line="29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6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development programs, license necessary technology from third parties or enter into development or manufacturing partnerships that would help us bring our product candidates to market.</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127"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product development, in-license needed technology, or enter into development partnerships that would help us bring our product candidates to market.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5" w:name="page86"/>
    <w:bookmarkEnd w:id="85"/>
    <w:p>
      <w:pPr>
        <w:ind w:right="120"/>
        <w:spacing w:after="0" w:line="261"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and/or those of our licensors and the enforcement or defense of our issued patents and/or those of our licensors.</w:t>
      </w:r>
    </w:p>
    <w:p>
      <w:pPr>
        <w:spacing w:after="0" w:line="63"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third-party was first to invent the claimed invention. A third-party that files a patent application in the USPTO after March 2013 but before us could therefore be awarded a patent covering an invention of ours even if we had made the invention before it was made by such third-party.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w:t>
      </w:r>
    </w:p>
    <w:p>
      <w:pPr>
        <w:spacing w:after="0" w:line="186" w:lineRule="exact"/>
        <w:rPr>
          <w:sz w:val="20"/>
          <w:szCs w:val="20"/>
          <w:color w:val="auto"/>
        </w:rPr>
      </w:pPr>
    </w:p>
    <w:p>
      <w:pPr>
        <w:ind w:right="280"/>
        <w:spacing w:after="0" w:line="241"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Because of a lower evidentiary standard in USPTO proceedings compared to the evidentiary standard in United States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Thus, the Leahy-Smith Act and its implementation could increase the uncertainties and costs surrounding the prosecution of our patent applications and/or those of our licensors and the enforcement or defense of our issued patents or those of our licensors, all of which could have a material adverse effect on our business, financial condition, results of operations and prospects.</w:t>
      </w:r>
    </w:p>
    <w:p>
      <w:pPr>
        <w:spacing w:after="0" w:line="288"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As is the case with other 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9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and/or our licensors may be subject to claims that former employees, collaborators or other third parties have an interest in our patents or other intellectual property as an inventor or co-inventor. In addition, we cannot assure you that all inventors have been or will be identified by us and/or by our collaborators despite diligent effort.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Our licensors may have relied on third-party consultants or collaborators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This could have a material adverse effect on our competitive position, business, financial conditions, results of operations, and prospects.</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04"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Depending upon the timing, duration and specifics of FDA marketing approval of our product candidates, one or more of our U.S. patents or those of our licensors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Although we have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spacing w:after="0" w:line="191"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97"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8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80"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claims that we or our employees have wrongfully used or disclosed alleged confidential information or trade secrets.</w:t>
      </w:r>
    </w:p>
    <w:p>
      <w:pPr>
        <w:spacing w:after="0" w:line="12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have entered into or may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16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297"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63"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While we normally seek to obtain the right to control prosecution, maintenance and enforcement of the patents relating to our product candidates, there may be times when the filing and prosecution activities for patents and patent applications relating to our product candidates are controlled by our licensors or collaboration partners. If any of our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from third parties, we may still be adversely affected or prejudiced by actions or inactions of our licensors and their counsel that took place prior to the date upon which we assumed control over patent prosecution.</w:t>
      </w:r>
    </w:p>
    <w:p>
      <w:pPr>
        <w:spacing w:after="0" w:line="184"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Currently, our intellectual property protection includes patents and patent applications that we have in-licensed from Viracta Therapeutics, Inc., Takeda Pharmaceutical Company Limited, and Merck KGaA, Darmstadt, Germany. Our exclusive and non-exclusive licenses may be subject to certain retained rights, which may adversely impact our competitive position. We do not control the prosecution and maintenance of several of the licensed patent portfolios; thus, we cannot assure you that the licensed patent families will be prepared, filed, prosecuted, or maintained in a manner consistent with the best interests of our business. See “Management’s Discussion and Analysis of Financial Condition and Results of Operations—Significant agreements.” Our licensed patent portfolio may not provide us with adequate and continuing patent protection sufficient to exclude others from commercializing products similar to our product candidates.</w:t>
      </w:r>
    </w:p>
    <w:p>
      <w:pPr>
        <w:spacing w:after="0" w:line="299" w:lineRule="exact"/>
        <w:rPr>
          <w:sz w:val="20"/>
          <w:szCs w:val="20"/>
          <w:color w:val="auto"/>
        </w:rPr>
      </w:pPr>
    </w:p>
    <w:p>
      <w:pPr>
        <w:ind w:right="400"/>
        <w:spacing w:after="0" w:line="248"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74"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Some of our own issued patents or pending patent applications may have been generated through the use of U.S. government funding,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existing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An active and liquid trading market for our common stock may never be sustained. As a result, you may not be able to resell your shares of common stock at or above the purchase price.</w:t>
      </w:r>
    </w:p>
    <w:p>
      <w:pPr>
        <w:spacing w:after="0" w:line="6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w:t>
      </w:r>
    </w:p>
    <w:p>
      <w:pPr>
        <w:spacing w:after="0" w:line="188"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90" w:name="page91"/>
    <w:bookmarkEnd w:id="90"/>
    <w:p>
      <w:pPr>
        <w:ind w:right="300"/>
        <w:spacing w:after="0" w:line="261"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3"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3" w:lineRule="exact"/>
        <w:rPr>
          <w:sz w:val="20"/>
          <w:szCs w:val="20"/>
          <w:color w:val="auto"/>
        </w:rPr>
      </w:pPr>
    </w:p>
    <w:p>
      <w:pPr>
        <w:ind w:left="520" w:right="500" w:hanging="512"/>
        <w:spacing w:after="0" w:line="261"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planned and ongoing development of our product candidates or future development programs, including scale-up CMC expenses;</w:t>
      </w:r>
    </w:p>
    <w:p>
      <w:pPr>
        <w:spacing w:after="0" w:line="62" w:lineRule="exact"/>
        <w:rPr>
          <w:rFonts w:ascii="Arial" w:cs="Arial" w:eastAsia="Arial" w:hAnsi="Arial"/>
          <w:sz w:val="18"/>
          <w:szCs w:val="18"/>
          <w:color w:val="auto"/>
        </w:rPr>
      </w:pPr>
    </w:p>
    <w:p>
      <w:pPr>
        <w:ind w:left="520" w:right="100" w:hanging="512"/>
        <w:spacing w:after="0" w:line="261"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intellectual property infringement lawsuit or opposition, interference or cancellation proceeding in which we may become involved;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03" w:lineRule="exact"/>
        <w:rPr>
          <w:rFonts w:ascii="Arial" w:cs="Arial" w:eastAsia="Arial" w:hAnsi="Arial"/>
          <w:sz w:val="18"/>
          <w:szCs w:val="18"/>
          <w:color w:val="auto"/>
        </w:rPr>
      </w:pPr>
    </w:p>
    <w:p>
      <w:pPr>
        <w:ind w:left="520" w:right="60" w:hanging="512"/>
        <w:spacing w:after="0" w:line="261"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520" w:right="480" w:hanging="512"/>
        <w:spacing w:after="0" w:line="261"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w:t>
      </w:r>
    </w:p>
    <w:p>
      <w:pPr>
        <w:spacing w:after="0" w:line="103" w:lineRule="exact"/>
        <w:rPr>
          <w:rFonts w:ascii="Arial" w:cs="Arial" w:eastAsia="Arial" w:hAnsi="Arial"/>
          <w:sz w:val="18"/>
          <w:szCs w:val="18"/>
          <w:color w:val="auto"/>
        </w:rPr>
      </w:pPr>
    </w:p>
    <w:p>
      <w:pPr>
        <w:ind w:left="520" w:right="400" w:hanging="512"/>
        <w:spacing w:after="0" w:line="261"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such as due to rising interest rates, inflation, the war in Ukraine and the recent COVID-19 pandemic; and</w:t>
      </w:r>
    </w:p>
    <w:p>
      <w:pPr>
        <w:spacing w:after="0" w:line="62" w:lineRule="exact"/>
        <w:rPr>
          <w:rFonts w:ascii="Arial" w:cs="Arial" w:eastAsia="Arial" w:hAnsi="Arial"/>
          <w:sz w:val="18"/>
          <w:szCs w:val="18"/>
          <w:color w:val="auto"/>
        </w:rPr>
      </w:pPr>
    </w:p>
    <w:p>
      <w:pPr>
        <w:ind w:left="520" w:right="600" w:hanging="512"/>
        <w:spacing w:after="0" w:line="261"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business development activities, such as additional program in-licensing, which could result in up-front payments or increased development expenses.</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is likely to be highly volatile, which could result in substantial losses for purchasers of our common stock.</w:t>
      </w:r>
    </w:p>
    <w:p>
      <w:pPr>
        <w:spacing w:after="0" w:line="12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market price of our common stock is likely to continue to be highly volatile and subject to wide fluctuations in response to various factors, some of which we cannot control. As a result of this volatility, you may not be able to sell your shares of common stock at or above the price paid. The market price for our common stock may be influenced by many factors, including the other risks described in this “Risk Factors” section and the following:</w:t>
      </w:r>
    </w:p>
    <w:p>
      <w:pPr>
        <w:spacing w:after="0" w:line="39"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results of preclinical studies or clinical trials by us or those of our competitors or by existing or future collaborators or licensing partners;</w:t>
      </w:r>
    </w:p>
    <w:p>
      <w:pPr>
        <w:spacing w:after="0" w:line="115" w:lineRule="exact"/>
        <w:rPr>
          <w:rFonts w:ascii="Arial" w:cs="Arial" w:eastAsia="Arial" w:hAnsi="Arial"/>
          <w:sz w:val="17"/>
          <w:szCs w:val="17"/>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and enrollment status of our clinical trials;</w:t>
      </w:r>
    </w:p>
    <w:p>
      <w:pPr>
        <w:spacing w:after="0" w:line="103" w:lineRule="exact"/>
        <w:rPr>
          <w:rFonts w:ascii="Arial" w:cs="Arial" w:eastAsia="Arial" w:hAnsi="Arial"/>
          <w:sz w:val="18"/>
          <w:szCs w:val="18"/>
          <w:color w:val="auto"/>
        </w:rPr>
      </w:pPr>
    </w:p>
    <w:p>
      <w:pPr>
        <w:ind w:left="520" w:hanging="512"/>
        <w:spacing w:after="0" w:line="261"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the development status of our product candidates, including variations in the level of expense related to the development of our programs or funding support by us or by existing or future collaborators or licensing partners;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regulatory or legal developments in the United States and other countries, especially changes in laws or regulations applicable to our business;</w:t>
      </w:r>
    </w:p>
    <w:p>
      <w:pPr>
        <w:spacing w:after="0" w:line="126" w:lineRule="exact"/>
        <w:rPr>
          <w:rFonts w:ascii="Arial" w:cs="Arial" w:eastAsia="Arial" w:hAnsi="Arial"/>
          <w:sz w:val="16"/>
          <w:szCs w:val="16"/>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03" w:lineRule="exact"/>
        <w:rPr>
          <w:rFonts w:ascii="Arial" w:cs="Arial" w:eastAsia="Arial" w:hAnsi="Arial"/>
          <w:sz w:val="18"/>
          <w:szCs w:val="18"/>
          <w:color w:val="auto"/>
        </w:rPr>
      </w:pPr>
    </w:p>
    <w:p>
      <w:pPr>
        <w:ind w:left="520" w:right="320" w:hanging="512"/>
        <w:spacing w:after="0" w:line="261"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introductions and announcements of new product candidates by us, our future collaboration partners, or our competitors, and the timing of these introductions or announcements;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 candidates, clinical studies, manufacturing process or sales and marketing terms;</w:t>
      </w:r>
    </w:p>
    <w:p>
      <w:pPr>
        <w:spacing w:after="0" w:line="126" w:lineRule="exact"/>
        <w:rPr>
          <w:rFonts w:ascii="Arial" w:cs="Arial" w:eastAsia="Arial" w:hAnsi="Arial"/>
          <w:sz w:val="16"/>
          <w:szCs w:val="16"/>
          <w:color w:val="auto"/>
        </w:rPr>
      </w:pPr>
    </w:p>
    <w:p>
      <w:pPr>
        <w:ind w:left="520" w:right="100" w:hanging="512"/>
        <w:spacing w:after="0" w:line="261"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91" w:name="page92"/>
    <w:bookmarkEnd w:id="91"/>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or product candidates;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announced or completed significant acquisitions, strategic collaborations, joint ventures or capital commitments by us or our competitors;</w:t>
      </w:r>
    </w:p>
    <w:p>
      <w:pPr>
        <w:spacing w:after="0" w:line="115" w:lineRule="exact"/>
        <w:rPr>
          <w:rFonts w:ascii="Arial" w:cs="Arial" w:eastAsia="Arial" w:hAnsi="Arial"/>
          <w:sz w:val="17"/>
          <w:szCs w:val="17"/>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and proprietary rights;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520" w:right="580" w:hanging="512"/>
        <w:spacing w:after="0" w:line="261"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15" w:lineRule="exact"/>
        <w:rPr>
          <w:rFonts w:ascii="Arial" w:cs="Arial" w:eastAsia="Arial" w:hAnsi="Arial"/>
          <w:sz w:val="17"/>
          <w:szCs w:val="17"/>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share price and fluctuations of trading volume of our common stock;</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impact of interest rate increases on the overall stock market and the market for biopharmaceutical company stocks;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sales of shares of our common stock by us, insiders or our stockholders;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natural disasters, terrorist acts, acts of war and other calamities;</w:t>
      </w:r>
    </w:p>
    <w:p>
      <w:pPr>
        <w:spacing w:after="0" w:line="103" w:lineRule="exact"/>
        <w:rPr>
          <w:rFonts w:ascii="Arial" w:cs="Arial" w:eastAsia="Arial" w:hAnsi="Arial"/>
          <w:sz w:val="18"/>
          <w:szCs w:val="18"/>
          <w:color w:val="auto"/>
        </w:rPr>
      </w:pPr>
    </w:p>
    <w:p>
      <w:pPr>
        <w:ind w:left="520" w:right="180" w:hanging="512"/>
        <w:spacing w:after="0" w:line="261"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rising interest rates and inflation, many of which are beyond our control, such as the recent COVID-19 pandemic; and</w:t>
      </w:r>
    </w:p>
    <w:p>
      <w:pPr>
        <w:spacing w:after="0" w:line="62" w:lineRule="exact"/>
        <w:rPr>
          <w:rFonts w:ascii="Arial" w:cs="Arial" w:eastAsia="Arial" w:hAnsi="Arial"/>
          <w:sz w:val="18"/>
          <w:szCs w:val="18"/>
          <w:color w:val="auto"/>
        </w:rPr>
      </w:pPr>
    </w:p>
    <w:p>
      <w:pPr>
        <w:ind w:left="520" w:right="100" w:hanging="512"/>
        <w:spacing w:after="0" w:line="261"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 including those related to the war in Ukraine.</w:t>
      </w:r>
    </w:p>
    <w:p>
      <w:pPr>
        <w:spacing w:after="0" w:line="17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including as a result of the COVID-19 pandemic, increase in inflation and interest rates, and disruptions to the supply chain,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9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p>
    <w:p>
      <w:pPr>
        <w:spacing w:after="0" w:line="25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3" w:lineRule="exact"/>
        <w:rPr>
          <w:sz w:val="20"/>
          <w:szCs w:val="20"/>
          <w:color w:val="auto"/>
        </w:rPr>
      </w:pPr>
    </w:p>
    <w:p>
      <w:pPr>
        <w:ind w:left="520" w:hanging="512"/>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timing and variations in the level of expense related to the current or future development of our programs;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timing and status of enrollment for our clinical trials;</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92" w:name="page93"/>
    <w:bookmarkEnd w:id="92"/>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clinical trials or funding support by us or potential future partners;</w:t>
      </w:r>
    </w:p>
    <w:p>
      <w:pPr>
        <w:spacing w:after="0" w:line="103" w:lineRule="exact"/>
        <w:rPr>
          <w:rFonts w:ascii="Arial" w:cs="Arial" w:eastAsia="Arial" w:hAnsi="Arial"/>
          <w:sz w:val="18"/>
          <w:szCs w:val="18"/>
          <w:color w:val="auto"/>
        </w:rPr>
      </w:pPr>
    </w:p>
    <w:p>
      <w:pPr>
        <w:ind w:left="520" w:right="260" w:hanging="512"/>
        <w:spacing w:after="0" w:line="261"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potential future arrangements or the termination or modification of any such potential future arrangements;</w:t>
      </w:r>
    </w:p>
    <w:p>
      <w:pPr>
        <w:spacing w:after="0" w:line="62" w:lineRule="exact"/>
        <w:rPr>
          <w:rFonts w:ascii="Arial" w:cs="Arial" w:eastAsia="Arial" w:hAnsi="Arial"/>
          <w:sz w:val="18"/>
          <w:szCs w:val="18"/>
          <w:color w:val="auto"/>
        </w:rPr>
      </w:pPr>
    </w:p>
    <w:p>
      <w:pPr>
        <w:ind w:left="520" w:right="20" w:hanging="512"/>
        <w:spacing w:after="0" w:line="261"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intellectual property infringement, misappropriation or violation lawsuit or opposition, interference or cancellation proceeding in which we may become involved;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03" w:lineRule="exact"/>
        <w:rPr>
          <w:rFonts w:ascii="Arial" w:cs="Arial" w:eastAsia="Arial" w:hAnsi="Arial"/>
          <w:sz w:val="18"/>
          <w:szCs w:val="18"/>
          <w:color w:val="auto"/>
        </w:rPr>
      </w:pPr>
    </w:p>
    <w:p>
      <w:pPr>
        <w:ind w:left="520" w:right="80" w:hanging="512"/>
        <w:spacing w:after="0" w:line="261"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520" w:right="40" w:hanging="512"/>
        <w:spacing w:after="0" w:line="261"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any product candidate we may develop receive regulatory approval, the timing and terms of such approval and market acceptance and demand for such product candidates;</w:t>
      </w:r>
    </w:p>
    <w:p>
      <w:pPr>
        <w:spacing w:after="0" w:line="62" w:lineRule="exact"/>
        <w:rPr>
          <w:rFonts w:ascii="Arial" w:cs="Arial" w:eastAsia="Arial" w:hAnsi="Arial"/>
          <w:sz w:val="18"/>
          <w:szCs w:val="18"/>
          <w:color w:val="auto"/>
        </w:rPr>
      </w:pPr>
    </w:p>
    <w:p>
      <w:pPr>
        <w:ind w:left="520" w:right="60" w:hanging="512"/>
        <w:spacing w:after="0" w:line="261"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and cost to establish a sales, marketing and distribution infrastructure to commercialize any products for which we may obtain marketing approval and intend to commercialize on our own or jointly with future collaborators;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regulatory developments affecting current or future product candidates or those of our competitors;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 of expense or gain associated with the change in value of the success payments and contingent consideration;</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impacts from the COVID-19 pandemic on us or third parties with which we engage;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including due to rising interest rates, inflation and the war in Ukraine.</w:t>
      </w:r>
    </w:p>
    <w:p>
      <w:pPr>
        <w:spacing w:after="0" w:line="21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25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our stockholders’ ability to achieve a return on their investment will depend on appreciation of the value of our common stock.</w:t>
      </w:r>
    </w:p>
    <w:p>
      <w:pPr>
        <w:spacing w:after="0" w:line="63"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sale of a substantial number of shares of our common stock may cause the price of our common stock to decline.</w:t>
      </w:r>
    </w:p>
    <w:p>
      <w:pPr>
        <w:spacing w:after="0" w:line="10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8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holders of an aggregate of 73,461,100 shares of our outstanding common stock as of June 30, 2022 will have rights, subject to some conditions, to require us to file registration statements covering their shares or to include their shares in registration statements that we may file for ourselves or our stockholders. We also have registered shares of common stock that we may issue under our equity incentive plans. These shares, are freely tradeable in the public market upon issuance.</w:t>
      </w:r>
    </w:p>
    <w:p>
      <w:pPr>
        <w:spacing w:after="0" w:line="188" w:lineRule="exact"/>
        <w:rPr>
          <w:sz w:val="20"/>
          <w:szCs w:val="20"/>
          <w:color w:val="auto"/>
        </w:rPr>
      </w:pPr>
    </w:p>
    <w:p>
      <w:pPr>
        <w:jc w:val="both"/>
        <w:ind w:right="460"/>
        <w:spacing w:after="0" w:line="270" w:lineRule="auto"/>
        <w:rPr>
          <w:sz w:val="20"/>
          <w:szCs w:val="20"/>
          <w:color w:val="auto"/>
        </w:rPr>
      </w:pPr>
      <w:r>
        <w:rPr>
          <w:rFonts w:ascii="Arial" w:cs="Arial" w:eastAsia="Arial" w:hAnsi="Arial"/>
          <w:sz w:val="17"/>
          <w:szCs w:val="17"/>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the perception that such sales may occur, could adversely affect the market price of our common stock.</w:t>
      </w:r>
    </w:p>
    <w:p>
      <w:pPr>
        <w:spacing w:after="0" w:line="164" w:lineRule="exact"/>
        <w:rPr>
          <w:sz w:val="20"/>
          <w:szCs w:val="20"/>
          <w:color w:val="auto"/>
        </w:rPr>
      </w:pPr>
    </w:p>
    <w:p>
      <w:pPr>
        <w:jc w:val="center"/>
        <w:ind w:right="80"/>
        <w:spacing w:after="0" w:line="241" w:lineRule="auto"/>
        <w:rPr>
          <w:sz w:val="20"/>
          <w:szCs w:val="20"/>
          <w:color w:val="auto"/>
        </w:rPr>
      </w:pPr>
      <w:r>
        <w:rPr>
          <w:rFonts w:ascii="Arial" w:cs="Arial" w:eastAsia="Arial" w:hAnsi="Arial"/>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93" w:name="page94"/>
    <w:bookmarkEnd w:id="93"/>
    <w:p>
      <w:pPr>
        <w:ind w:right="60"/>
        <w:spacing w:after="0" w:line="26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3"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Based on the beneficial ownership of our common stock as of June 30, 2022, our executive officers, directors, holders of 5% or more of our capital stock and their respective affiliates beneficially owned 53% of our voting stock. The voting power of this group may increase to the extent they convert shares of non-voting common stock they hold into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w:t>
      </w:r>
    </w:p>
    <w:p>
      <w:pPr>
        <w:spacing w:after="0" w:line="276"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the Sarbanes-Oxley Act, (ii) reduced disclosure obligations regarding executive compensation in our periodic reports and proxy statements and (iii) exemptions from the requirements of holding nonbinding advisory stockholder votes on executive compensation and stockholder approval of any golden parachute payments not approved previously.</w:t>
      </w:r>
    </w:p>
    <w:p>
      <w:pPr>
        <w:spacing w:after="0" w:line="17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 xml:space="preserve">We could be an emerging growth company for up to five fiscal years following the completion of the IPO;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certain circumstances could cause us to lose that status earlier, including if we are deemed to be a “large accelerated filer,” which occurs when the market value of our common stock that is held by non-affiliates equals or exceeds $700 million, if we have total annual gross revenue of $1.07 billion or more, or if we issue more than $1.0 billion in non-convertible debt during any three-year period before that time.</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5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consolidated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94" w:name="page95"/>
    <w:bookmarkEnd w:id="94"/>
    <w:p>
      <w:pPr>
        <w:ind w:right="80"/>
        <w:spacing w:after="0" w:line="271" w:lineRule="auto"/>
        <w:rPr>
          <w:sz w:val="20"/>
          <w:szCs w:val="20"/>
          <w:color w:val="auto"/>
        </w:rPr>
      </w:pPr>
      <w:r>
        <w:rPr>
          <w:rFonts w:ascii="Arial" w:cs="Arial" w:eastAsia="Arial" w:hAnsi="Arial"/>
          <w:sz w:val="16"/>
          <w:szCs w:val="16"/>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the same exemptions from certain disclosure requirements, including not being required to comply with the auditor attestation requirements of Section 404 of the Sarbanes-Oxley Act, reduced disclosure obligations regarding executive compensation and the option to present only the two most recent fiscal years of audited financial statements in our Annual Report on Form 10-K.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27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63"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Our restated certificate of incorporation and our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74" w:lineRule="exact"/>
        <w:rPr>
          <w:sz w:val="20"/>
          <w:szCs w:val="20"/>
          <w:color w:val="auto"/>
        </w:rPr>
      </w:pPr>
    </w:p>
    <w:p>
      <w:pPr>
        <w:ind w:left="520" w:hanging="512"/>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03" w:lineRule="exact"/>
        <w:rPr>
          <w:rFonts w:ascii="Arial" w:cs="Arial" w:eastAsia="Arial" w:hAnsi="Arial"/>
          <w:sz w:val="18"/>
          <w:szCs w:val="18"/>
          <w:color w:val="auto"/>
        </w:rPr>
      </w:pPr>
    </w:p>
    <w:p>
      <w:pPr>
        <w:ind w:left="520" w:right="200" w:hanging="512"/>
        <w:spacing w:after="0" w:line="261"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1"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290"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The exclusive forum provision in our organizational documents may limit a stockholder’s ability to bring a claim in a judicial forum that it finds favorable for disputes with us or any of our directors, officers, or other employees, or the underwriters of any offering giving rise to such claim, which may discourage lawsuits with respect to such claims.</w:t>
      </w:r>
    </w:p>
    <w:p>
      <w:pPr>
        <w:spacing w:after="0" w:line="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restated certificate of incorporation provides that, to the fullest extent permitted by law,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This exclusive forum provision does not apply to suits brought to enforce a duty or liability created by the Securities Exchange Act of 1934, as amended, or the Exchange Act. It could apply, however, to a suit that falls within one or more of the categories enumerated in the exclusive forum provision.</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5" w:name="page96"/>
    <w:bookmarkEnd w:id="95"/>
    <w:p>
      <w:pPr>
        <w:ind w:right="20"/>
        <w:spacing w:after="0" w:line="270"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claims brought to enforce any duty or liability created by the Securities Act or the rules and regulations thereunder. Our restated bylaws will provide that the federal district courts of the United States of America will, to the fullest extent permitted by law, be the exclusive forum for resolving any complaint asserting a cause of action arising under the Securities Act, or a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w:t>
      </w:r>
    </w:p>
    <w:p>
      <w:pPr>
        <w:spacing w:after="0" w:line="16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189"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or other employees, or the underwriters of any offering giving rise to such claim, which may discourage lawsuits against us and our directors, officers, and other employees.</w:t>
      </w:r>
    </w:p>
    <w:p>
      <w:pPr>
        <w:spacing w:after="0" w:line="29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company, our common stock price and trading volume could decline.</w:t>
      </w:r>
    </w:p>
    <w:p>
      <w:pPr>
        <w:spacing w:after="0" w:line="26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future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32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6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The Sarbanes- 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6" w:name="page97"/>
    <w:bookmarkEnd w:id="96"/>
    <w:p>
      <w:pPr>
        <w:ind w:right="300"/>
        <w:spacing w:after="0" w:line="261"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over financial reporting our ability to produce accurate and timely financial statements could be impaired.</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Pursuant to Section 404 of the Sarbanes-Oxley Act, our management will be required to report upon the effectiveness of our internal control over financial reporting beginning with annual report for our fiscal year ending December 31, 2022. When we lose our status as an “emerging growth company” and become an “accelerated filer” or a “large accelerated filer,”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w:t>
      </w:r>
    </w:p>
    <w:p>
      <w:pPr>
        <w:spacing w:after="0" w:line="180"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the Nasdaq Global Select Market, or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4"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04"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0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On June 1, 2021, we completed our IPO and sold 11,500,000 shares of common stock at an IPO price of $16.00 per share. The offer and sale of all of the shares in the IPO were registered under the Securities Act pursuant to registration statements on Form S-1 (File No. 333-255754), which was declared effective by the SEC on May 26, 2021. No additional shares were registered.</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2" w:right="399" w:bottom="1440" w:gutter="0" w:footer="0" w:header="0"/>
        </w:sectPr>
      </w:pPr>
    </w:p>
    <w:bookmarkStart w:id="97" w:name="page98"/>
    <w:bookmarkEnd w:id="97"/>
    <w:p>
      <w:pPr>
        <w:spacing w:after="0" w:line="262" w:lineRule="auto"/>
        <w:rPr>
          <w:sz w:val="20"/>
          <w:szCs w:val="20"/>
          <w:color w:val="auto"/>
        </w:rPr>
      </w:pPr>
      <w:r>
        <w:rPr>
          <w:rFonts w:ascii="Arial" w:cs="Arial" w:eastAsia="Arial" w:hAnsi="Arial"/>
          <w:sz w:val="17"/>
          <w:szCs w:val="17"/>
          <w:color w:val="auto"/>
        </w:rPr>
        <w:t>We received net proceeds from the IPO of approximately $167.0 million, after deducting underwriting discounts and commissions of approximately $12.9 million and estimated offering expenses of approximately $4.1 million. J.P. Morgan Securities LLC, Cowen and Company, LLC and Piper Sandler &amp; Co. acted as joint book-running managers of the offering and as representatives of the underwriters. None of the expenses associated with the IPO were paid to directors, officers, persons owning 10% or more of any class of equity securities, or to their associates, or to our affiliates.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There has been no material change in the planned use of proceeds from our IPO as described in the Prospectus filed with the SEC pursuant to Rule 424(b)</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(4) under the Securities Act on May 27, 2021.</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Item 6. Exhibits.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exhibits filed or furnished as part of this Quarterly Report on Form 10-Q are set forth on the Exhibit Index below.</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Incorporated by Reference</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7"/>
                <w:szCs w:val="17"/>
                <w:color w:val="auto"/>
              </w:rPr>
            </w:pPr>
          </w:p>
        </w:tc>
        <w:tc>
          <w:tcPr>
            <w:tcW w:w="450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Description</w:t>
            </w:r>
          </w:p>
        </w:tc>
        <w:tc>
          <w:tcPr>
            <w:tcW w:w="140" w:type="dxa"/>
            <w:vAlign w:val="bottom"/>
            <w:vMerge w:val="restart"/>
          </w:tcPr>
          <w:p>
            <w:pPr>
              <w:spacing w:after="0"/>
              <w:rPr>
                <w:sz w:val="17"/>
                <w:szCs w:val="17"/>
                <w:color w:val="auto"/>
              </w:rPr>
            </w:pPr>
          </w:p>
        </w:tc>
        <w:tc>
          <w:tcPr>
            <w:tcW w:w="5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Form</w:t>
            </w:r>
          </w:p>
        </w:tc>
        <w:tc>
          <w:tcPr>
            <w:tcW w:w="160" w:type="dxa"/>
            <w:vAlign w:val="bottom"/>
          </w:tcPr>
          <w:p>
            <w:pPr>
              <w:spacing w:after="0"/>
              <w:rPr>
                <w:sz w:val="17"/>
                <w:szCs w:val="17"/>
                <w:color w:val="auto"/>
              </w:rPr>
            </w:pPr>
          </w:p>
        </w:tc>
        <w:tc>
          <w:tcPr>
            <w:tcW w:w="13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File No.</w:t>
            </w:r>
          </w:p>
        </w:tc>
        <w:tc>
          <w:tcPr>
            <w:tcW w:w="140" w:type="dxa"/>
            <w:vAlign w:val="bottom"/>
          </w:tcPr>
          <w:p>
            <w:pPr>
              <w:spacing w:after="0"/>
              <w:rPr>
                <w:sz w:val="17"/>
                <w:szCs w:val="17"/>
                <w:color w:val="auto"/>
              </w:rPr>
            </w:pPr>
          </w:p>
        </w:tc>
        <w:tc>
          <w:tcPr>
            <w:tcW w:w="1080" w:type="dxa"/>
            <w:vAlign w:val="bottom"/>
          </w:tcPr>
          <w:p>
            <w:pPr>
              <w:ind w:left="360"/>
              <w:spacing w:after="0"/>
              <w:rPr>
                <w:sz w:val="20"/>
                <w:szCs w:val="20"/>
                <w:color w:val="auto"/>
              </w:rPr>
            </w:pPr>
            <w:r>
              <w:rPr>
                <w:rFonts w:ascii="Arial" w:cs="Arial" w:eastAsia="Arial" w:hAnsi="Arial"/>
                <w:sz w:val="14"/>
                <w:szCs w:val="14"/>
                <w:b w:val="1"/>
                <w:bCs w:val="1"/>
                <w:color w:val="auto"/>
              </w:rPr>
              <w:t>Filing</w:t>
            </w:r>
          </w:p>
        </w:tc>
        <w:tc>
          <w:tcPr>
            <w:tcW w:w="140" w:type="dxa"/>
            <w:vAlign w:val="bottom"/>
          </w:tcPr>
          <w:p>
            <w:pPr>
              <w:spacing w:after="0"/>
              <w:rPr>
                <w:sz w:val="17"/>
                <w:szCs w:val="17"/>
                <w:color w:val="auto"/>
              </w:rPr>
            </w:pPr>
          </w:p>
        </w:tc>
        <w:tc>
          <w:tcPr>
            <w:tcW w:w="7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Filed/Furnished</w:t>
            </w:r>
          </w:p>
        </w:tc>
        <w:tc>
          <w:tcPr>
            <w:tcW w:w="0" w:type="dxa"/>
            <w:vAlign w:val="bottom"/>
          </w:tcPr>
          <w:p>
            <w:pPr>
              <w:spacing w:after="0"/>
              <w:rPr>
                <w:sz w:val="1"/>
                <w:szCs w:val="1"/>
                <w:color w:val="auto"/>
              </w:rPr>
            </w:pPr>
          </w:p>
        </w:tc>
      </w:tr>
      <w:tr>
        <w:trPr>
          <w:trHeight w:val="175"/>
        </w:trPr>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5"/>
                <w:szCs w:val="15"/>
                <w:color w:val="auto"/>
              </w:rPr>
            </w:pPr>
          </w:p>
        </w:tc>
        <w:tc>
          <w:tcPr>
            <w:tcW w:w="45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131" w:lineRule="exact"/>
        <w:rPr>
          <w:sz w:val="20"/>
          <w:szCs w:val="20"/>
          <w:color w:val="auto"/>
        </w:rPr>
      </w:pPr>
    </w:p>
    <w:p>
      <w:pPr>
        <w:sectPr>
          <w:pgSz w:w="11900" w:h="16838" w:orient="portrait"/>
          <w:cols w:equalWidth="0" w:num="1">
            <w:col w:w="11220"/>
          </w:cols>
          <w:pgMar w:left="320" w:top="324" w:right="359" w:bottom="1440" w:gutter="0" w:footer="0" w:header="0"/>
        </w:sectPr>
      </w:pPr>
    </w:p>
    <w:tbl>
      <w:tblPr>
        <w:tblLayout w:type="fixed"/>
        <w:tblInd w:w="140" w:type="dxa"/>
        <w:tblCellMar>
          <w:top w:w="0" w:type="dxa"/>
          <w:left w:w="0" w:type="dxa"/>
          <w:bottom w:w="0" w:type="dxa"/>
          <w:right w:w="0" w:type="dxa"/>
        </w:tblCellMar>
      </w:tblPr>
      <w:tr>
        <w:trPr>
          <w:trHeight w:val="207"/>
        </w:trPr>
        <w:tc>
          <w:tcPr>
            <w:tcW w:w="1000" w:type="dxa"/>
            <w:vAlign w:val="bottom"/>
          </w:tcPr>
          <w:p>
            <w:pPr>
              <w:ind w:left="80"/>
              <w:spacing w:after="0"/>
              <w:rPr>
                <w:sz w:val="20"/>
                <w:szCs w:val="20"/>
                <w:color w:val="auto"/>
              </w:rPr>
            </w:pPr>
            <w:r>
              <w:rPr>
                <w:rFonts w:ascii="Arial" w:cs="Arial" w:eastAsia="Arial" w:hAnsi="Arial"/>
                <w:sz w:val="18"/>
                <w:szCs w:val="18"/>
                <w:color w:val="auto"/>
              </w:rPr>
              <w:t>10.1</w:t>
            </w:r>
          </w:p>
        </w:tc>
        <w:tc>
          <w:tcPr>
            <w:tcW w:w="4540" w:type="dxa"/>
            <w:vAlign w:val="bottom"/>
            <w:gridSpan w:val="14"/>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Office Lease between Aircraft Technical Publishers, a</w:t>
              </w:r>
            </w:hyperlink>
          </w:p>
        </w:tc>
      </w:tr>
      <w:tr>
        <w:trPr>
          <w:trHeight w:val="155"/>
        </w:trPr>
        <w:tc>
          <w:tcPr>
            <w:tcW w:w="1000" w:type="dxa"/>
            <w:vAlign w:val="bottom"/>
          </w:tcPr>
          <w:p>
            <w:pPr>
              <w:spacing w:after="0"/>
              <w:rPr>
                <w:sz w:val="13"/>
                <w:szCs w:val="13"/>
                <w:color w:val="auto"/>
              </w:rPr>
            </w:pPr>
          </w:p>
        </w:tc>
        <w:tc>
          <w:tcPr>
            <w:tcW w:w="3940" w:type="dxa"/>
            <w:vAlign w:val="bottom"/>
            <w:tcBorders>
              <w:top w:val="single" w:sz="8" w:color="0000FF"/>
            </w:tcBorders>
            <w:gridSpan w:val="6"/>
          </w:tcPr>
          <w:p>
            <w:pPr>
              <w:spacing w:after="0" w:line="156" w:lineRule="exact"/>
              <w:rPr>
                <w:rFonts w:ascii="Arial" w:cs="Arial" w:eastAsia="Arial" w:hAnsi="Arial"/>
                <w:sz w:val="18"/>
                <w:szCs w:val="18"/>
                <w:color w:val="0000FF"/>
                <w:w w:val="87"/>
              </w:rPr>
            </w:pPr>
            <w:hyperlink w:anchor="page101">
              <w:r>
                <w:rPr>
                  <w:rFonts w:ascii="Arial" w:cs="Arial" w:eastAsia="Arial" w:hAnsi="Arial"/>
                  <w:sz w:val="18"/>
                  <w:szCs w:val="18"/>
                  <w:color w:val="0000FF"/>
                  <w:w w:val="87"/>
                </w:rPr>
                <w:t>California corporation and Day One Biopharmaceuticals,</w:t>
              </w:r>
            </w:hyperlink>
          </w:p>
        </w:tc>
        <w:tc>
          <w:tcPr>
            <w:tcW w:w="600" w:type="dxa"/>
            <w:vAlign w:val="bottom"/>
            <w:gridSpan w:val="8"/>
          </w:tcPr>
          <w:p>
            <w:pPr>
              <w:ind w:left="240"/>
              <w:spacing w:after="0" w:line="156" w:lineRule="exact"/>
              <w:rPr>
                <w:rFonts w:ascii="Arial" w:cs="Arial" w:eastAsia="Arial" w:hAnsi="Arial"/>
                <w:sz w:val="18"/>
                <w:szCs w:val="18"/>
                <w:color w:val="0000FF"/>
              </w:rPr>
            </w:pPr>
            <w:hyperlink w:anchor="page101">
              <w:r>
                <w:rPr>
                  <w:rFonts w:ascii="Arial" w:cs="Arial" w:eastAsia="Arial" w:hAnsi="Arial"/>
                  <w:sz w:val="18"/>
                  <w:szCs w:val="18"/>
                  <w:color w:val="0000FF"/>
                </w:rPr>
                <w:t>Inc.</w:t>
              </w:r>
            </w:hyperlink>
          </w:p>
        </w:tc>
      </w:tr>
      <w:tr>
        <w:trPr>
          <w:trHeight w:val="156"/>
        </w:trPr>
        <w:tc>
          <w:tcPr>
            <w:tcW w:w="1000" w:type="dxa"/>
            <w:vAlign w:val="bottom"/>
          </w:tcPr>
          <w:p>
            <w:pPr>
              <w:spacing w:after="0"/>
              <w:rPr>
                <w:sz w:val="13"/>
                <w:szCs w:val="13"/>
                <w:color w:val="auto"/>
              </w:rPr>
            </w:pPr>
          </w:p>
        </w:tc>
        <w:tc>
          <w:tcPr>
            <w:tcW w:w="45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101">
              <w:r>
                <w:rPr>
                  <w:rFonts w:ascii="Arial" w:cs="Arial" w:eastAsia="Arial" w:hAnsi="Arial"/>
                  <w:sz w:val="18"/>
                  <w:szCs w:val="18"/>
                  <w:color w:val="0000FF"/>
                </w:rPr>
                <w:t>dated April 1,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00" w:type="dxa"/>
            <w:vAlign w:val="bottom"/>
          </w:tcPr>
          <w:p>
            <w:pPr>
              <w:ind w:left="80"/>
              <w:spacing w:after="0"/>
              <w:rPr>
                <w:sz w:val="20"/>
                <w:szCs w:val="20"/>
                <w:color w:val="auto"/>
              </w:rPr>
            </w:pPr>
            <w:r>
              <w:rPr>
                <w:rFonts w:ascii="Arial" w:cs="Arial" w:eastAsia="Arial" w:hAnsi="Arial"/>
                <w:sz w:val="18"/>
                <w:szCs w:val="18"/>
                <w:color w:val="auto"/>
              </w:rPr>
              <w:t>31.1</w:t>
            </w:r>
          </w:p>
        </w:tc>
        <w:tc>
          <w:tcPr>
            <w:tcW w:w="4540" w:type="dxa"/>
            <w:vAlign w:val="bottom"/>
            <w:gridSpan w:val="14"/>
          </w:tcPr>
          <w:p>
            <w:pPr>
              <w:spacing w:after="0"/>
              <w:rPr>
                <w:rFonts w:ascii="Arial" w:cs="Arial" w:eastAsia="Arial" w:hAnsi="Arial"/>
                <w:sz w:val="18"/>
                <w:szCs w:val="18"/>
                <w:color w:val="0000FF"/>
                <w:w w:val="94"/>
              </w:rPr>
            </w:pPr>
            <w:hyperlink w:anchor="page119">
              <w:r>
                <w:rPr>
                  <w:rFonts w:ascii="Arial" w:cs="Arial" w:eastAsia="Arial" w:hAnsi="Arial"/>
                  <w:sz w:val="18"/>
                  <w:szCs w:val="18"/>
                  <w:color w:val="0000FF"/>
                  <w:w w:val="94"/>
                </w:rPr>
                <w:t>Certification of Principal Executive Officer Pursuant to Rules</w:t>
              </w:r>
            </w:hyperlink>
          </w:p>
        </w:tc>
      </w:tr>
      <w:tr>
        <w:trPr>
          <w:trHeight w:val="155"/>
        </w:trPr>
        <w:tc>
          <w:tcPr>
            <w:tcW w:w="100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w:anchor="page119">
              <w:r>
                <w:rPr>
                  <w:rFonts w:ascii="Arial" w:cs="Arial" w:eastAsia="Arial" w:hAnsi="Arial"/>
                  <w:sz w:val="18"/>
                  <w:szCs w:val="18"/>
                  <w:color w:val="0000FF"/>
                  <w:w w:val="90"/>
                </w:rPr>
                <w:t>13a-14(a) and 15d-14(a) under the Securities Exchange Act of</w:t>
              </w:r>
            </w:hyperlink>
          </w:p>
        </w:tc>
        <w:tc>
          <w:tcPr>
            <w:tcW w:w="20" w:type="dxa"/>
            <w:vAlign w:val="bottom"/>
            <w:tcBorders>
              <w:bottom w:val="single" w:sz="8" w:color="0000FF"/>
            </w:tcBorders>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4540" w:type="dxa"/>
            <w:vAlign w:val="bottom"/>
            <w:gridSpan w:val="14"/>
          </w:tcPr>
          <w:p>
            <w:pPr>
              <w:spacing w:after="0" w:line="156" w:lineRule="exact"/>
              <w:rPr>
                <w:rFonts w:ascii="Arial" w:cs="Arial" w:eastAsia="Arial" w:hAnsi="Arial"/>
                <w:sz w:val="18"/>
                <w:szCs w:val="18"/>
                <w:color w:val="0000FF"/>
                <w:w w:val="94"/>
              </w:rPr>
            </w:pPr>
            <w:hyperlink w:anchor="page119">
              <w:r>
                <w:rPr>
                  <w:rFonts w:ascii="Arial" w:cs="Arial" w:eastAsia="Arial" w:hAnsi="Arial"/>
                  <w:sz w:val="18"/>
                  <w:szCs w:val="18"/>
                  <w:color w:val="0000FF"/>
                  <w:w w:val="94"/>
                </w:rPr>
                <w:t>1934, as Adopted Pursuant to Section 302 of the Sarbanes-</w:t>
              </w:r>
            </w:hyperlink>
          </w:p>
        </w:tc>
      </w:tr>
      <w:tr>
        <w:trPr>
          <w:trHeight w:val="155"/>
        </w:trPr>
        <w:tc>
          <w:tcPr>
            <w:tcW w:w="1000" w:type="dxa"/>
            <w:vAlign w:val="bottom"/>
          </w:tcPr>
          <w:p>
            <w:pPr>
              <w:spacing w:after="0"/>
              <w:rPr>
                <w:sz w:val="13"/>
                <w:szCs w:val="13"/>
                <w:color w:val="auto"/>
              </w:rPr>
            </w:pPr>
          </w:p>
        </w:tc>
        <w:tc>
          <w:tcPr>
            <w:tcW w:w="1460" w:type="dxa"/>
            <w:vAlign w:val="bottom"/>
            <w:tcBorders>
              <w:top w:val="single" w:sz="8" w:color="0000FF"/>
              <w:bottom w:val="single" w:sz="8" w:color="0000EE"/>
            </w:tcBorders>
            <w:gridSpan w:val="2"/>
          </w:tcPr>
          <w:p>
            <w:pPr>
              <w:spacing w:after="0" w:line="156" w:lineRule="exact"/>
              <w:rPr>
                <w:rFonts w:ascii="Arial" w:cs="Arial" w:eastAsia="Arial" w:hAnsi="Arial"/>
                <w:sz w:val="18"/>
                <w:szCs w:val="18"/>
                <w:color w:val="0000FF"/>
                <w:w w:val="96"/>
              </w:rPr>
            </w:pPr>
            <w:hyperlink w:anchor="page119">
              <w:r>
                <w:rPr>
                  <w:rFonts w:ascii="Arial" w:cs="Arial" w:eastAsia="Arial" w:hAnsi="Arial"/>
                  <w:sz w:val="18"/>
                  <w:szCs w:val="18"/>
                  <w:color w:val="0000FF"/>
                  <w:w w:val="96"/>
                </w:rPr>
                <w:t>Oxley Act of 2002.</w:t>
              </w:r>
            </w:hyperlink>
          </w:p>
        </w:tc>
        <w:tc>
          <w:tcPr>
            <w:tcW w:w="27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291"/>
        </w:trPr>
        <w:tc>
          <w:tcPr>
            <w:tcW w:w="1000" w:type="dxa"/>
            <w:vAlign w:val="bottom"/>
          </w:tcPr>
          <w:p>
            <w:pPr>
              <w:ind w:left="80"/>
              <w:spacing w:after="0"/>
              <w:rPr>
                <w:sz w:val="20"/>
                <w:szCs w:val="20"/>
                <w:color w:val="auto"/>
              </w:rPr>
            </w:pPr>
            <w:r>
              <w:rPr>
                <w:rFonts w:ascii="Arial" w:cs="Arial" w:eastAsia="Arial" w:hAnsi="Arial"/>
                <w:sz w:val="18"/>
                <w:szCs w:val="18"/>
                <w:color w:val="auto"/>
              </w:rPr>
              <w:t>31.2</w:t>
            </w:r>
          </w:p>
        </w:tc>
        <w:tc>
          <w:tcPr>
            <w:tcW w:w="4440" w:type="dxa"/>
            <w:vAlign w:val="bottom"/>
            <w:tcBorders>
              <w:bottom w:val="single" w:sz="8" w:color="0000FF"/>
            </w:tcBorders>
            <w:gridSpan w:val="11"/>
          </w:tcPr>
          <w:p>
            <w:pPr>
              <w:spacing w:after="0"/>
              <w:rPr>
                <w:rFonts w:ascii="Arial" w:cs="Arial" w:eastAsia="Arial" w:hAnsi="Arial"/>
                <w:sz w:val="18"/>
                <w:szCs w:val="18"/>
                <w:color w:val="0000FF"/>
                <w:w w:val="93"/>
              </w:rPr>
            </w:pPr>
            <w:hyperlink w:anchor="page120">
              <w:r>
                <w:rPr>
                  <w:rFonts w:ascii="Arial" w:cs="Arial" w:eastAsia="Arial" w:hAnsi="Arial"/>
                  <w:sz w:val="18"/>
                  <w:szCs w:val="18"/>
                  <w:color w:val="0000FF"/>
                  <w:w w:val="93"/>
                </w:rPr>
                <w:t>Certification of Principal Financial Officer Pursuant to Rules</w:t>
              </w:r>
            </w:hyperlink>
          </w:p>
        </w:tc>
        <w:tc>
          <w:tcPr>
            <w:tcW w:w="100" w:type="dxa"/>
            <w:vAlign w:val="bottom"/>
            <w:gridSpan w:val="3"/>
          </w:tcPr>
          <w:p>
            <w:pPr>
              <w:spacing w:after="0"/>
              <w:rPr>
                <w:sz w:val="24"/>
                <w:szCs w:val="24"/>
                <w:color w:val="auto"/>
              </w:rPr>
            </w:pPr>
          </w:p>
        </w:tc>
      </w:tr>
      <w:tr>
        <w:trPr>
          <w:trHeight w:val="155"/>
        </w:trPr>
        <w:tc>
          <w:tcPr>
            <w:tcW w:w="1000" w:type="dxa"/>
            <w:vAlign w:val="bottom"/>
          </w:tcPr>
          <w:p>
            <w:pPr>
              <w:spacing w:after="0"/>
              <w:rPr>
                <w:sz w:val="13"/>
                <w:szCs w:val="13"/>
                <w:color w:val="auto"/>
              </w:rPr>
            </w:pPr>
          </w:p>
        </w:tc>
        <w:tc>
          <w:tcPr>
            <w:tcW w:w="4540" w:type="dxa"/>
            <w:vAlign w:val="bottom"/>
            <w:tcBorders>
              <w:bottom w:val="single" w:sz="8" w:color="0000FF"/>
            </w:tcBorders>
            <w:gridSpan w:val="14"/>
          </w:tcPr>
          <w:p>
            <w:pPr>
              <w:spacing w:after="0" w:line="156" w:lineRule="exact"/>
              <w:rPr>
                <w:rFonts w:ascii="Arial" w:cs="Arial" w:eastAsia="Arial" w:hAnsi="Arial"/>
                <w:sz w:val="18"/>
                <w:szCs w:val="18"/>
                <w:color w:val="0000FF"/>
                <w:w w:val="90"/>
              </w:rPr>
            </w:pPr>
            <w:hyperlink w:anchor="page120">
              <w:r>
                <w:rPr>
                  <w:rFonts w:ascii="Arial" w:cs="Arial" w:eastAsia="Arial" w:hAnsi="Arial"/>
                  <w:sz w:val="18"/>
                  <w:szCs w:val="18"/>
                  <w:color w:val="0000FF"/>
                  <w:w w:val="90"/>
                </w:rPr>
                <w:t>13a-14(a) and 15d-14(a) under the Securities Exchange Act of</w:t>
              </w:r>
            </w:hyperlink>
          </w:p>
        </w:tc>
      </w:tr>
      <w:tr>
        <w:trPr>
          <w:trHeight w:val="156"/>
        </w:trPr>
        <w:tc>
          <w:tcPr>
            <w:tcW w:w="1000" w:type="dxa"/>
            <w:vAlign w:val="bottom"/>
          </w:tcPr>
          <w:p>
            <w:pPr>
              <w:spacing w:after="0"/>
              <w:rPr>
                <w:sz w:val="13"/>
                <w:szCs w:val="13"/>
                <w:color w:val="auto"/>
              </w:rPr>
            </w:pPr>
          </w:p>
        </w:tc>
        <w:tc>
          <w:tcPr>
            <w:tcW w:w="4540" w:type="dxa"/>
            <w:vAlign w:val="bottom"/>
            <w:gridSpan w:val="14"/>
          </w:tcPr>
          <w:p>
            <w:pPr>
              <w:spacing w:after="0" w:line="156" w:lineRule="exact"/>
              <w:rPr>
                <w:rFonts w:ascii="Arial" w:cs="Arial" w:eastAsia="Arial" w:hAnsi="Arial"/>
                <w:sz w:val="18"/>
                <w:szCs w:val="18"/>
                <w:color w:val="0000FF"/>
                <w:w w:val="94"/>
              </w:rPr>
            </w:pPr>
            <w:hyperlink w:anchor="page120">
              <w:r>
                <w:rPr>
                  <w:rFonts w:ascii="Arial" w:cs="Arial" w:eastAsia="Arial" w:hAnsi="Arial"/>
                  <w:sz w:val="18"/>
                  <w:szCs w:val="18"/>
                  <w:color w:val="0000FF"/>
                  <w:w w:val="94"/>
                </w:rPr>
                <w:t>1934, as Adopted Pursuant to Section 302 of the Sarbanes-</w:t>
              </w:r>
            </w:hyperlink>
          </w:p>
        </w:tc>
      </w:tr>
      <w:tr>
        <w:trPr>
          <w:trHeight w:val="156"/>
        </w:trPr>
        <w:tc>
          <w:tcPr>
            <w:tcW w:w="1000" w:type="dxa"/>
            <w:vAlign w:val="bottom"/>
          </w:tcPr>
          <w:p>
            <w:pPr>
              <w:spacing w:after="0"/>
              <w:rPr>
                <w:sz w:val="13"/>
                <w:szCs w:val="13"/>
                <w:color w:val="auto"/>
              </w:rPr>
            </w:pPr>
          </w:p>
        </w:tc>
        <w:tc>
          <w:tcPr>
            <w:tcW w:w="1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120">
              <w:r>
                <w:rPr>
                  <w:rFonts w:ascii="Arial" w:cs="Arial" w:eastAsia="Arial" w:hAnsi="Arial"/>
                  <w:sz w:val="18"/>
                  <w:szCs w:val="18"/>
                  <w:color w:val="0000FF"/>
                  <w:w w:val="93"/>
                </w:rPr>
                <w:t>Oxley Act of 2002.</w:t>
              </w:r>
            </w:hyperlink>
          </w:p>
        </w:tc>
        <w:tc>
          <w:tcPr>
            <w:tcW w:w="60" w:type="dxa"/>
            <w:vAlign w:val="bottom"/>
            <w:tcBorders>
              <w:top w:val="single" w:sz="8" w:color="0000FF"/>
              <w:bottom w:val="single" w:sz="8" w:color="0000EE"/>
            </w:tcBorders>
          </w:tcPr>
          <w:p>
            <w:pPr>
              <w:spacing w:after="0"/>
              <w:rPr>
                <w:sz w:val="13"/>
                <w:szCs w:val="13"/>
                <w:color w:val="auto"/>
              </w:rPr>
            </w:pPr>
          </w:p>
        </w:tc>
        <w:tc>
          <w:tcPr>
            <w:tcW w:w="27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290"/>
        </w:trPr>
        <w:tc>
          <w:tcPr>
            <w:tcW w:w="1000" w:type="dxa"/>
            <w:vAlign w:val="bottom"/>
          </w:tcPr>
          <w:p>
            <w:pPr>
              <w:ind w:left="80"/>
              <w:spacing w:after="0"/>
              <w:rPr>
                <w:sz w:val="20"/>
                <w:szCs w:val="20"/>
                <w:color w:val="auto"/>
              </w:rPr>
            </w:pPr>
            <w:r>
              <w:rPr>
                <w:rFonts w:ascii="Arial" w:cs="Arial" w:eastAsia="Arial" w:hAnsi="Arial"/>
                <w:sz w:val="18"/>
                <w:szCs w:val="18"/>
                <w:color w:val="auto"/>
              </w:rPr>
              <w:t>32.1*</w:t>
            </w:r>
          </w:p>
        </w:tc>
        <w:tc>
          <w:tcPr>
            <w:tcW w:w="4260" w:type="dxa"/>
            <w:vAlign w:val="bottom"/>
            <w:tcBorders>
              <w:bottom w:val="single" w:sz="8" w:color="0000FF"/>
            </w:tcBorders>
            <w:gridSpan w:val="9"/>
          </w:tcPr>
          <w:p>
            <w:pPr>
              <w:spacing w:after="0"/>
              <w:rPr>
                <w:rFonts w:ascii="Arial" w:cs="Arial" w:eastAsia="Arial" w:hAnsi="Arial"/>
                <w:sz w:val="18"/>
                <w:szCs w:val="18"/>
                <w:color w:val="0000FF"/>
                <w:w w:val="93"/>
              </w:rPr>
            </w:pPr>
            <w:hyperlink w:anchor="page121">
              <w:r>
                <w:rPr>
                  <w:rFonts w:ascii="Arial" w:cs="Arial" w:eastAsia="Arial" w:hAnsi="Arial"/>
                  <w:sz w:val="18"/>
                  <w:szCs w:val="18"/>
                  <w:color w:val="0000FF"/>
                  <w:w w:val="93"/>
                </w:rPr>
                <w:t>Certification of Principal Executive Officer Pursuant to 18</w:t>
              </w:r>
            </w:hyperlink>
          </w:p>
        </w:tc>
        <w:tc>
          <w:tcPr>
            <w:tcW w:w="280" w:type="dxa"/>
            <w:vAlign w:val="bottom"/>
            <w:gridSpan w:val="5"/>
          </w:tcPr>
          <w:p>
            <w:pPr>
              <w:spacing w:after="0"/>
              <w:rPr>
                <w:sz w:val="24"/>
                <w:szCs w:val="24"/>
                <w:color w:val="auto"/>
              </w:rPr>
            </w:pPr>
          </w:p>
        </w:tc>
      </w:tr>
      <w:tr>
        <w:trPr>
          <w:trHeight w:val="156"/>
        </w:trPr>
        <w:tc>
          <w:tcPr>
            <w:tcW w:w="1000" w:type="dxa"/>
            <w:vAlign w:val="bottom"/>
          </w:tcPr>
          <w:p>
            <w:pPr>
              <w:spacing w:after="0"/>
              <w:rPr>
                <w:sz w:val="13"/>
                <w:szCs w:val="13"/>
                <w:color w:val="auto"/>
              </w:rPr>
            </w:pPr>
          </w:p>
        </w:tc>
        <w:tc>
          <w:tcPr>
            <w:tcW w:w="4540" w:type="dxa"/>
            <w:vAlign w:val="bottom"/>
            <w:gridSpan w:val="14"/>
          </w:tcPr>
          <w:p>
            <w:pPr>
              <w:spacing w:after="0" w:line="156" w:lineRule="exact"/>
              <w:rPr>
                <w:rFonts w:ascii="Arial" w:cs="Arial" w:eastAsia="Arial" w:hAnsi="Arial"/>
                <w:sz w:val="18"/>
                <w:szCs w:val="18"/>
                <w:color w:val="0000FF"/>
                <w:w w:val="93"/>
              </w:rPr>
            </w:pPr>
            <w:hyperlink w:anchor="page121">
              <w:r>
                <w:rPr>
                  <w:rFonts w:ascii="Arial" w:cs="Arial" w:eastAsia="Arial" w:hAnsi="Arial"/>
                  <w:sz w:val="18"/>
                  <w:szCs w:val="18"/>
                  <w:color w:val="0000FF"/>
                  <w:w w:val="93"/>
                </w:rPr>
                <w:t>U.S.C. Section 1350, as Adopted Pursuant to Section 906 of</w:t>
              </w:r>
            </w:hyperlink>
          </w:p>
        </w:tc>
      </w:tr>
      <w:tr>
        <w:trPr>
          <w:trHeight w:val="155"/>
        </w:trPr>
        <w:tc>
          <w:tcPr>
            <w:tcW w:w="1000" w:type="dxa"/>
            <w:vAlign w:val="bottom"/>
          </w:tcPr>
          <w:p>
            <w:pPr>
              <w:spacing w:after="0"/>
              <w:rPr>
                <w:sz w:val="13"/>
                <w:szCs w:val="13"/>
                <w:color w:val="auto"/>
              </w:rPr>
            </w:pPr>
          </w:p>
        </w:tc>
        <w:tc>
          <w:tcPr>
            <w:tcW w:w="2420" w:type="dxa"/>
            <w:vAlign w:val="bottom"/>
            <w:tcBorders>
              <w:top w:val="single" w:sz="8" w:color="0000FF"/>
              <w:bottom w:val="single" w:sz="8" w:color="0000EE"/>
            </w:tcBorders>
            <w:gridSpan w:val="5"/>
          </w:tcPr>
          <w:p>
            <w:pPr>
              <w:spacing w:after="0" w:line="156" w:lineRule="exact"/>
              <w:rPr>
                <w:rFonts w:ascii="Arial" w:cs="Arial" w:eastAsia="Arial" w:hAnsi="Arial"/>
                <w:sz w:val="18"/>
                <w:szCs w:val="18"/>
                <w:color w:val="0000FF"/>
                <w:w w:val="92"/>
              </w:rPr>
            </w:pPr>
            <w:hyperlink w:anchor="page121">
              <w:r>
                <w:rPr>
                  <w:rFonts w:ascii="Arial" w:cs="Arial" w:eastAsia="Arial" w:hAnsi="Arial"/>
                  <w:sz w:val="18"/>
                  <w:szCs w:val="18"/>
                  <w:color w:val="0000FF"/>
                  <w:w w:val="92"/>
                </w:rPr>
                <w:t>the Sarbanes-Oxley Act of 2002.</w:t>
              </w:r>
            </w:hyperlink>
          </w:p>
        </w:tc>
        <w:tc>
          <w:tcPr>
            <w:tcW w:w="1960" w:type="dxa"/>
            <w:vAlign w:val="bottom"/>
            <w:tcBorders>
              <w:top w:val="single" w:sz="8" w:color="0000FF"/>
            </w:tcBorders>
            <w:gridSpan w:val="5"/>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291"/>
        </w:trPr>
        <w:tc>
          <w:tcPr>
            <w:tcW w:w="1000" w:type="dxa"/>
            <w:vAlign w:val="bottom"/>
          </w:tcPr>
          <w:p>
            <w:pPr>
              <w:ind w:left="80"/>
              <w:spacing w:after="0"/>
              <w:rPr>
                <w:sz w:val="20"/>
                <w:szCs w:val="20"/>
                <w:color w:val="auto"/>
              </w:rPr>
            </w:pPr>
            <w:r>
              <w:rPr>
                <w:rFonts w:ascii="Arial" w:cs="Arial" w:eastAsia="Arial" w:hAnsi="Arial"/>
                <w:sz w:val="18"/>
                <w:szCs w:val="18"/>
                <w:color w:val="auto"/>
              </w:rPr>
              <w:t>32.2*</w:t>
            </w:r>
          </w:p>
        </w:tc>
        <w:tc>
          <w:tcPr>
            <w:tcW w:w="4540" w:type="dxa"/>
            <w:vAlign w:val="bottom"/>
            <w:gridSpan w:val="14"/>
          </w:tcPr>
          <w:p>
            <w:pPr>
              <w:spacing w:after="0"/>
              <w:rPr>
                <w:rFonts w:ascii="Arial" w:cs="Arial" w:eastAsia="Arial" w:hAnsi="Arial"/>
                <w:sz w:val="18"/>
                <w:szCs w:val="18"/>
                <w:color w:val="0000FF"/>
              </w:rPr>
            </w:pPr>
            <w:hyperlink w:anchor="page122">
              <w:r>
                <w:rPr>
                  <w:rFonts w:ascii="Arial" w:cs="Arial" w:eastAsia="Arial" w:hAnsi="Arial"/>
                  <w:sz w:val="18"/>
                  <w:szCs w:val="18"/>
                  <w:color w:val="0000FF"/>
                </w:rPr>
                <w:t>Certification of Principal Financial Officer Pursuant to 18</w:t>
              </w:r>
            </w:hyperlink>
          </w:p>
        </w:tc>
      </w:tr>
      <w:tr>
        <w:trPr>
          <w:trHeight w:val="155"/>
        </w:trPr>
        <w:tc>
          <w:tcPr>
            <w:tcW w:w="1000" w:type="dxa"/>
            <w:vAlign w:val="bottom"/>
          </w:tcPr>
          <w:p>
            <w:pPr>
              <w:spacing w:after="0"/>
              <w:rPr>
                <w:sz w:val="13"/>
                <w:szCs w:val="13"/>
                <w:color w:val="auto"/>
              </w:rPr>
            </w:pPr>
          </w:p>
        </w:tc>
        <w:tc>
          <w:tcPr>
            <w:tcW w:w="4220" w:type="dxa"/>
            <w:vAlign w:val="bottom"/>
            <w:tcBorders>
              <w:top w:val="single" w:sz="8" w:color="0000FF"/>
            </w:tcBorders>
            <w:gridSpan w:val="7"/>
          </w:tcPr>
          <w:p>
            <w:pPr>
              <w:spacing w:after="0" w:line="156" w:lineRule="exact"/>
              <w:rPr>
                <w:rFonts w:ascii="Arial" w:cs="Arial" w:eastAsia="Arial" w:hAnsi="Arial"/>
                <w:sz w:val="18"/>
                <w:szCs w:val="18"/>
                <w:color w:val="0000FF"/>
                <w:w w:val="91"/>
              </w:rPr>
            </w:pPr>
            <w:hyperlink w:anchor="page122">
              <w:r>
                <w:rPr>
                  <w:rFonts w:ascii="Arial" w:cs="Arial" w:eastAsia="Arial" w:hAnsi="Arial"/>
                  <w:sz w:val="18"/>
                  <w:szCs w:val="18"/>
                  <w:color w:val="0000FF"/>
                  <w:w w:val="91"/>
                </w:rPr>
                <w:t>U.S.C. Section 1350, as Adopted Pursuant to Section 906</w:t>
              </w:r>
            </w:hyperlink>
          </w:p>
        </w:tc>
        <w:tc>
          <w:tcPr>
            <w:tcW w:w="320" w:type="dxa"/>
            <w:vAlign w:val="bottom"/>
            <w:gridSpan w:val="7"/>
          </w:tcPr>
          <w:p>
            <w:pPr>
              <w:spacing w:after="0" w:line="156" w:lineRule="exact"/>
              <w:rPr>
                <w:rFonts w:ascii="Arial" w:cs="Arial" w:eastAsia="Arial" w:hAnsi="Arial"/>
                <w:sz w:val="18"/>
                <w:szCs w:val="18"/>
                <w:color w:val="0000FF"/>
              </w:rPr>
            </w:pPr>
            <w:hyperlink w:anchor="page122">
              <w:r>
                <w:rPr>
                  <w:rFonts w:ascii="Arial" w:cs="Arial" w:eastAsia="Arial" w:hAnsi="Arial"/>
                  <w:sz w:val="18"/>
                  <w:szCs w:val="18"/>
                  <w:color w:val="0000FF"/>
                </w:rPr>
                <w:t>of</w:t>
              </w:r>
            </w:hyperlink>
          </w:p>
        </w:tc>
      </w:tr>
      <w:tr>
        <w:trPr>
          <w:trHeight w:val="156"/>
        </w:trPr>
        <w:tc>
          <w:tcPr>
            <w:tcW w:w="1000" w:type="dxa"/>
            <w:vAlign w:val="bottom"/>
          </w:tcPr>
          <w:p>
            <w:pPr>
              <w:spacing w:after="0"/>
              <w:rPr>
                <w:sz w:val="13"/>
                <w:szCs w:val="13"/>
                <w:color w:val="auto"/>
              </w:rPr>
            </w:pPr>
          </w:p>
        </w:tc>
        <w:tc>
          <w:tcPr>
            <w:tcW w:w="23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122">
              <w:r>
                <w:rPr>
                  <w:rFonts w:ascii="Arial" w:cs="Arial" w:eastAsia="Arial" w:hAnsi="Arial"/>
                  <w:sz w:val="18"/>
                  <w:szCs w:val="18"/>
                  <w:color w:val="0000FF"/>
                  <w:w w:val="90"/>
                </w:rPr>
                <w:t>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1980" w:type="dxa"/>
            <w:vAlign w:val="bottom"/>
            <w:tcBorders>
              <w:top w:val="single" w:sz="8" w:color="0000FF"/>
            </w:tcBorders>
            <w:gridSpan w:val="6"/>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277"/>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4540" w:type="dxa"/>
            <w:vAlign w:val="bottom"/>
            <w:gridSpan w:val="14"/>
          </w:tcPr>
          <w:p>
            <w:pPr>
              <w:spacing w:after="0"/>
              <w:rPr>
                <w:sz w:val="20"/>
                <w:szCs w:val="20"/>
                <w:color w:val="auto"/>
              </w:rPr>
            </w:pPr>
            <w:r>
              <w:rPr>
                <w:rFonts w:ascii="Arial" w:cs="Arial" w:eastAsia="Arial" w:hAnsi="Arial"/>
                <w:sz w:val="18"/>
                <w:szCs w:val="18"/>
                <w:color w:val="auto"/>
                <w:w w:val="92"/>
              </w:rPr>
              <w:t>Inline XBRL Instance Document (the instance document does</w:t>
            </w:r>
          </w:p>
        </w:tc>
      </w:tr>
      <w:tr>
        <w:trPr>
          <w:trHeight w:val="176"/>
        </w:trPr>
        <w:tc>
          <w:tcPr>
            <w:tcW w:w="1000" w:type="dxa"/>
            <w:vAlign w:val="bottom"/>
          </w:tcPr>
          <w:p>
            <w:pPr>
              <w:spacing w:after="0"/>
              <w:rPr>
                <w:sz w:val="15"/>
                <w:szCs w:val="15"/>
                <w:color w:val="auto"/>
              </w:rPr>
            </w:pPr>
          </w:p>
        </w:tc>
        <w:tc>
          <w:tcPr>
            <w:tcW w:w="4540" w:type="dxa"/>
            <w:vAlign w:val="bottom"/>
            <w:gridSpan w:val="14"/>
          </w:tcPr>
          <w:p>
            <w:pPr>
              <w:spacing w:after="0" w:line="176" w:lineRule="exact"/>
              <w:rPr>
                <w:sz w:val="20"/>
                <w:szCs w:val="20"/>
                <w:color w:val="auto"/>
              </w:rPr>
            </w:pPr>
            <w:r>
              <w:rPr>
                <w:rFonts w:ascii="Arial" w:cs="Arial" w:eastAsia="Arial" w:hAnsi="Arial"/>
                <w:sz w:val="18"/>
                <w:szCs w:val="18"/>
                <w:color w:val="auto"/>
                <w:w w:val="92"/>
              </w:rPr>
              <w:t>not appear in the Interactive Data File because its XBRL tags</w:t>
            </w:r>
          </w:p>
        </w:tc>
      </w:tr>
      <w:tr>
        <w:trPr>
          <w:trHeight w:val="230"/>
        </w:trPr>
        <w:tc>
          <w:tcPr>
            <w:tcW w:w="1000" w:type="dxa"/>
            <w:vAlign w:val="bottom"/>
          </w:tcPr>
          <w:p>
            <w:pPr>
              <w:spacing w:after="0"/>
              <w:rPr>
                <w:sz w:val="20"/>
                <w:szCs w:val="20"/>
                <w:color w:val="auto"/>
              </w:rPr>
            </w:pPr>
          </w:p>
        </w:tc>
        <w:tc>
          <w:tcPr>
            <w:tcW w:w="4540" w:type="dxa"/>
            <w:vAlign w:val="bottom"/>
            <w:gridSpan w:val="14"/>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454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454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1000" w:type="dxa"/>
            <w:vAlign w:val="bottom"/>
          </w:tcPr>
          <w:p>
            <w:pPr>
              <w:spacing w:after="0"/>
              <w:rPr>
                <w:sz w:val="20"/>
                <w:szCs w:val="20"/>
                <w:color w:val="auto"/>
              </w:rPr>
            </w:pPr>
          </w:p>
        </w:tc>
        <w:tc>
          <w:tcPr>
            <w:tcW w:w="4540" w:type="dxa"/>
            <w:vAlign w:val="bottom"/>
            <w:gridSpan w:val="14"/>
          </w:tcPr>
          <w:p>
            <w:pPr>
              <w:spacing w:after="0"/>
              <w:rPr>
                <w:sz w:val="20"/>
                <w:szCs w:val="20"/>
                <w:color w:val="auto"/>
              </w:rPr>
            </w:pPr>
            <w:r>
              <w:rPr>
                <w:rFonts w:ascii="Arial" w:cs="Arial" w:eastAsia="Arial" w:hAnsi="Arial"/>
                <w:sz w:val="18"/>
                <w:szCs w:val="18"/>
                <w:color w:val="auto"/>
              </w:rPr>
              <w:t>Document.</w:t>
            </w:r>
          </w:p>
        </w:tc>
      </w:tr>
      <w:tr>
        <w:trPr>
          <w:trHeight w:val="256"/>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454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1000" w:type="dxa"/>
            <w:vAlign w:val="bottom"/>
          </w:tcPr>
          <w:p>
            <w:pPr>
              <w:spacing w:after="0"/>
              <w:rPr>
                <w:sz w:val="20"/>
                <w:szCs w:val="20"/>
                <w:color w:val="auto"/>
              </w:rPr>
            </w:pPr>
          </w:p>
        </w:tc>
        <w:tc>
          <w:tcPr>
            <w:tcW w:w="4540" w:type="dxa"/>
            <w:vAlign w:val="bottom"/>
            <w:gridSpan w:val="14"/>
          </w:tcPr>
          <w:p>
            <w:pPr>
              <w:spacing w:after="0"/>
              <w:rPr>
                <w:sz w:val="20"/>
                <w:szCs w:val="20"/>
                <w:color w:val="auto"/>
              </w:rPr>
            </w:pPr>
            <w:r>
              <w:rPr>
                <w:rFonts w:ascii="Arial" w:cs="Arial" w:eastAsia="Arial" w:hAnsi="Arial"/>
                <w:sz w:val="18"/>
                <w:szCs w:val="18"/>
                <w:color w:val="auto"/>
              </w:rPr>
              <w:t>Document.</w:t>
            </w:r>
          </w:p>
        </w:tc>
      </w:tr>
      <w:tr>
        <w:trPr>
          <w:trHeight w:val="256"/>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454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1000" w:type="dxa"/>
            <w:vAlign w:val="bottom"/>
          </w:tcPr>
          <w:p>
            <w:pPr>
              <w:spacing w:after="0"/>
              <w:rPr>
                <w:sz w:val="20"/>
                <w:szCs w:val="20"/>
                <w:color w:val="auto"/>
              </w:rPr>
            </w:pPr>
          </w:p>
        </w:tc>
        <w:tc>
          <w:tcPr>
            <w:tcW w:w="4540" w:type="dxa"/>
            <w:vAlign w:val="bottom"/>
            <w:gridSpan w:val="14"/>
          </w:tcPr>
          <w:p>
            <w:pPr>
              <w:spacing w:after="0"/>
              <w:rPr>
                <w:sz w:val="20"/>
                <w:szCs w:val="20"/>
                <w:color w:val="auto"/>
              </w:rPr>
            </w:pPr>
            <w:r>
              <w:rPr>
                <w:rFonts w:ascii="Arial" w:cs="Arial" w:eastAsia="Arial" w:hAnsi="Arial"/>
                <w:sz w:val="18"/>
                <w:szCs w:val="18"/>
                <w:color w:val="auto"/>
              </w:rPr>
              <w:t>Document.</w:t>
            </w:r>
          </w:p>
        </w:tc>
      </w:tr>
      <w:tr>
        <w:trPr>
          <w:trHeight w:val="256"/>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454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w:t>
            </w:r>
          </w:p>
        </w:tc>
      </w:tr>
      <w:tr>
        <w:trPr>
          <w:trHeight w:val="230"/>
        </w:trPr>
        <w:tc>
          <w:tcPr>
            <w:tcW w:w="1000" w:type="dxa"/>
            <w:vAlign w:val="bottom"/>
          </w:tcPr>
          <w:p>
            <w:pPr>
              <w:spacing w:after="0"/>
              <w:rPr>
                <w:sz w:val="20"/>
                <w:szCs w:val="20"/>
                <w:color w:val="auto"/>
              </w:rPr>
            </w:pPr>
          </w:p>
        </w:tc>
        <w:tc>
          <w:tcPr>
            <w:tcW w:w="4540" w:type="dxa"/>
            <w:vAlign w:val="bottom"/>
            <w:gridSpan w:val="14"/>
          </w:tcPr>
          <w:p>
            <w:pPr>
              <w:spacing w:after="0"/>
              <w:rPr>
                <w:sz w:val="20"/>
                <w:szCs w:val="20"/>
                <w:color w:val="auto"/>
              </w:rPr>
            </w:pPr>
            <w:r>
              <w:rPr>
                <w:rFonts w:ascii="Arial" w:cs="Arial" w:eastAsia="Arial" w:hAnsi="Arial"/>
                <w:sz w:val="18"/>
                <w:szCs w:val="18"/>
                <w:color w:val="auto"/>
              </w:rPr>
              <w:t>Document.</w:t>
            </w:r>
          </w:p>
        </w:tc>
      </w:tr>
    </w:tbl>
    <w:p>
      <w:pPr>
        <w:spacing w:after="0" w:line="79" w:lineRule="exact"/>
        <w:rPr>
          <w:sz w:val="20"/>
          <w:szCs w:val="20"/>
          <w:color w:val="auto"/>
        </w:rPr>
      </w:pPr>
    </w:p>
    <w:p>
      <w:pPr>
        <w:ind w:left="1140" w:right="4280" w:hanging="1002"/>
        <w:spacing w:after="0" w:line="235" w:lineRule="auto"/>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28" w:lineRule="exact"/>
        <w:rPr>
          <w:sz w:val="20"/>
          <w:szCs w:val="20"/>
          <w:color w:val="auto"/>
        </w:rPr>
      </w:pPr>
    </w:p>
    <w:p>
      <w:pPr>
        <w:sectPr>
          <w:pgSz w:w="11900" w:h="16838" w:orient="portrait"/>
          <w:cols w:equalWidth="0" w:num="2">
            <w:col w:w="9860" w:space="720"/>
            <w:col w:w="640"/>
          </w:cols>
          <w:pgMar w:left="320" w:top="324" w:right="359" w:bottom="1440" w:gutter="0" w:footer="0" w:header="0"/>
          <w:type w:val="continuous"/>
        </w:sectPr>
      </w:pPr>
    </w:p>
    <w:p>
      <w:pPr>
        <w:ind w:right="300" w:firstLine="8"/>
        <w:spacing w:after="0" w:line="244" w:lineRule="auto"/>
        <w:tabs>
          <w:tab w:leader="none" w:pos="1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type w:val="continuous"/>
        </w:sectPr>
      </w:pPr>
    </w:p>
    <w:bookmarkStart w:id="99" w:name="page100"/>
    <w:bookmarkEnd w:id="99"/>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DAY ONE BIOPHARMACEUTICALS, INC.</w:t>
      </w:r>
    </w:p>
    <w:p>
      <w:pPr>
        <w:spacing w:after="0" w:line="212" w:lineRule="exact"/>
        <w:rPr>
          <w:sz w:val="20"/>
          <w:szCs w:val="20"/>
          <w:color w:val="auto"/>
        </w:rPr>
      </w:pPr>
    </w:p>
    <w:p>
      <w:pPr>
        <w:ind w:left="20"/>
        <w:spacing w:after="0"/>
        <w:tabs>
          <w:tab w:leader="none" w:pos="480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7"/>
          <w:szCs w:val="17"/>
          <w:color w:val="auto"/>
        </w:rPr>
        <w:t>By: /s/ Jeremy Bender,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6350</wp:posOffset>
            </wp:positionV>
            <wp:extent cx="38487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Jeremy Bender, Ph.D., M.B.A.</w:t>
      </w:r>
    </w:p>
    <w:p>
      <w:pPr>
        <w:ind w:left="5200"/>
        <w:spacing w:after="0" w:line="203" w:lineRule="auto"/>
        <w:rPr>
          <w:sz w:val="20"/>
          <w:szCs w:val="20"/>
          <w:color w:val="auto"/>
        </w:rPr>
      </w:pPr>
      <w:r>
        <w:rPr>
          <w:rFonts w:ascii="Arial" w:cs="Arial" w:eastAsia="Arial" w:hAnsi="Arial"/>
          <w:sz w:val="18"/>
          <w:szCs w:val="18"/>
          <w:color w:val="auto"/>
        </w:rPr>
        <w:t>Chief Executive Officer and President</w:t>
      </w:r>
    </w:p>
    <w:p>
      <w:pPr>
        <w:ind w:left="5200"/>
        <w:spacing w:after="0"/>
        <w:rPr>
          <w:sz w:val="20"/>
          <w:szCs w:val="20"/>
          <w:color w:val="auto"/>
        </w:rPr>
      </w:pPr>
      <w:r>
        <w:rPr>
          <w:rFonts w:ascii="Arial" w:cs="Arial" w:eastAsia="Arial" w:hAnsi="Arial"/>
          <w:sz w:val="18"/>
          <w:szCs w:val="18"/>
          <w:color w:val="auto"/>
        </w:rPr>
        <w:t>Principal Executive Officer</w:t>
      </w:r>
    </w:p>
    <w:p>
      <w:pPr>
        <w:spacing w:after="0" w:line="196" w:lineRule="exact"/>
        <w:rPr>
          <w:sz w:val="20"/>
          <w:szCs w:val="20"/>
          <w:color w:val="auto"/>
        </w:rPr>
      </w:pPr>
    </w:p>
    <w:p>
      <w:pPr>
        <w:ind w:left="20"/>
        <w:spacing w:after="0"/>
        <w:tabs>
          <w:tab w:leader="none" w:pos="480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7"/>
          <w:szCs w:val="17"/>
          <w:color w:val="auto"/>
        </w:rPr>
        <w:t>By: /s/ Charles N. York II,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6350</wp:posOffset>
            </wp:positionV>
            <wp:extent cx="38487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Charles N. York II, M.B.A.</w:t>
      </w:r>
    </w:p>
    <w:p>
      <w:pPr>
        <w:ind w:left="5200"/>
        <w:spacing w:after="0" w:line="203" w:lineRule="auto"/>
        <w:rPr>
          <w:sz w:val="20"/>
          <w:szCs w:val="20"/>
          <w:color w:val="auto"/>
        </w:rPr>
      </w:pPr>
      <w:r>
        <w:rPr>
          <w:rFonts w:ascii="Arial" w:cs="Arial" w:eastAsia="Arial" w:hAnsi="Arial"/>
          <w:sz w:val="18"/>
          <w:szCs w:val="18"/>
          <w:color w:val="auto"/>
        </w:rPr>
        <w:t>Chief Operating Officer and Chief Financial Officer</w:t>
      </w:r>
    </w:p>
    <w:p>
      <w:pPr>
        <w:ind w:left="5200"/>
        <w:spacing w:after="0"/>
        <w:rPr>
          <w:sz w:val="20"/>
          <w:szCs w:val="20"/>
          <w:color w:val="auto"/>
        </w:rPr>
      </w:pPr>
      <w:r>
        <w:rPr>
          <w:rFonts w:ascii="Arial" w:cs="Arial" w:eastAsia="Arial" w:hAnsi="Arial"/>
          <w:sz w:val="18"/>
          <w:szCs w:val="18"/>
          <w:color w:val="auto"/>
        </w:rPr>
        <w:t>Principal Financial and Accounting Officer</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 SUBLEASE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AIRCRAFT TECHNICAL PUBLISHERS, a California corporation,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Sublandlord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DAY ONE BIOPHARMACEUTICALS, INC.</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Subtenant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1, 2022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737799836.2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u w:val="single" w:color="auto"/>
          <w:color w:val="auto"/>
        </w:rPr>
        <w:t>OFFICE LEASE</w:t>
      </w:r>
    </w:p>
    <w:p>
      <w:pPr>
        <w:spacing w:after="0" w:line="216"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THIS OFFICE SUBLEASE (this “</w:t>
      </w:r>
      <w:r>
        <w:rPr>
          <w:rFonts w:ascii="Arial" w:cs="Arial" w:eastAsia="Arial" w:hAnsi="Arial"/>
          <w:sz w:val="18"/>
          <w:szCs w:val="18"/>
          <w:u w:val="single" w:color="auto"/>
          <w:color w:val="auto"/>
        </w:rPr>
        <w:t>Sublease</w:t>
      </w:r>
      <w:r>
        <w:rPr>
          <w:rFonts w:ascii="Arial" w:cs="Arial" w:eastAsia="Arial" w:hAnsi="Arial"/>
          <w:sz w:val="18"/>
          <w:szCs w:val="18"/>
          <w:color w:val="auto"/>
        </w:rPr>
        <w:t>”) is made between AIRCRAFT TECHNICAL PUBLISHERS, a California corporation (“</w:t>
      </w:r>
      <w:r>
        <w:rPr>
          <w:rFonts w:ascii="Arial" w:cs="Arial" w:eastAsia="Arial" w:hAnsi="Arial"/>
          <w:sz w:val="18"/>
          <w:szCs w:val="18"/>
          <w:u w:val="single" w:color="auto"/>
          <w:color w:val="auto"/>
        </w:rPr>
        <w:t>Sublandlord</w:t>
      </w:r>
      <w:r>
        <w:rPr>
          <w:rFonts w:ascii="Arial" w:cs="Arial" w:eastAsia="Arial" w:hAnsi="Arial"/>
          <w:sz w:val="18"/>
          <w:szCs w:val="18"/>
          <w:color w:val="auto"/>
        </w:rPr>
        <w:t xml:space="preserve">”), and the Subtenant described in </w:t>
      </w:r>
      <w:r>
        <w:rPr>
          <w:rFonts w:ascii="Arial" w:cs="Arial" w:eastAsia="Arial" w:hAnsi="Arial"/>
          <w:sz w:val="18"/>
          <w:szCs w:val="18"/>
          <w:i w:val="1"/>
          <w:iCs w:val="1"/>
          <w:color w:val="auto"/>
        </w:rPr>
        <w:t>Item 1</w:t>
      </w:r>
      <w:r>
        <w:rPr>
          <w:rFonts w:ascii="Arial" w:cs="Arial" w:eastAsia="Arial" w:hAnsi="Arial"/>
          <w:sz w:val="18"/>
          <w:szCs w:val="18"/>
          <w:color w:val="auto"/>
        </w:rPr>
        <w:t xml:space="preserve"> of the Basic Lease Provisions.</w:t>
      </w:r>
    </w:p>
    <w:p>
      <w:pPr>
        <w:spacing w:after="0" w:line="171" w:lineRule="exact"/>
        <w:rPr>
          <w:sz w:val="20"/>
          <w:szCs w:val="20"/>
          <w:color w:val="auto"/>
        </w:rPr>
      </w:pPr>
    </w:p>
    <w:p>
      <w:pPr>
        <w:ind w:left="1140" w:hanging="383"/>
        <w:spacing w:after="0" w:line="261" w:lineRule="auto"/>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Sublandlord and 2000 Sierra Point Parkway LLC,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are the current parties to that certain Office Lease dated as of July 20, 2017 (the “</w:t>
      </w:r>
      <w:r>
        <w:rPr>
          <w:rFonts w:ascii="Arial" w:cs="Arial" w:eastAsia="Arial" w:hAnsi="Arial"/>
          <w:sz w:val="18"/>
          <w:szCs w:val="18"/>
          <w:u w:val="single" w:color="auto"/>
          <w:color w:val="auto"/>
        </w:rPr>
        <w:t>Master Lease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1140" w:hanging="383"/>
        <w:spacing w:after="0" w:line="248" w:lineRule="auto"/>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Pursuant to the Master Lease, Sublandlord leases certain premises in the building known as Suite 501 and consisting of approximately 11,689 square feet of rentable area (the “</w:t>
      </w:r>
      <w:r>
        <w:rPr>
          <w:rFonts w:ascii="Arial" w:cs="Arial" w:eastAsia="Arial" w:hAnsi="Arial"/>
          <w:sz w:val="18"/>
          <w:szCs w:val="18"/>
          <w:u w:val="single" w:color="auto"/>
          <w:color w:val="auto"/>
        </w:rPr>
        <w:t>Premises</w:t>
      </w:r>
      <w:r>
        <w:rPr>
          <w:rFonts w:ascii="Arial" w:cs="Arial" w:eastAsia="Arial" w:hAnsi="Arial"/>
          <w:sz w:val="18"/>
          <w:szCs w:val="18"/>
          <w:color w:val="auto"/>
        </w:rPr>
        <w:t>”) located at 2000 Sierra Point Parkway, Brisbane, California 94005, all as more fully set forth in the Master Lease.</w:t>
      </w:r>
    </w:p>
    <w:p>
      <w:pPr>
        <w:spacing w:after="0" w:line="181" w:lineRule="exact"/>
        <w:rPr>
          <w:rFonts w:ascii="Arial" w:cs="Arial" w:eastAsia="Arial" w:hAnsi="Arial"/>
          <w:sz w:val="18"/>
          <w:szCs w:val="18"/>
          <w:color w:val="auto"/>
        </w:rPr>
      </w:pPr>
    </w:p>
    <w:p>
      <w:pPr>
        <w:ind w:left="1140" w:hanging="383"/>
        <w:spacing w:after="0" w:line="261" w:lineRule="auto"/>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Sublandlord desires to sublease to Subtenant, and Subtenant desires to sublease from Sublandlord, the entirety of the Subleased Premises on the terms and conditions provided in this Sublease.</w:t>
      </w:r>
    </w:p>
    <w:p>
      <w:pPr>
        <w:spacing w:after="0" w:line="170" w:lineRule="exact"/>
        <w:rPr>
          <w:rFonts w:ascii="Arial" w:cs="Arial" w:eastAsia="Arial" w:hAnsi="Arial"/>
          <w:sz w:val="18"/>
          <w:szCs w:val="18"/>
          <w:color w:val="auto"/>
        </w:rPr>
      </w:pPr>
    </w:p>
    <w:p>
      <w:pPr>
        <w:ind w:left="1140" w:hanging="383"/>
        <w:spacing w:after="0" w:line="261" w:lineRule="auto"/>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Unless otherwise provided in this Sublease, or unless capitalized only for grammatical reasons, capitalized terms used in this Sublease shall have the meanings assigned to them in the Master Lease.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 OF PREMISES</w:t>
      </w:r>
    </w:p>
    <w:p>
      <w:pPr>
        <w:spacing w:after="0" w:line="21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6"/>
          <w:szCs w:val="16"/>
          <w:color w:val="auto"/>
        </w:rPr>
        <w:t>Landlord hereby subleases to Tenant and Tenant hereby subleases from Sublandlord, subject to all of the terms and conditions set forth herein, the entirety of the Subleased Premises (the “</w:t>
      </w:r>
      <w:r>
        <w:rPr>
          <w:rFonts w:ascii="Arial" w:cs="Arial" w:eastAsia="Arial" w:hAnsi="Arial"/>
          <w:sz w:val="16"/>
          <w:szCs w:val="16"/>
          <w:u w:val="single" w:color="auto"/>
          <w:color w:val="auto"/>
        </w:rPr>
        <w:t>Subleased Premises</w:t>
      </w:r>
      <w:r>
        <w:rPr>
          <w:rFonts w:ascii="Arial" w:cs="Arial" w:eastAsia="Arial" w:hAnsi="Arial"/>
          <w:sz w:val="16"/>
          <w:szCs w:val="16"/>
          <w:color w:val="auto"/>
        </w:rPr>
        <w:t xml:space="preserve">”) described in </w:t>
      </w:r>
      <w:r>
        <w:rPr>
          <w:rFonts w:ascii="Arial" w:cs="Arial" w:eastAsia="Arial" w:hAnsi="Arial"/>
          <w:sz w:val="16"/>
          <w:szCs w:val="16"/>
          <w:i w:val="1"/>
          <w:iCs w:val="1"/>
          <w:color w:val="auto"/>
        </w:rPr>
        <w:t>Item 3</w:t>
      </w:r>
      <w:r>
        <w:rPr>
          <w:rFonts w:ascii="Arial" w:cs="Arial" w:eastAsia="Arial" w:hAnsi="Arial"/>
          <w:sz w:val="16"/>
          <w:szCs w:val="16"/>
          <w:color w:val="auto"/>
        </w:rPr>
        <w:t xml:space="preserve"> of the Basic Lease Provisions, including non-exclusive rights to all of the Common Areas (as set forth in Section 2.2 of the Master Lease), parking spaces (as set forth in Section 2.3 of the Master Lease), Fitness Center (as set forth in Section 2.4 of the Master Lease), Conference Center (as set forth in Section 2.5 of the Master Lease), and the Sierra Point Shuttle Program (as set forth in Section 2.6 of the Master Lease). The Subleased Premises are located in the Building described in </w:t>
      </w:r>
      <w:r>
        <w:rPr>
          <w:rFonts w:ascii="Arial" w:cs="Arial" w:eastAsia="Arial" w:hAnsi="Arial"/>
          <w:sz w:val="16"/>
          <w:szCs w:val="16"/>
          <w:i w:val="1"/>
          <w:iCs w:val="1"/>
          <w:color w:val="auto"/>
        </w:rPr>
        <w:t>Item 2</w:t>
      </w:r>
      <w:r>
        <w:rPr>
          <w:rFonts w:ascii="Arial" w:cs="Arial" w:eastAsia="Arial" w:hAnsi="Arial"/>
          <w:sz w:val="16"/>
          <w:szCs w:val="16"/>
          <w:color w:val="auto"/>
        </w:rPr>
        <w:t xml:space="preserve"> of the Basic Lease Provisions.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7380" w:type="dxa"/>
            <w:vAlign w:val="bottom"/>
            <w:gridSpan w:val="5"/>
          </w:tcPr>
          <w:p>
            <w:pPr>
              <w:ind w:left="420"/>
              <w:spacing w:after="0"/>
              <w:rPr>
                <w:sz w:val="20"/>
                <w:szCs w:val="20"/>
                <w:color w:val="auto"/>
              </w:rPr>
            </w:pPr>
            <w:r>
              <w:rPr>
                <w:rFonts w:ascii="Arial" w:cs="Arial" w:eastAsia="Arial" w:hAnsi="Arial"/>
                <w:sz w:val="18"/>
                <w:szCs w:val="18"/>
                <w:b w:val="1"/>
                <w:bCs w:val="1"/>
                <w:color w:val="auto"/>
              </w:rPr>
              <w:t>BASIC SUBLEASE PROVISIONS</w:t>
            </w:r>
          </w:p>
        </w:tc>
        <w:tc>
          <w:tcPr>
            <w:tcW w:w="0" w:type="dxa"/>
            <w:vAlign w:val="bottom"/>
          </w:tcPr>
          <w:p>
            <w:pPr>
              <w:spacing w:after="0"/>
              <w:rPr>
                <w:sz w:val="1"/>
                <w:szCs w:val="1"/>
                <w:color w:val="auto"/>
              </w:rPr>
            </w:pPr>
          </w:p>
        </w:tc>
      </w:tr>
      <w:tr>
        <w:trPr>
          <w:trHeight w:val="580"/>
        </w:trPr>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3600" w:type="dxa"/>
            <w:vAlign w:val="bottom"/>
          </w:tcPr>
          <w:p>
            <w:pPr>
              <w:ind w:left="500"/>
              <w:spacing w:after="0"/>
              <w:rPr>
                <w:sz w:val="20"/>
                <w:szCs w:val="20"/>
                <w:color w:val="auto"/>
              </w:rPr>
            </w:pPr>
            <w:r>
              <w:rPr>
                <w:rFonts w:ascii="Arial" w:cs="Arial" w:eastAsia="Arial" w:hAnsi="Arial"/>
                <w:sz w:val="18"/>
                <w:szCs w:val="18"/>
                <w:b w:val="1"/>
                <w:bCs w:val="1"/>
                <w:color w:val="auto"/>
              </w:rPr>
              <w:t>Subtenant:</w:t>
            </w:r>
          </w:p>
        </w:tc>
        <w:tc>
          <w:tcPr>
            <w:tcW w:w="7380" w:type="dxa"/>
            <w:vAlign w:val="bottom"/>
            <w:gridSpan w:val="5"/>
          </w:tcPr>
          <w:p>
            <w:pPr>
              <w:ind w:left="1420"/>
              <w:spacing w:after="0"/>
              <w:rPr>
                <w:sz w:val="20"/>
                <w:szCs w:val="20"/>
                <w:color w:val="auto"/>
              </w:rPr>
            </w:pPr>
            <w:r>
              <w:rPr>
                <w:rFonts w:ascii="Arial" w:cs="Arial" w:eastAsia="Arial" w:hAnsi="Arial"/>
                <w:sz w:val="18"/>
                <w:szCs w:val="18"/>
                <w:color w:val="auto"/>
              </w:rPr>
              <w:t>Day One Biopharmaceuticals, Inc., a Delaware corporation</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7380" w:type="dxa"/>
            <w:vAlign w:val="bottom"/>
            <w:gridSpan w:val="5"/>
          </w:tcPr>
          <w:p>
            <w:pPr>
              <w:ind w:left="1420"/>
              <w:spacing w:after="0" w:line="176" w:lineRule="exact"/>
              <w:rPr>
                <w:sz w:val="20"/>
                <w:szCs w:val="20"/>
                <w:color w:val="auto"/>
              </w:rPr>
            </w:pPr>
            <w:r>
              <w:rPr>
                <w:rFonts w:ascii="Arial" w:cs="Arial" w:eastAsia="Arial" w:hAnsi="Arial"/>
                <w:sz w:val="18"/>
                <w:szCs w:val="18"/>
                <w:color w:val="auto"/>
              </w:rPr>
              <w:t>(“Subtenant”)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60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Building:</w:t>
            </w:r>
          </w:p>
        </w:tc>
        <w:tc>
          <w:tcPr>
            <w:tcW w:w="1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3600" w:type="dxa"/>
            <w:vAlign w:val="bottom"/>
            <w:vMerge w:val="continue"/>
          </w:tcPr>
          <w:p>
            <w:pPr>
              <w:spacing w:after="0"/>
              <w:rPr>
                <w:sz w:val="24"/>
                <w:szCs w:val="24"/>
                <w:color w:val="auto"/>
              </w:rPr>
            </w:pPr>
          </w:p>
        </w:tc>
        <w:tc>
          <w:tcPr>
            <w:tcW w:w="7380" w:type="dxa"/>
            <w:vAlign w:val="bottom"/>
            <w:gridSpan w:val="5"/>
          </w:tcPr>
          <w:p>
            <w:pPr>
              <w:ind w:left="1420"/>
              <w:spacing w:after="0"/>
              <w:rPr>
                <w:sz w:val="20"/>
                <w:szCs w:val="20"/>
                <w:color w:val="auto"/>
              </w:rPr>
            </w:pPr>
            <w:r>
              <w:rPr>
                <w:rFonts w:ascii="Arial" w:cs="Arial" w:eastAsia="Arial" w:hAnsi="Arial"/>
                <w:sz w:val="18"/>
                <w:szCs w:val="18"/>
                <w:color w:val="auto"/>
              </w:rPr>
              <w:t>2000 Sierra Point Parkway</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7380" w:type="dxa"/>
            <w:vAlign w:val="bottom"/>
            <w:gridSpan w:val="5"/>
          </w:tcPr>
          <w:p>
            <w:pPr>
              <w:ind w:left="1420"/>
              <w:spacing w:after="0"/>
              <w:rPr>
                <w:sz w:val="20"/>
                <w:szCs w:val="20"/>
                <w:color w:val="auto"/>
              </w:rPr>
            </w:pPr>
            <w:r>
              <w:rPr>
                <w:rFonts w:ascii="Arial" w:cs="Arial" w:eastAsia="Arial" w:hAnsi="Arial"/>
                <w:sz w:val="18"/>
                <w:szCs w:val="18"/>
                <w:color w:val="auto"/>
              </w:rPr>
              <w:t>Brisbane, CA 94005</w:t>
            </w:r>
          </w:p>
        </w:tc>
        <w:tc>
          <w:tcPr>
            <w:tcW w:w="0" w:type="dxa"/>
            <w:vAlign w:val="bottom"/>
          </w:tcPr>
          <w:p>
            <w:pPr>
              <w:spacing w:after="0"/>
              <w:rPr>
                <w:sz w:val="1"/>
                <w:szCs w:val="1"/>
                <w:color w:val="auto"/>
              </w:rPr>
            </w:pPr>
          </w:p>
        </w:tc>
      </w:tr>
      <w:tr>
        <w:trPr>
          <w:trHeight w:val="553"/>
        </w:trPr>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3600" w:type="dxa"/>
            <w:vAlign w:val="bottom"/>
          </w:tcPr>
          <w:p>
            <w:pPr>
              <w:ind w:left="500"/>
              <w:spacing w:after="0"/>
              <w:rPr>
                <w:sz w:val="20"/>
                <w:szCs w:val="20"/>
                <w:color w:val="auto"/>
              </w:rPr>
            </w:pPr>
            <w:r>
              <w:rPr>
                <w:rFonts w:ascii="Arial" w:cs="Arial" w:eastAsia="Arial" w:hAnsi="Arial"/>
                <w:sz w:val="18"/>
                <w:szCs w:val="18"/>
                <w:b w:val="1"/>
                <w:bCs w:val="1"/>
                <w:color w:val="auto"/>
              </w:rPr>
              <w:t>Description of Subleased Premises:</w:t>
            </w:r>
          </w:p>
        </w:tc>
        <w:tc>
          <w:tcPr>
            <w:tcW w:w="7380" w:type="dxa"/>
            <w:vAlign w:val="bottom"/>
            <w:gridSpan w:val="5"/>
          </w:tcPr>
          <w:p>
            <w:pPr>
              <w:ind w:left="1420"/>
              <w:spacing w:after="0"/>
              <w:rPr>
                <w:sz w:val="20"/>
                <w:szCs w:val="20"/>
                <w:color w:val="auto"/>
              </w:rPr>
            </w:pPr>
            <w:r>
              <w:rPr>
                <w:rFonts w:ascii="Arial" w:cs="Arial" w:eastAsia="Arial" w:hAnsi="Arial"/>
                <w:sz w:val="18"/>
                <w:szCs w:val="18"/>
                <w:color w:val="auto"/>
              </w:rPr>
              <w:t>Suite 501</w:t>
            </w: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3600" w:type="dxa"/>
            <w:vAlign w:val="bottom"/>
          </w:tcPr>
          <w:p>
            <w:pPr>
              <w:ind w:left="500"/>
              <w:spacing w:after="0"/>
              <w:rPr>
                <w:sz w:val="20"/>
                <w:szCs w:val="20"/>
                <w:color w:val="auto"/>
              </w:rPr>
            </w:pPr>
            <w:r>
              <w:rPr>
                <w:rFonts w:ascii="Arial" w:cs="Arial" w:eastAsia="Arial" w:hAnsi="Arial"/>
                <w:sz w:val="18"/>
                <w:szCs w:val="18"/>
                <w:b w:val="1"/>
                <w:bCs w:val="1"/>
                <w:color w:val="auto"/>
              </w:rPr>
              <w:t>Rentable Area:</w:t>
            </w:r>
          </w:p>
        </w:tc>
        <w:tc>
          <w:tcPr>
            <w:tcW w:w="7380" w:type="dxa"/>
            <w:vAlign w:val="bottom"/>
            <w:gridSpan w:val="5"/>
          </w:tcPr>
          <w:p>
            <w:pPr>
              <w:ind w:left="1420"/>
              <w:spacing w:after="0"/>
              <w:rPr>
                <w:sz w:val="20"/>
                <w:szCs w:val="20"/>
                <w:color w:val="auto"/>
              </w:rPr>
            </w:pPr>
            <w:r>
              <w:rPr>
                <w:rFonts w:ascii="Arial" w:cs="Arial" w:eastAsia="Arial" w:hAnsi="Arial"/>
                <w:sz w:val="18"/>
                <w:szCs w:val="18"/>
                <w:color w:val="auto"/>
              </w:rPr>
              <w:t>11,689 square feet</w:t>
            </w:r>
          </w:p>
        </w:tc>
        <w:tc>
          <w:tcPr>
            <w:tcW w:w="0" w:type="dxa"/>
            <w:vAlign w:val="bottom"/>
          </w:tcPr>
          <w:p>
            <w:pPr>
              <w:spacing w:after="0"/>
              <w:rPr>
                <w:sz w:val="1"/>
                <w:szCs w:val="1"/>
                <w:color w:val="auto"/>
              </w:rPr>
            </w:pPr>
          </w:p>
        </w:tc>
      </w:tr>
      <w:tr>
        <w:trPr>
          <w:trHeight w:val="337"/>
        </w:trPr>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3600" w:type="dxa"/>
            <w:vAlign w:val="bottom"/>
          </w:tcPr>
          <w:p>
            <w:pPr>
              <w:ind w:left="500"/>
              <w:spacing w:after="0"/>
              <w:rPr>
                <w:sz w:val="20"/>
                <w:szCs w:val="20"/>
                <w:color w:val="auto"/>
              </w:rPr>
            </w:pPr>
            <w:r>
              <w:rPr>
                <w:rFonts w:ascii="Arial" w:cs="Arial" w:eastAsia="Arial" w:hAnsi="Arial"/>
                <w:sz w:val="18"/>
                <w:szCs w:val="18"/>
                <w:b w:val="1"/>
                <w:bCs w:val="1"/>
                <w:color w:val="auto"/>
              </w:rPr>
              <w:t>Subtenant’s Proportionate</w:t>
            </w:r>
          </w:p>
        </w:tc>
        <w:tc>
          <w:tcPr>
            <w:tcW w:w="7380" w:type="dxa"/>
            <w:vAlign w:val="bottom"/>
            <w:gridSpan w:val="5"/>
          </w:tcPr>
          <w:p>
            <w:pPr>
              <w:ind w:left="1420"/>
              <w:spacing w:after="0"/>
              <w:rPr>
                <w:sz w:val="20"/>
                <w:szCs w:val="20"/>
                <w:color w:val="auto"/>
              </w:rPr>
            </w:pPr>
            <w:r>
              <w:rPr>
                <w:rFonts w:ascii="Arial" w:cs="Arial" w:eastAsia="Arial" w:hAnsi="Arial"/>
                <w:sz w:val="18"/>
                <w:szCs w:val="18"/>
                <w:color w:val="auto"/>
              </w:rPr>
              <w:t>Pro rata in excess of a Base Year of 2022</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3600" w:type="dxa"/>
            <w:vAlign w:val="bottom"/>
          </w:tcPr>
          <w:p>
            <w:pPr>
              <w:ind w:left="500"/>
              <w:spacing w:after="0"/>
              <w:rPr>
                <w:sz w:val="20"/>
                <w:szCs w:val="20"/>
                <w:color w:val="auto"/>
              </w:rPr>
            </w:pPr>
            <w:r>
              <w:rPr>
                <w:rFonts w:ascii="Arial" w:cs="Arial" w:eastAsia="Arial" w:hAnsi="Arial"/>
                <w:sz w:val="18"/>
                <w:szCs w:val="18"/>
                <w:b w:val="1"/>
                <w:bCs w:val="1"/>
                <w:color w:val="auto"/>
              </w:rPr>
              <w:t>Share of Operating Expenses:</w:t>
            </w:r>
          </w:p>
        </w:tc>
        <w:tc>
          <w:tcPr>
            <w:tcW w:w="1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3600" w:type="dxa"/>
            <w:vAlign w:val="bottom"/>
          </w:tcPr>
          <w:p>
            <w:pPr>
              <w:ind w:left="500"/>
              <w:spacing w:after="0"/>
              <w:rPr>
                <w:sz w:val="20"/>
                <w:szCs w:val="20"/>
                <w:color w:val="auto"/>
              </w:rPr>
            </w:pPr>
            <w:r>
              <w:rPr>
                <w:rFonts w:ascii="Arial" w:cs="Arial" w:eastAsia="Arial" w:hAnsi="Arial"/>
                <w:sz w:val="18"/>
                <w:szCs w:val="18"/>
                <w:b w:val="1"/>
                <w:bCs w:val="1"/>
                <w:color w:val="auto"/>
              </w:rPr>
              <w:t>Basic Annual Rent:</w:t>
            </w:r>
          </w:p>
        </w:tc>
        <w:tc>
          <w:tcPr>
            <w:tcW w:w="7380" w:type="dxa"/>
            <w:vAlign w:val="bottom"/>
            <w:gridSpan w:val="5"/>
          </w:tcPr>
          <w:p>
            <w:pPr>
              <w:ind w:left="1420"/>
              <w:spacing w:after="0"/>
              <w:rPr>
                <w:sz w:val="20"/>
                <w:szCs w:val="20"/>
                <w:color w:val="auto"/>
              </w:rPr>
            </w:pPr>
            <w:r>
              <w:rPr>
                <w:rFonts w:ascii="Arial" w:cs="Arial" w:eastAsia="Arial" w:hAnsi="Arial"/>
                <w:sz w:val="18"/>
                <w:szCs w:val="18"/>
                <w:color w:val="auto"/>
              </w:rPr>
              <w:t>Pursuant to Section 3(a) of this Sublease</w:t>
            </w:r>
          </w:p>
        </w:tc>
        <w:tc>
          <w:tcPr>
            <w:tcW w:w="0" w:type="dxa"/>
            <w:vAlign w:val="bottom"/>
          </w:tcPr>
          <w:p>
            <w:pPr>
              <w:spacing w:after="0"/>
              <w:rPr>
                <w:sz w:val="1"/>
                <w:szCs w:val="1"/>
                <w:color w:val="auto"/>
              </w:rPr>
            </w:pPr>
          </w:p>
        </w:tc>
      </w:tr>
      <w:tr>
        <w:trPr>
          <w:trHeight w:val="324"/>
        </w:trPr>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3600" w:type="dxa"/>
            <w:vAlign w:val="bottom"/>
          </w:tcPr>
          <w:p>
            <w:pPr>
              <w:ind w:left="500"/>
              <w:spacing w:after="0"/>
              <w:rPr>
                <w:sz w:val="20"/>
                <w:szCs w:val="20"/>
                <w:color w:val="auto"/>
              </w:rPr>
            </w:pPr>
            <w:r>
              <w:rPr>
                <w:rFonts w:ascii="Arial" w:cs="Arial" w:eastAsia="Arial" w:hAnsi="Arial"/>
                <w:sz w:val="18"/>
                <w:szCs w:val="18"/>
                <w:b w:val="1"/>
                <w:bCs w:val="1"/>
                <w:color w:val="auto"/>
              </w:rPr>
              <w:t>Installment Payable</w:t>
            </w:r>
          </w:p>
        </w:tc>
        <w:tc>
          <w:tcPr>
            <w:tcW w:w="7380" w:type="dxa"/>
            <w:vAlign w:val="bottom"/>
            <w:gridSpan w:val="5"/>
          </w:tcPr>
          <w:p>
            <w:pPr>
              <w:ind w:left="1420"/>
              <w:spacing w:after="0"/>
              <w:rPr>
                <w:sz w:val="20"/>
                <w:szCs w:val="20"/>
                <w:color w:val="auto"/>
              </w:rPr>
            </w:pPr>
            <w:r>
              <w:rPr>
                <w:rFonts w:ascii="Arial" w:cs="Arial" w:eastAsia="Arial" w:hAnsi="Arial"/>
                <w:sz w:val="18"/>
                <w:szCs w:val="18"/>
                <w:color w:val="auto"/>
              </w:rPr>
              <w:t>First total month of $37,404.80 and Security Deposit of $40,302.80</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3600" w:type="dxa"/>
            <w:vAlign w:val="bottom"/>
          </w:tcPr>
          <w:p>
            <w:pPr>
              <w:ind w:left="500"/>
              <w:spacing w:after="0"/>
              <w:rPr>
                <w:sz w:val="20"/>
                <w:szCs w:val="20"/>
                <w:color w:val="auto"/>
              </w:rPr>
            </w:pPr>
            <w:r>
              <w:rPr>
                <w:rFonts w:ascii="Arial" w:cs="Arial" w:eastAsia="Arial" w:hAnsi="Arial"/>
                <w:sz w:val="18"/>
                <w:szCs w:val="18"/>
                <w:b w:val="1"/>
                <w:bCs w:val="1"/>
                <w:color w:val="auto"/>
              </w:rPr>
              <w:t>Upon Execution:</w:t>
            </w:r>
          </w:p>
        </w:tc>
        <w:tc>
          <w:tcPr>
            <w:tcW w:w="1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3600" w:type="dxa"/>
            <w:vAlign w:val="bottom"/>
          </w:tcPr>
          <w:p>
            <w:pPr>
              <w:ind w:left="500"/>
              <w:spacing w:after="0"/>
              <w:rPr>
                <w:sz w:val="20"/>
                <w:szCs w:val="20"/>
                <w:color w:val="auto"/>
              </w:rPr>
            </w:pPr>
            <w:r>
              <w:rPr>
                <w:rFonts w:ascii="Arial" w:cs="Arial" w:eastAsia="Arial" w:hAnsi="Arial"/>
                <w:sz w:val="18"/>
                <w:szCs w:val="18"/>
                <w:b w:val="1"/>
                <w:bCs w:val="1"/>
                <w:color w:val="auto"/>
              </w:rPr>
              <w:t>Initial Term:</w:t>
            </w:r>
          </w:p>
        </w:tc>
        <w:tc>
          <w:tcPr>
            <w:tcW w:w="7380" w:type="dxa"/>
            <w:vAlign w:val="bottom"/>
            <w:gridSpan w:val="5"/>
          </w:tcPr>
          <w:p>
            <w:pPr>
              <w:ind w:left="1420"/>
              <w:spacing w:after="0"/>
              <w:rPr>
                <w:sz w:val="20"/>
                <w:szCs w:val="20"/>
                <w:color w:val="auto"/>
              </w:rPr>
            </w:pPr>
            <w:r>
              <w:rPr>
                <w:rFonts w:ascii="Arial" w:cs="Arial" w:eastAsia="Arial" w:hAnsi="Arial"/>
                <w:sz w:val="18"/>
                <w:szCs w:val="18"/>
                <w:color w:val="auto"/>
              </w:rPr>
              <w:t>May 1, 2022 (“Commencement Date”) through November 30, 2024</w:t>
            </w:r>
          </w:p>
        </w:tc>
        <w:tc>
          <w:tcPr>
            <w:tcW w:w="0" w:type="dxa"/>
            <w:vAlign w:val="bottom"/>
          </w:tcPr>
          <w:p>
            <w:pPr>
              <w:spacing w:after="0"/>
              <w:rPr>
                <w:sz w:val="1"/>
                <w:szCs w:val="1"/>
                <w:color w:val="auto"/>
              </w:rPr>
            </w:pPr>
          </w:p>
        </w:tc>
      </w:tr>
      <w:tr>
        <w:trPr>
          <w:trHeight w:val="412"/>
        </w:trPr>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3600" w:type="dxa"/>
            <w:vAlign w:val="bottom"/>
          </w:tcPr>
          <w:p>
            <w:pPr>
              <w:ind w:left="500"/>
              <w:spacing w:after="0"/>
              <w:rPr>
                <w:sz w:val="20"/>
                <w:szCs w:val="20"/>
                <w:color w:val="auto"/>
              </w:rPr>
            </w:pPr>
            <w:r>
              <w:rPr>
                <w:rFonts w:ascii="Arial" w:cs="Arial" w:eastAsia="Arial" w:hAnsi="Arial"/>
                <w:sz w:val="18"/>
                <w:szCs w:val="18"/>
                <w:b w:val="1"/>
                <w:bCs w:val="1"/>
                <w:color w:val="auto"/>
              </w:rPr>
              <w:t>Commencement Date:</w:t>
            </w:r>
          </w:p>
        </w:tc>
        <w:tc>
          <w:tcPr>
            <w:tcW w:w="2520" w:type="dxa"/>
            <w:vAlign w:val="bottom"/>
            <w:gridSpan w:val="3"/>
          </w:tcPr>
          <w:p>
            <w:pPr>
              <w:ind w:left="1420"/>
              <w:spacing w:after="0"/>
              <w:rPr>
                <w:sz w:val="20"/>
                <w:szCs w:val="20"/>
                <w:color w:val="auto"/>
              </w:rPr>
            </w:pPr>
            <w:r>
              <w:rPr>
                <w:rFonts w:ascii="Arial" w:cs="Arial" w:eastAsia="Arial" w:hAnsi="Arial"/>
                <w:sz w:val="18"/>
                <w:szCs w:val="18"/>
                <w:color w:val="auto"/>
              </w:rPr>
              <w:t>May 1, 2022</w:t>
            </w:r>
          </w:p>
        </w:tc>
        <w:tc>
          <w:tcPr>
            <w:tcW w:w="1560" w:type="dxa"/>
            <w:vAlign w:val="bottom"/>
            <w:tcBorders>
              <w:top w:val="single" w:sz="8" w:color="auto"/>
            </w:tcBorders>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60" w:type="dxa"/>
            <w:vAlign w:val="bottom"/>
          </w:tcPr>
          <w:p>
            <w:pPr>
              <w:spacing w:after="0"/>
              <w:rPr>
                <w:sz w:val="24"/>
                <w:szCs w:val="24"/>
                <w:color w:val="auto"/>
              </w:rPr>
            </w:pPr>
          </w:p>
        </w:tc>
        <w:tc>
          <w:tcPr>
            <w:tcW w:w="3600" w:type="dxa"/>
            <w:vAlign w:val="bottom"/>
          </w:tcPr>
          <w:p>
            <w:pPr>
              <w:ind w:left="40"/>
              <w:spacing w:after="0"/>
              <w:rPr>
                <w:sz w:val="20"/>
                <w:szCs w:val="20"/>
                <w:color w:val="auto"/>
              </w:rPr>
            </w:pPr>
            <w:r>
              <w:rPr>
                <w:rFonts w:ascii="Arial" w:cs="Arial" w:eastAsia="Arial" w:hAnsi="Arial"/>
                <w:sz w:val="14"/>
                <w:szCs w:val="14"/>
                <w:color w:val="auto"/>
              </w:rPr>
              <w:t>2</w:t>
            </w:r>
          </w:p>
        </w:tc>
        <w:tc>
          <w:tcPr>
            <w:tcW w:w="1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60" w:type="dxa"/>
            <w:vAlign w:val="bottom"/>
            <w:tcBorders>
              <w:bottom w:val="single" w:sz="8" w:color="9A9A9A"/>
            </w:tcBorders>
          </w:tcPr>
          <w:p>
            <w:pPr>
              <w:spacing w:after="0"/>
              <w:rPr>
                <w:sz w:val="9"/>
                <w:szCs w:val="9"/>
                <w:color w:val="auto"/>
              </w:rPr>
            </w:pPr>
          </w:p>
        </w:tc>
        <w:tc>
          <w:tcPr>
            <w:tcW w:w="36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3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2" w:name="page103"/>
    <w:bookmarkEnd w:id="102"/>
    <w:p>
      <w:pPr>
        <w:ind w:left="655" w:hanging="655"/>
        <w:spacing w:after="0"/>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Termination Date:</w:t>
      </w:r>
    </w:p>
    <w:p>
      <w:pPr>
        <w:spacing w:after="0" w:line="171" w:lineRule="exact"/>
        <w:rPr>
          <w:rFonts w:ascii="Arial" w:cs="Arial" w:eastAsia="Arial" w:hAnsi="Arial"/>
          <w:sz w:val="18"/>
          <w:szCs w:val="18"/>
          <w:color w:val="auto"/>
        </w:rPr>
      </w:pPr>
    </w:p>
    <w:p>
      <w:pPr>
        <w:ind w:left="655" w:right="2060" w:hanging="655"/>
        <w:spacing w:after="0" w:line="558" w:lineRule="auto"/>
        <w:tabs>
          <w:tab w:leader="none" w:pos="655"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Broker(s) Sublandlord’s Broker:</w:t>
      </w:r>
    </w:p>
    <w:p>
      <w:pPr>
        <w:spacing w:after="0" w:line="251" w:lineRule="exact"/>
        <w:rPr>
          <w:rFonts w:ascii="Arial" w:cs="Arial" w:eastAsia="Arial" w:hAnsi="Arial"/>
          <w:sz w:val="16"/>
          <w:szCs w:val="16"/>
          <w:color w:val="auto"/>
        </w:rPr>
      </w:pPr>
    </w:p>
    <w:p>
      <w:pPr>
        <w:ind w:left="655"/>
        <w:spacing w:after="0"/>
        <w:rPr>
          <w:rFonts w:ascii="Arial" w:cs="Arial" w:eastAsia="Arial" w:hAnsi="Arial"/>
          <w:sz w:val="16"/>
          <w:szCs w:val="16"/>
          <w:color w:val="auto"/>
        </w:rPr>
      </w:pPr>
      <w:r>
        <w:rPr>
          <w:rFonts w:ascii="Arial" w:cs="Arial" w:eastAsia="Arial" w:hAnsi="Arial"/>
          <w:sz w:val="18"/>
          <w:szCs w:val="18"/>
          <w:b w:val="1"/>
          <w:bCs w:val="1"/>
          <w:color w:val="auto"/>
        </w:rPr>
        <w:t>Subtenant’s Broker:</w:t>
      </w:r>
    </w:p>
    <w:p>
      <w:pPr>
        <w:spacing w:after="0" w:line="200" w:lineRule="exact"/>
        <w:rPr>
          <w:rFonts w:ascii="Arial" w:cs="Arial" w:eastAsia="Arial" w:hAnsi="Arial"/>
          <w:sz w:val="16"/>
          <w:szCs w:val="16"/>
          <w:color w:val="auto"/>
        </w:rPr>
      </w:pPr>
    </w:p>
    <w:p>
      <w:pPr>
        <w:spacing w:after="0" w:line="322" w:lineRule="exact"/>
        <w:rPr>
          <w:rFonts w:ascii="Arial" w:cs="Arial" w:eastAsia="Arial" w:hAnsi="Arial"/>
          <w:sz w:val="16"/>
          <w:szCs w:val="16"/>
          <w:color w:val="auto"/>
        </w:rPr>
      </w:pPr>
    </w:p>
    <w:p>
      <w:pPr>
        <w:ind w:left="655" w:hanging="655"/>
        <w:spacing w:after="0"/>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Number of Parking Spaces:</w:t>
      </w:r>
    </w:p>
    <w:p>
      <w:pPr>
        <w:spacing w:after="0" w:line="171" w:lineRule="exact"/>
        <w:rPr>
          <w:rFonts w:ascii="Arial" w:cs="Arial" w:eastAsia="Arial" w:hAnsi="Arial"/>
          <w:sz w:val="18"/>
          <w:szCs w:val="18"/>
          <w:color w:val="auto"/>
        </w:rPr>
      </w:pPr>
    </w:p>
    <w:p>
      <w:pPr>
        <w:ind w:left="655" w:right="2080" w:hanging="655"/>
        <w:spacing w:after="0" w:line="525" w:lineRule="auto"/>
        <w:tabs>
          <w:tab w:leader="none" w:pos="655" w:val="left"/>
        </w:tabs>
        <w:numPr>
          <w:ilvl w:val="0"/>
          <w:numId w:val="60"/>
        </w:numPr>
        <w:rPr>
          <w:rFonts w:ascii="Arial" w:cs="Arial" w:eastAsia="Arial" w:hAnsi="Arial"/>
          <w:sz w:val="15"/>
          <w:szCs w:val="15"/>
          <w:color w:val="auto"/>
        </w:rPr>
      </w:pPr>
      <w:r>
        <w:rPr>
          <w:rFonts w:ascii="Arial" w:cs="Arial" w:eastAsia="Arial" w:hAnsi="Arial"/>
          <w:sz w:val="15"/>
          <w:szCs w:val="15"/>
          <w:b w:val="1"/>
          <w:bCs w:val="1"/>
          <w:color w:val="auto"/>
        </w:rPr>
        <w:t>Addresses for Notices: To: SUBTENANT:</w:t>
      </w:r>
    </w:p>
    <w:p>
      <w:pPr>
        <w:spacing w:after="0" w:line="1" w:lineRule="exact"/>
        <w:rPr>
          <w:rFonts w:ascii="Arial" w:cs="Arial" w:eastAsia="Arial" w:hAnsi="Arial"/>
          <w:sz w:val="15"/>
          <w:szCs w:val="15"/>
          <w:color w:val="auto"/>
        </w:rPr>
      </w:pPr>
    </w:p>
    <w:p>
      <w:pPr>
        <w:ind w:left="655"/>
        <w:spacing w:after="0"/>
        <w:rPr>
          <w:rFonts w:ascii="Arial" w:cs="Arial" w:eastAsia="Arial" w:hAnsi="Arial"/>
          <w:sz w:val="15"/>
          <w:szCs w:val="15"/>
          <w:color w:val="auto"/>
        </w:rPr>
      </w:pPr>
      <w:r>
        <w:rPr>
          <w:rFonts w:ascii="Arial" w:cs="Arial" w:eastAsia="Arial" w:hAnsi="Arial"/>
          <w:sz w:val="15"/>
          <w:szCs w:val="15"/>
          <w:b w:val="1"/>
          <w:bCs w:val="1"/>
          <w:color w:val="auto"/>
        </w:rPr>
        <w:t>Prior to occupancy of the Subleased Premises:</w:t>
      </w:r>
    </w:p>
    <w:p>
      <w:pPr>
        <w:spacing w:after="0" w:line="182" w:lineRule="exact"/>
        <w:rPr>
          <w:rFonts w:ascii="Arial" w:cs="Arial" w:eastAsia="Arial" w:hAnsi="Arial"/>
          <w:sz w:val="15"/>
          <w:szCs w:val="15"/>
          <w:color w:val="auto"/>
        </w:rPr>
      </w:pPr>
    </w:p>
    <w:p>
      <w:pPr>
        <w:ind w:left="655" w:right="900"/>
        <w:spacing w:after="0" w:line="237" w:lineRule="auto"/>
        <w:rPr>
          <w:rFonts w:ascii="Arial" w:cs="Arial" w:eastAsia="Arial" w:hAnsi="Arial"/>
          <w:sz w:val="15"/>
          <w:szCs w:val="15"/>
          <w:color w:val="auto"/>
        </w:rPr>
      </w:pPr>
      <w:r>
        <w:rPr>
          <w:rFonts w:ascii="Arial" w:cs="Arial" w:eastAsia="Arial" w:hAnsi="Arial"/>
          <w:sz w:val="17"/>
          <w:szCs w:val="17"/>
          <w:color w:val="auto"/>
        </w:rPr>
        <w:t xml:space="preserve">DAY ONE BIOPHARMACEUTICALS </w:t>
      </w:r>
      <w:r>
        <w:rPr>
          <w:rFonts w:ascii="Arial" w:cs="Arial" w:eastAsia="Arial" w:hAnsi="Arial"/>
          <w:sz w:val="17"/>
          <w:szCs w:val="17"/>
          <w:u w:val="single" w:color="auto"/>
          <w:color w:val="auto"/>
        </w:rPr>
        <w:t>395 Oyster Point Boulevard, Suite 217 South San Francisco, CA 94080</w:t>
      </w:r>
    </w:p>
    <w:p>
      <w:pPr>
        <w:spacing w:after="0" w:line="145" w:lineRule="exact"/>
        <w:rPr>
          <w:rFonts w:ascii="Arial" w:cs="Arial" w:eastAsia="Arial" w:hAnsi="Arial"/>
          <w:sz w:val="15"/>
          <w:szCs w:val="15"/>
          <w:color w:val="auto"/>
        </w:rPr>
      </w:pPr>
    </w:p>
    <w:p>
      <w:pPr>
        <w:ind w:left="655" w:hanging="655"/>
        <w:spacing w:after="0"/>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Address for Payment of Rent:</w:t>
      </w:r>
    </w:p>
    <w:p>
      <w:pPr>
        <w:spacing w:after="0" w:line="346" w:lineRule="exact"/>
        <w:rPr>
          <w:rFonts w:ascii="Arial" w:cs="Arial" w:eastAsia="Arial" w:hAnsi="Arial"/>
          <w:sz w:val="18"/>
          <w:szCs w:val="18"/>
          <w:color w:val="auto"/>
        </w:rPr>
      </w:pPr>
    </w:p>
    <w:p>
      <w:pPr>
        <w:ind w:left="655" w:hanging="655"/>
        <w:spacing w:after="0"/>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Effective Date of this Lease: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November 30, 2024</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CBRE</w:t>
      </w:r>
    </w:p>
    <w:p>
      <w:pPr>
        <w:spacing w:after="0" w:line="203" w:lineRule="auto"/>
        <w:rPr>
          <w:sz w:val="20"/>
          <w:szCs w:val="20"/>
          <w:color w:val="auto"/>
        </w:rPr>
      </w:pPr>
      <w:r>
        <w:rPr>
          <w:rFonts w:ascii="Arial" w:cs="Arial" w:eastAsia="Arial" w:hAnsi="Arial"/>
          <w:sz w:val="18"/>
          <w:szCs w:val="18"/>
          <w:color w:val="auto"/>
        </w:rPr>
        <w:t>1450 Chapin Ave</w:t>
      </w:r>
    </w:p>
    <w:p>
      <w:pPr>
        <w:spacing w:after="0"/>
        <w:rPr>
          <w:sz w:val="20"/>
          <w:szCs w:val="20"/>
          <w:color w:val="auto"/>
        </w:rPr>
      </w:pPr>
      <w:r>
        <w:rPr>
          <w:rFonts w:ascii="Arial" w:cs="Arial" w:eastAsia="Arial" w:hAnsi="Arial"/>
          <w:sz w:val="18"/>
          <w:szCs w:val="18"/>
          <w:color w:val="auto"/>
        </w:rPr>
        <w:t>Burlingame, CA 94010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Cushman &amp; Wakefield</w:t>
      </w:r>
    </w:p>
    <w:p>
      <w:pPr>
        <w:spacing w:after="0" w:line="203" w:lineRule="auto"/>
        <w:rPr>
          <w:sz w:val="20"/>
          <w:szCs w:val="20"/>
          <w:color w:val="auto"/>
        </w:rPr>
      </w:pPr>
      <w:r>
        <w:rPr>
          <w:rFonts w:ascii="Arial" w:cs="Arial" w:eastAsia="Arial" w:hAnsi="Arial"/>
          <w:sz w:val="18"/>
          <w:szCs w:val="18"/>
          <w:color w:val="auto"/>
        </w:rPr>
        <w:t>1350 Bayshore Highway, Suite 900</w:t>
      </w:r>
    </w:p>
    <w:p>
      <w:pPr>
        <w:spacing w:after="0"/>
        <w:rPr>
          <w:sz w:val="20"/>
          <w:szCs w:val="20"/>
          <w:color w:val="auto"/>
        </w:rPr>
      </w:pPr>
      <w:r>
        <w:rPr>
          <w:rFonts w:ascii="Arial" w:cs="Arial" w:eastAsia="Arial" w:hAnsi="Arial"/>
          <w:sz w:val="18"/>
          <w:szCs w:val="18"/>
          <w:color w:val="auto"/>
        </w:rPr>
        <w:t>Burlingame, CA 94010</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39 parking spaces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SUBLANDLORD: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ATP, INC</w:t>
      </w:r>
    </w:p>
    <w:p>
      <w:pPr>
        <w:spacing w:after="0" w:line="203" w:lineRule="auto"/>
        <w:rPr>
          <w:sz w:val="20"/>
          <w:szCs w:val="20"/>
          <w:color w:val="auto"/>
        </w:rPr>
      </w:pPr>
      <w:r>
        <w:rPr>
          <w:rFonts w:ascii="Arial" w:cs="Arial" w:eastAsia="Arial" w:hAnsi="Arial"/>
          <w:sz w:val="18"/>
          <w:szCs w:val="18"/>
          <w:u w:val="single" w:color="auto"/>
          <w:color w:val="auto"/>
        </w:rPr>
        <w:t>27598 Riverview Center Boulevard</w:t>
      </w:r>
    </w:p>
    <w:p>
      <w:pPr>
        <w:spacing w:after="0"/>
        <w:rPr>
          <w:sz w:val="20"/>
          <w:szCs w:val="20"/>
          <w:color w:val="auto"/>
        </w:rPr>
      </w:pPr>
      <w:r>
        <w:rPr>
          <w:rFonts w:ascii="Arial" w:cs="Arial" w:eastAsia="Arial" w:hAnsi="Arial"/>
          <w:sz w:val="18"/>
          <w:szCs w:val="18"/>
          <w:u w:val="single" w:color="auto"/>
          <w:color w:val="auto"/>
        </w:rPr>
        <w:t>Bonita Springs, FL 34134</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All payments payable under this Sublease shall be bank transfer to Sublandlord.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Said transfer information shall be delivered to Subtenant under separate cover.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See Cover Page</w:t>
      </w:r>
    </w:p>
    <w:p>
      <w:pPr>
        <w:spacing w:after="0" w:line="200" w:lineRule="exact"/>
        <w:rPr>
          <w:sz w:val="20"/>
          <w:szCs w:val="20"/>
          <w:color w:val="auto"/>
        </w:rPr>
      </w:pPr>
    </w:p>
    <w:p>
      <w:pPr>
        <w:sectPr>
          <w:pgSz w:w="11900" w:h="16838" w:orient="portrait"/>
          <w:cols w:equalWidth="0" w:num="2">
            <w:col w:w="4455" w:space="720"/>
            <w:col w:w="5860"/>
          </w:cols>
          <w:pgMar w:left="425" w:top="32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95"/>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97790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35"/>
          </w:cols>
          <w:pgMar w:left="425" w:top="324" w:right="43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STANDARD SUBLEASE PROVISIONS</w:t>
      </w:r>
    </w:p>
    <w:p>
      <w:pPr>
        <w:spacing w:after="0" w:line="212" w:lineRule="exact"/>
        <w:rPr>
          <w:sz w:val="20"/>
          <w:szCs w:val="20"/>
          <w:color w:val="auto"/>
        </w:rPr>
      </w:pPr>
    </w:p>
    <w:p>
      <w:pPr>
        <w:ind w:left="760" w:hanging="752"/>
        <w:spacing w:after="0"/>
        <w:tabs>
          <w:tab w:leader="none" w:pos="7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w:t>
      </w:r>
    </w:p>
    <w:p>
      <w:pPr>
        <w:spacing w:after="0" w:line="21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7"/>
          <w:szCs w:val="17"/>
          <w:color w:val="auto"/>
        </w:rPr>
        <w:t>The Initial Term of this Sublease and the Rent (defined below) shall commence on May 1, 2022 (the “</w:t>
      </w:r>
      <w:r>
        <w:rPr>
          <w:rFonts w:ascii="Arial" w:cs="Arial" w:eastAsia="Arial" w:hAnsi="Arial"/>
          <w:sz w:val="17"/>
          <w:szCs w:val="17"/>
          <w:u w:val="single" w:color="auto"/>
          <w:color w:val="auto"/>
        </w:rPr>
        <w:t>Commencement Date</w:t>
      </w:r>
      <w:r>
        <w:rPr>
          <w:rFonts w:ascii="Arial" w:cs="Arial" w:eastAsia="Arial" w:hAnsi="Arial"/>
          <w:sz w:val="17"/>
          <w:szCs w:val="17"/>
          <w:color w:val="auto"/>
        </w:rPr>
        <w:t xml:space="preserve">”). Unless earlier terminated in accordance with the provisions hereof, the Initial Term of this Sublease shall be the period shown in </w:t>
      </w:r>
      <w:r>
        <w:rPr>
          <w:rFonts w:ascii="Arial" w:cs="Arial" w:eastAsia="Arial" w:hAnsi="Arial"/>
          <w:sz w:val="17"/>
          <w:szCs w:val="17"/>
          <w:i w:val="1"/>
          <w:iCs w:val="1"/>
          <w:color w:val="auto"/>
        </w:rPr>
        <w:t>Item 9</w:t>
      </w:r>
      <w:r>
        <w:rPr>
          <w:rFonts w:ascii="Arial" w:cs="Arial" w:eastAsia="Arial" w:hAnsi="Arial"/>
          <w:sz w:val="17"/>
          <w:szCs w:val="17"/>
          <w:color w:val="auto"/>
        </w:rPr>
        <w:t xml:space="preserve"> of the Basic Sublease Provisions. As used herein, “</w:t>
      </w:r>
      <w:r>
        <w:rPr>
          <w:rFonts w:ascii="Arial" w:cs="Arial" w:eastAsia="Arial" w:hAnsi="Arial"/>
          <w:sz w:val="17"/>
          <w:szCs w:val="17"/>
          <w:u w:val="single" w:color="auto"/>
          <w:color w:val="auto"/>
        </w:rPr>
        <w:t>Sublease Term</w:t>
      </w:r>
      <w:r>
        <w:rPr>
          <w:rFonts w:ascii="Arial" w:cs="Arial" w:eastAsia="Arial" w:hAnsi="Arial"/>
          <w:sz w:val="17"/>
          <w:szCs w:val="17"/>
          <w:color w:val="auto"/>
        </w:rPr>
        <w:t xml:space="preserve">” shall mean the Initial Term referred to in </w:t>
      </w:r>
      <w:r>
        <w:rPr>
          <w:rFonts w:ascii="Arial" w:cs="Arial" w:eastAsia="Arial" w:hAnsi="Arial"/>
          <w:sz w:val="17"/>
          <w:szCs w:val="17"/>
          <w:i w:val="1"/>
          <w:iCs w:val="1"/>
          <w:color w:val="auto"/>
        </w:rPr>
        <w:t>Item 9</w:t>
      </w:r>
      <w:r>
        <w:rPr>
          <w:rFonts w:ascii="Arial" w:cs="Arial" w:eastAsia="Arial" w:hAnsi="Arial"/>
          <w:sz w:val="17"/>
          <w:szCs w:val="17"/>
          <w:color w:val="auto"/>
        </w:rPr>
        <w:t xml:space="preserve"> of the Basic Sublease Provisions, subject to any extension of the Initial Term hereof exercised in accordance with the terms and conditions expressly set forth herein. This Sublease shall be a binding contractual obligation upon Sublandlord and Subtenant, notwithstanding the later commencement of the Initial Term of this Sublease; provided, however, it shall be a condition precedent to the effectiveness of this Sublease that Landlord shall have expressly approved and consented to the terms hereof in writing as required under the Master Lease (the “</w:t>
      </w:r>
      <w:r>
        <w:rPr>
          <w:rFonts w:ascii="Arial" w:cs="Arial" w:eastAsia="Arial" w:hAnsi="Arial"/>
          <w:sz w:val="17"/>
          <w:szCs w:val="17"/>
          <w:u w:val="single" w:color="auto"/>
          <w:color w:val="auto"/>
        </w:rPr>
        <w:t>Landlord Consent</w:t>
      </w:r>
      <w:r>
        <w:rPr>
          <w:rFonts w:ascii="Arial" w:cs="Arial" w:eastAsia="Arial" w:hAnsi="Arial"/>
          <w:sz w:val="17"/>
          <w:szCs w:val="17"/>
          <w:color w:val="auto"/>
        </w:rPr>
        <w:t xml:space="preserve">”). If, despite Sublandlord’s good faith efforts to obtain the Landlord Consent, the parties do not receive the Landlord Consent within thirty (30) days after the Effective Date of this Sublease, Subtenant shall have the right to terminate this Sublease upon delivery of written notice to Sublandlord and, thereafter, (a) Subtenant shall have no further obligations to Sublandlord under this Sublease, and (b) Sublandlord shall return all amounts set forth in </w:t>
      </w:r>
      <w:r>
        <w:rPr>
          <w:rFonts w:ascii="Arial" w:cs="Arial" w:eastAsia="Arial" w:hAnsi="Arial"/>
          <w:sz w:val="17"/>
          <w:szCs w:val="17"/>
          <w:i w:val="1"/>
          <w:iCs w:val="1"/>
          <w:color w:val="auto"/>
        </w:rPr>
        <w:t>Item 6</w:t>
      </w:r>
      <w:r>
        <w:rPr>
          <w:rFonts w:ascii="Arial" w:cs="Arial" w:eastAsia="Arial" w:hAnsi="Arial"/>
          <w:sz w:val="17"/>
          <w:szCs w:val="17"/>
          <w:color w:val="auto"/>
        </w:rPr>
        <w:t xml:space="preserve"> of the Basic Sublease Provisions. Sublandlord shall be required to pay any costs incurred in connection with Landlord’s review and processing of documents regarding this Sublease (including, without limitation, those amounts set forth in Section 14.9 of the Master Lease).</w:t>
      </w:r>
    </w:p>
    <w:p>
      <w:pPr>
        <w:spacing w:after="0" w:line="179" w:lineRule="exact"/>
        <w:rPr>
          <w:sz w:val="20"/>
          <w:szCs w:val="20"/>
          <w:color w:val="auto"/>
        </w:rPr>
      </w:pPr>
    </w:p>
    <w:p>
      <w:pPr>
        <w:ind w:left="760" w:hanging="752"/>
        <w:spacing w:after="0"/>
        <w:tabs>
          <w:tab w:leader="none" w:pos="7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 of Subleased Premises</w:t>
      </w:r>
      <w:r>
        <w:rPr>
          <w:rFonts w:ascii="Arial" w:cs="Arial" w:eastAsia="Arial" w:hAnsi="Arial"/>
          <w:sz w:val="18"/>
          <w:szCs w:val="18"/>
          <w:color w:val="auto"/>
        </w:rPr>
        <w:t>.</w:t>
      </w:r>
    </w:p>
    <w:p>
      <w:pPr>
        <w:spacing w:after="0" w:line="215" w:lineRule="exact"/>
        <w:rPr>
          <w:rFonts w:ascii="Arial" w:cs="Arial" w:eastAsia="Arial" w:hAnsi="Arial"/>
          <w:sz w:val="18"/>
          <w:szCs w:val="18"/>
          <w:b w:val="1"/>
          <w:bCs w:val="1"/>
          <w:color w:val="auto"/>
        </w:rPr>
      </w:pPr>
    </w:p>
    <w:p>
      <w:pPr>
        <w:jc w:val="both"/>
        <w:ind w:firstLine="757"/>
        <w:spacing w:after="0" w:line="276" w:lineRule="auto"/>
        <w:tabs>
          <w:tab w:leader="none" w:pos="1498" w:val="left"/>
        </w:tabs>
        <w:numPr>
          <w:ilvl w:val="1"/>
          <w:numId w:val="62"/>
        </w:numPr>
        <w:rPr>
          <w:rFonts w:ascii="Arial" w:cs="Arial" w:eastAsia="Arial" w:hAnsi="Arial"/>
          <w:sz w:val="16"/>
          <w:szCs w:val="16"/>
          <w:color w:val="auto"/>
        </w:rPr>
      </w:pPr>
      <w:r>
        <w:rPr>
          <w:rFonts w:ascii="Arial" w:cs="Arial" w:eastAsia="Arial" w:hAnsi="Arial"/>
          <w:sz w:val="16"/>
          <w:szCs w:val="16"/>
          <w:color w:val="auto"/>
        </w:rPr>
        <w:t>On the Commencement Date, Sublandlord shall deliver to Subtenant possession of the Subleased Premises substantially in the same condition as the Subleased Premises is as of the date hereof, in an “as-is, where-is” condition, subject, however, to Sublandlord’s obligation to deliver the Bill of Sale (as hereinafter defined) as described in Section 2(b) hereof. Should Subtenant desire to make any improvements to the Subleased Premises, any such improvements shall be subject to the prior written consent of Sublandlord and Landlord in accordance with this Sublease and the Master Lease. Notwithstanding the foregoing, following receipt of the Landlord Consent, Subtenant may enter the Subleased Premises at no charge to Subtenant beginning up to thirty (30) days before the Commencement Date (the “</w:t>
      </w:r>
      <w:r>
        <w:rPr>
          <w:rFonts w:ascii="Arial" w:cs="Arial" w:eastAsia="Arial" w:hAnsi="Arial"/>
          <w:sz w:val="16"/>
          <w:szCs w:val="16"/>
          <w:u w:val="single" w:color="auto"/>
          <w:color w:val="auto"/>
        </w:rPr>
        <w:t>Early Access Period</w:t>
      </w:r>
      <w:r>
        <w:rPr>
          <w:rFonts w:ascii="Arial" w:cs="Arial" w:eastAsia="Arial" w:hAnsi="Arial"/>
          <w:sz w:val="16"/>
          <w:szCs w:val="16"/>
          <w:color w:val="auto"/>
        </w:rPr>
        <w:t>”) for the installation of furniture, equipment, and data cabling.</w:t>
      </w:r>
    </w:p>
    <w:p>
      <w:pPr>
        <w:spacing w:after="0" w:line="161" w:lineRule="exact"/>
        <w:rPr>
          <w:rFonts w:ascii="Arial" w:cs="Arial" w:eastAsia="Arial" w:hAnsi="Arial"/>
          <w:sz w:val="16"/>
          <w:szCs w:val="16"/>
          <w:color w:val="auto"/>
        </w:rPr>
      </w:pPr>
    </w:p>
    <w:p>
      <w:pPr>
        <w:jc w:val="both"/>
        <w:ind w:firstLine="757"/>
        <w:spacing w:after="0" w:line="248" w:lineRule="auto"/>
        <w:tabs>
          <w:tab w:leader="none" w:pos="1498" w:val="left"/>
        </w:tabs>
        <w:numPr>
          <w:ilvl w:val="1"/>
          <w:numId w:val="62"/>
        </w:numPr>
        <w:rPr>
          <w:rFonts w:ascii="Arial" w:cs="Arial" w:eastAsia="Arial" w:hAnsi="Arial"/>
          <w:sz w:val="18"/>
          <w:szCs w:val="18"/>
          <w:color w:val="auto"/>
        </w:rPr>
      </w:pPr>
      <w:r>
        <w:rPr>
          <w:rFonts w:ascii="Arial" w:cs="Arial" w:eastAsia="Arial" w:hAnsi="Arial"/>
          <w:sz w:val="18"/>
          <w:szCs w:val="18"/>
          <w:color w:val="auto"/>
        </w:rPr>
        <w:t>Simultaneously with this Sublease, Sublandlord shall convey to Subtenant all furniture, fixtures and equipment (the “</w:t>
      </w:r>
      <w:r>
        <w:rPr>
          <w:rFonts w:ascii="Arial" w:cs="Arial" w:eastAsia="Arial" w:hAnsi="Arial"/>
          <w:sz w:val="18"/>
          <w:szCs w:val="18"/>
          <w:u w:val="single" w:color="auto"/>
          <w:color w:val="auto"/>
        </w:rPr>
        <w:t>FF&amp;E</w:t>
      </w:r>
      <w:r>
        <w:rPr>
          <w:rFonts w:ascii="Arial" w:cs="Arial" w:eastAsia="Arial" w:hAnsi="Arial"/>
          <w:sz w:val="18"/>
          <w:szCs w:val="18"/>
          <w:color w:val="auto"/>
        </w:rPr>
        <w:t>”) set forth on the “</w:t>
      </w:r>
      <w:r>
        <w:rPr>
          <w:rFonts w:ascii="Arial" w:cs="Arial" w:eastAsia="Arial" w:hAnsi="Arial"/>
          <w:sz w:val="18"/>
          <w:szCs w:val="18"/>
          <w:u w:val="single" w:color="auto"/>
          <w:color w:val="auto"/>
        </w:rPr>
        <w:t>Bill of Sale</w:t>
      </w:r>
      <w:r>
        <w:rPr>
          <w:rFonts w:ascii="Arial" w:cs="Arial" w:eastAsia="Arial" w:hAnsi="Arial"/>
          <w:sz w:val="18"/>
          <w:szCs w:val="18"/>
          <w:color w:val="auto"/>
        </w:rPr>
        <w:t xml:space="preserve">”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and incorporated by reference herein. For the avoidance of doubt, the FF&amp;E shall not include cubicles in the production area which must be removed by Sublandlord before the Commencement Date.</w:t>
      </w:r>
    </w:p>
    <w:p>
      <w:pPr>
        <w:spacing w:after="0" w:line="380" w:lineRule="exact"/>
        <w:rPr>
          <w:rFonts w:ascii="Arial" w:cs="Arial" w:eastAsia="Arial" w:hAnsi="Arial"/>
          <w:sz w:val="18"/>
          <w:szCs w:val="18"/>
          <w:color w:val="auto"/>
        </w:rPr>
      </w:pPr>
    </w:p>
    <w:p>
      <w:pPr>
        <w:ind w:left="760" w:hanging="752"/>
        <w:spacing w:after="0"/>
        <w:tabs>
          <w:tab w:leader="none" w:pos="7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Basic Annual Rent</w:t>
      </w:r>
      <w:r>
        <w:rPr>
          <w:rFonts w:ascii="Arial" w:cs="Arial" w:eastAsia="Arial" w:hAnsi="Arial"/>
          <w:sz w:val="18"/>
          <w:szCs w:val="18"/>
          <w:b w:val="1"/>
          <w:bCs w:val="1"/>
          <w:color w:val="auto"/>
        </w:rPr>
        <w:t>.</w:t>
      </w:r>
    </w:p>
    <w:p>
      <w:pPr>
        <w:spacing w:after="0" w:line="215" w:lineRule="exact"/>
        <w:rPr>
          <w:rFonts w:ascii="Arial" w:cs="Arial" w:eastAsia="Arial" w:hAnsi="Arial"/>
          <w:sz w:val="18"/>
          <w:szCs w:val="18"/>
          <w:b w:val="1"/>
          <w:bCs w:val="1"/>
          <w:color w:val="auto"/>
        </w:rPr>
      </w:pPr>
    </w:p>
    <w:p>
      <w:pPr>
        <w:ind w:firstLine="757"/>
        <w:spacing w:after="0" w:line="261" w:lineRule="auto"/>
        <w:tabs>
          <w:tab w:leader="none" w:pos="1498" w:val="left"/>
        </w:tabs>
        <w:numPr>
          <w:ilvl w:val="1"/>
          <w:numId w:val="62"/>
        </w:numPr>
        <w:rPr>
          <w:rFonts w:ascii="Arial" w:cs="Arial" w:eastAsia="Arial" w:hAnsi="Arial"/>
          <w:sz w:val="18"/>
          <w:szCs w:val="18"/>
          <w:color w:val="auto"/>
        </w:rPr>
      </w:pPr>
      <w:r>
        <w:rPr>
          <w:rFonts w:ascii="Arial" w:cs="Arial" w:eastAsia="Arial" w:hAnsi="Arial"/>
          <w:sz w:val="18"/>
          <w:szCs w:val="18"/>
          <w:color w:val="auto"/>
        </w:rPr>
        <w:t>Subtenant agrees to pay during each month of the Lease Term as Basic Annual Rent (“</w:t>
      </w:r>
      <w:r>
        <w:rPr>
          <w:rFonts w:ascii="Arial" w:cs="Arial" w:eastAsia="Arial" w:hAnsi="Arial"/>
          <w:sz w:val="18"/>
          <w:szCs w:val="18"/>
          <w:u w:val="single" w:color="auto"/>
          <w:color w:val="auto"/>
        </w:rPr>
        <w:t>Basic Annual Rent</w:t>
      </w:r>
      <w:r>
        <w:rPr>
          <w:rFonts w:ascii="Arial" w:cs="Arial" w:eastAsia="Arial" w:hAnsi="Arial"/>
          <w:sz w:val="18"/>
          <w:szCs w:val="18"/>
          <w:color w:val="auto"/>
        </w:rPr>
        <w:t>”) for the Subleased Premises the monthly installments thereof shown for such annual periods as set forth below:</w:t>
      </w:r>
    </w:p>
    <w:p>
      <w:pPr>
        <w:spacing w:after="0" w:line="162" w:lineRule="exact"/>
        <w:rPr>
          <w:sz w:val="20"/>
          <w:szCs w:val="20"/>
          <w:color w:val="auto"/>
        </w:rPr>
      </w:pPr>
    </w:p>
    <w:tbl>
      <w:tblPr>
        <w:tblLayout w:type="fixed"/>
        <w:tblInd w:w="510" w:type="dxa"/>
        <w:tblCellMar>
          <w:top w:w="0" w:type="dxa"/>
          <w:left w:w="0" w:type="dxa"/>
          <w:bottom w:w="0" w:type="dxa"/>
          <w:right w:w="0" w:type="dxa"/>
        </w:tblCellMar>
      </w:tblPr>
      <w:tr>
        <w:trPr>
          <w:trHeight w:val="179"/>
        </w:trPr>
        <w:tc>
          <w:tcPr>
            <w:tcW w:w="3680" w:type="dxa"/>
            <w:vAlign w:val="bottom"/>
            <w:tcBorders>
              <w:top w:val="single" w:sz="8" w:color="auto"/>
              <w:left w:val="single" w:sz="8" w:color="auto"/>
              <w:right w:val="single" w:sz="8" w:color="auto"/>
            </w:tcBorders>
          </w:tcPr>
          <w:p>
            <w:pPr>
              <w:ind w:left="1560"/>
              <w:spacing w:after="0" w:line="179" w:lineRule="exact"/>
              <w:rPr>
                <w:sz w:val="20"/>
                <w:szCs w:val="20"/>
                <w:color w:val="auto"/>
              </w:rPr>
            </w:pPr>
            <w:r>
              <w:rPr>
                <w:rFonts w:ascii="Arial" w:cs="Arial" w:eastAsia="Arial" w:hAnsi="Arial"/>
                <w:sz w:val="18"/>
                <w:szCs w:val="18"/>
                <w:b w:val="1"/>
                <w:bCs w:val="1"/>
                <w:color w:val="auto"/>
              </w:rPr>
              <w:t>Period</w:t>
            </w:r>
          </w:p>
        </w:tc>
        <w:tc>
          <w:tcPr>
            <w:tcW w:w="2020" w:type="dxa"/>
            <w:vAlign w:val="bottom"/>
            <w:tcBorders>
              <w:top w:val="single" w:sz="8" w:color="auto"/>
              <w:right w:val="single" w:sz="8" w:color="auto"/>
            </w:tcBorders>
          </w:tcPr>
          <w:p>
            <w:pPr>
              <w:ind w:left="260"/>
              <w:spacing w:after="0" w:line="179" w:lineRule="exact"/>
              <w:rPr>
                <w:sz w:val="20"/>
                <w:szCs w:val="20"/>
                <w:color w:val="auto"/>
              </w:rPr>
            </w:pPr>
            <w:r>
              <w:rPr>
                <w:rFonts w:ascii="Arial" w:cs="Arial" w:eastAsia="Arial" w:hAnsi="Arial"/>
                <w:sz w:val="18"/>
                <w:szCs w:val="18"/>
                <w:b w:val="1"/>
                <w:bCs w:val="1"/>
                <w:color w:val="auto"/>
              </w:rPr>
              <w:t>Basic Annual Rent</w:t>
            </w:r>
          </w:p>
        </w:tc>
        <w:tc>
          <w:tcPr>
            <w:tcW w:w="2260" w:type="dxa"/>
            <w:vAlign w:val="bottom"/>
            <w:tcBorders>
              <w:top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b w:val="1"/>
                <w:bCs w:val="1"/>
                <w:color w:val="auto"/>
                <w:w w:val="92"/>
              </w:rPr>
              <w:t>Monthly Basic Annual</w:t>
            </w:r>
          </w:p>
        </w:tc>
        <w:tc>
          <w:tcPr>
            <w:tcW w:w="2140" w:type="dxa"/>
            <w:vAlign w:val="bottom"/>
            <w:tcBorders>
              <w:top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b w:val="1"/>
                <w:bCs w:val="1"/>
                <w:color w:val="auto"/>
                <w:w w:val="90"/>
              </w:rPr>
              <w:t>Basic Annual Rent per</w:t>
            </w:r>
          </w:p>
        </w:tc>
      </w:tr>
      <w:tr>
        <w:trPr>
          <w:trHeight w:val="234"/>
        </w:trPr>
        <w:tc>
          <w:tcPr>
            <w:tcW w:w="368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Rent</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RSF</w:t>
            </w:r>
          </w:p>
        </w:tc>
      </w:tr>
      <w:tr>
        <w:trPr>
          <w:trHeight w:val="93"/>
        </w:trPr>
        <w:tc>
          <w:tcPr>
            <w:tcW w:w="3680" w:type="dxa"/>
            <w:vAlign w:val="bottom"/>
            <w:tcBorders>
              <w:left w:val="single" w:sz="8" w:color="auto"/>
              <w:bottom w:val="single" w:sz="8" w:color="auto"/>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2140" w:type="dxa"/>
            <w:vAlign w:val="bottom"/>
            <w:tcBorders>
              <w:bottom w:val="single" w:sz="8" w:color="auto"/>
              <w:right w:val="single" w:sz="8" w:color="auto"/>
            </w:tcBorders>
          </w:tcPr>
          <w:p>
            <w:pPr>
              <w:spacing w:after="0"/>
              <w:rPr>
                <w:sz w:val="8"/>
                <w:szCs w:val="8"/>
                <w:color w:val="auto"/>
              </w:rPr>
            </w:pPr>
          </w:p>
        </w:tc>
      </w:tr>
      <w:tr>
        <w:trPr>
          <w:trHeight w:val="210"/>
        </w:trPr>
        <w:tc>
          <w:tcPr>
            <w:tcW w:w="3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May 1, 2022 – July 31, 2022</w:t>
            </w: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$0.00</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$0.00</w:t>
            </w:r>
          </w:p>
        </w:tc>
        <w:tc>
          <w:tcPr>
            <w:tcW w:w="2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$0.00</w:t>
            </w:r>
          </w:p>
        </w:tc>
      </w:tr>
      <w:tr>
        <w:trPr>
          <w:trHeight w:val="77"/>
        </w:trPr>
        <w:tc>
          <w:tcPr>
            <w:tcW w:w="3680" w:type="dxa"/>
            <w:vAlign w:val="bottom"/>
            <w:tcBorders>
              <w:left w:val="single" w:sz="8" w:color="auto"/>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2260" w:type="dxa"/>
            <w:vAlign w:val="bottom"/>
            <w:tcBorders>
              <w:bottom w:val="single" w:sz="8" w:color="auto"/>
              <w:right w:val="single" w:sz="8" w:color="auto"/>
            </w:tcBorders>
          </w:tcPr>
          <w:p>
            <w:pPr>
              <w:spacing w:after="0"/>
              <w:rPr>
                <w:sz w:val="6"/>
                <w:szCs w:val="6"/>
                <w:color w:val="auto"/>
              </w:rPr>
            </w:pPr>
          </w:p>
        </w:tc>
        <w:tc>
          <w:tcPr>
            <w:tcW w:w="2140" w:type="dxa"/>
            <w:vAlign w:val="bottom"/>
            <w:tcBorders>
              <w:bottom w:val="single" w:sz="8" w:color="auto"/>
              <w:right w:val="single" w:sz="8" w:color="auto"/>
            </w:tcBorders>
          </w:tcPr>
          <w:p>
            <w:pPr>
              <w:spacing w:after="0"/>
              <w:rPr>
                <w:sz w:val="6"/>
                <w:szCs w:val="6"/>
                <w:color w:val="auto"/>
              </w:rPr>
            </w:pPr>
          </w:p>
        </w:tc>
      </w:tr>
      <w:tr>
        <w:trPr>
          <w:trHeight w:val="224"/>
        </w:trPr>
        <w:tc>
          <w:tcPr>
            <w:tcW w:w="36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August 1, 2022 – April 30, 2023</w:t>
            </w: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$448,857.60</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$37,404.80</w:t>
            </w:r>
          </w:p>
        </w:tc>
        <w:tc>
          <w:tcPr>
            <w:tcW w:w="2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$38.40</w:t>
            </w:r>
          </w:p>
        </w:tc>
      </w:tr>
      <w:tr>
        <w:trPr>
          <w:trHeight w:val="80"/>
        </w:trPr>
        <w:tc>
          <w:tcPr>
            <w:tcW w:w="3680" w:type="dxa"/>
            <w:vAlign w:val="bottom"/>
            <w:tcBorders>
              <w:left w:val="single" w:sz="8" w:color="auto"/>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2260" w:type="dxa"/>
            <w:vAlign w:val="bottom"/>
            <w:tcBorders>
              <w:bottom w:val="single" w:sz="8" w:color="auto"/>
              <w:right w:val="single" w:sz="8" w:color="auto"/>
            </w:tcBorders>
          </w:tcPr>
          <w:p>
            <w:pPr>
              <w:spacing w:after="0"/>
              <w:rPr>
                <w:sz w:val="6"/>
                <w:szCs w:val="6"/>
                <w:color w:val="auto"/>
              </w:rPr>
            </w:pPr>
          </w:p>
        </w:tc>
        <w:tc>
          <w:tcPr>
            <w:tcW w:w="2140" w:type="dxa"/>
            <w:vAlign w:val="bottom"/>
            <w:tcBorders>
              <w:bottom w:val="single" w:sz="8" w:color="auto"/>
              <w:right w:val="single" w:sz="8" w:color="auto"/>
            </w:tcBorders>
          </w:tcPr>
          <w:p>
            <w:pPr>
              <w:spacing w:after="0"/>
              <w:rPr>
                <w:sz w:val="6"/>
                <w:szCs w:val="6"/>
                <w:color w:val="auto"/>
              </w:rPr>
            </w:pPr>
          </w:p>
        </w:tc>
      </w:tr>
      <w:tr>
        <w:trPr>
          <w:trHeight w:val="224"/>
        </w:trPr>
        <w:tc>
          <w:tcPr>
            <w:tcW w:w="36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May 1, 2023 – November 30, 2024</w:t>
            </w: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$462,323.33</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$38,526.94</w:t>
            </w:r>
          </w:p>
        </w:tc>
        <w:tc>
          <w:tcPr>
            <w:tcW w:w="2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$39.55</w:t>
            </w:r>
          </w:p>
        </w:tc>
      </w:tr>
      <w:tr>
        <w:trPr>
          <w:trHeight w:val="80"/>
        </w:trPr>
        <w:tc>
          <w:tcPr>
            <w:tcW w:w="3680" w:type="dxa"/>
            <w:vAlign w:val="bottom"/>
            <w:tcBorders>
              <w:left w:val="single" w:sz="8" w:color="auto"/>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2260" w:type="dxa"/>
            <w:vAlign w:val="bottom"/>
            <w:tcBorders>
              <w:bottom w:val="single" w:sz="8" w:color="auto"/>
              <w:right w:val="single" w:sz="8" w:color="auto"/>
            </w:tcBorders>
          </w:tcPr>
          <w:p>
            <w:pPr>
              <w:spacing w:after="0"/>
              <w:rPr>
                <w:sz w:val="6"/>
                <w:szCs w:val="6"/>
                <w:color w:val="auto"/>
              </w:rPr>
            </w:pPr>
          </w:p>
        </w:tc>
        <w:tc>
          <w:tcPr>
            <w:tcW w:w="2140" w:type="dxa"/>
            <w:vAlign w:val="bottom"/>
            <w:tcBorders>
              <w:bottom w:val="single" w:sz="8" w:color="auto"/>
              <w:right w:val="single" w:sz="8" w:color="auto"/>
            </w:tcBorders>
          </w:tcPr>
          <w:p>
            <w:pPr>
              <w:spacing w:after="0"/>
              <w:rPr>
                <w:sz w:val="6"/>
                <w:szCs w:val="6"/>
                <w:color w:val="auto"/>
              </w:rPr>
            </w:pPr>
          </w:p>
        </w:tc>
      </w:tr>
    </w:tbl>
    <w:p>
      <w:pPr>
        <w:spacing w:after="0" w:line="296" w:lineRule="exact"/>
        <w:rPr>
          <w:sz w:val="20"/>
          <w:szCs w:val="20"/>
          <w:color w:val="auto"/>
        </w:rPr>
      </w:pPr>
    </w:p>
    <w:p>
      <w:pPr>
        <w:jc w:val="both"/>
        <w:ind w:firstLine="757"/>
        <w:spacing w:after="0" w:line="284" w:lineRule="auto"/>
        <w:tabs>
          <w:tab w:leader="none" w:pos="1498"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Except as expressly provided to the contrary herein, Basic Annual Rent shall be payable in consecutive monthly installments, in advance, without demand, deduction or offset, commencing on the Commencement Date and continuing on the first day of each calendar month thereafter until the expiration of the Sublease term. The first full monthly installment of Basic Annual Rent (as described in </w:t>
      </w:r>
      <w:r>
        <w:rPr>
          <w:rFonts w:ascii="Arial" w:cs="Arial" w:eastAsia="Arial" w:hAnsi="Arial"/>
          <w:sz w:val="16"/>
          <w:szCs w:val="16"/>
          <w:i w:val="1"/>
          <w:iCs w:val="1"/>
          <w:color w:val="auto"/>
        </w:rPr>
        <w:t>Item 6</w:t>
      </w:r>
      <w:r>
        <w:rPr>
          <w:rFonts w:ascii="Arial" w:cs="Arial" w:eastAsia="Arial" w:hAnsi="Arial"/>
          <w:sz w:val="16"/>
          <w:szCs w:val="16"/>
          <w:color w:val="auto"/>
        </w:rPr>
        <w:t xml:space="preserve"> of the Basic Sublease Provisions) shall be payable upon Subtenant’s execution of this Sublease which will be applicable to the first payment of Basic Annual Rent due</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4" w:name="page105"/>
    <w:bookmarkEnd w:id="104"/>
    <w:p>
      <w:pPr>
        <w:jc w:val="both"/>
        <w:spacing w:after="0" w:line="241" w:lineRule="auto"/>
        <w:rPr>
          <w:sz w:val="20"/>
          <w:szCs w:val="20"/>
          <w:color w:val="auto"/>
        </w:rPr>
      </w:pPr>
      <w:r>
        <w:rPr>
          <w:rFonts w:ascii="Arial" w:cs="Arial" w:eastAsia="Arial" w:hAnsi="Arial"/>
          <w:sz w:val="18"/>
          <w:szCs w:val="18"/>
          <w:color w:val="auto"/>
        </w:rPr>
        <w:t>by Subtenant under this Sublease. The obligation of Subtenant to pay Rent and other sums to Subtenant and the obligations of Sublandlord under this Sublease are independent obligations. In the event Sublandlord delivers possession of the Subleased Premises to Subtenant prior to the Commencement Date, Subtenant agrees it shall be bound by and subject to all terms, covenants, conditions and obligations of this Sublease during the period between the date possession is delivered and the Commencement Date, other than the payment of Basic Annual Rent, in the same manner as if delivery had occurred on the Commencement Date.</w:t>
      </w:r>
    </w:p>
    <w:p>
      <w:pPr>
        <w:spacing w:after="0" w:line="185" w:lineRule="exact"/>
        <w:rPr>
          <w:sz w:val="20"/>
          <w:szCs w:val="20"/>
          <w:color w:val="auto"/>
        </w:rPr>
      </w:pPr>
    </w:p>
    <w:p>
      <w:pPr>
        <w:ind w:left="760" w:hanging="752"/>
        <w:spacing w:after="0"/>
        <w:tabs>
          <w:tab w:leader="none" w:pos="7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Operating Expenses</w:t>
      </w:r>
      <w:r>
        <w:rPr>
          <w:rFonts w:ascii="Arial" w:cs="Arial" w:eastAsia="Arial" w:hAnsi="Arial"/>
          <w:sz w:val="18"/>
          <w:szCs w:val="18"/>
          <w:color w:val="auto"/>
        </w:rPr>
        <w:t>.</w:t>
      </w:r>
    </w:p>
    <w:p>
      <w:pPr>
        <w:spacing w:after="0" w:line="215" w:lineRule="exact"/>
        <w:rPr>
          <w:rFonts w:ascii="Arial" w:cs="Arial" w:eastAsia="Arial" w:hAnsi="Arial"/>
          <w:sz w:val="18"/>
          <w:szCs w:val="18"/>
          <w:b w:val="1"/>
          <w:bCs w:val="1"/>
          <w:color w:val="auto"/>
        </w:rPr>
      </w:pPr>
    </w:p>
    <w:p>
      <w:pPr>
        <w:jc w:val="both"/>
        <w:ind w:firstLine="757"/>
        <w:spacing w:after="0" w:line="253" w:lineRule="auto"/>
        <w:tabs>
          <w:tab w:leader="none" w:pos="1498" w:val="left"/>
        </w:tabs>
        <w:numPr>
          <w:ilvl w:val="1"/>
          <w:numId w:val="64"/>
        </w:numPr>
        <w:rPr>
          <w:rFonts w:ascii="Arial" w:cs="Arial" w:eastAsia="Arial" w:hAnsi="Arial"/>
          <w:sz w:val="17"/>
          <w:szCs w:val="17"/>
          <w:color w:val="auto"/>
        </w:rPr>
      </w:pPr>
      <w:r>
        <w:rPr>
          <w:rFonts w:ascii="Arial" w:cs="Arial" w:eastAsia="Arial" w:hAnsi="Arial"/>
          <w:sz w:val="17"/>
          <w:szCs w:val="17"/>
          <w:color w:val="auto"/>
        </w:rPr>
        <w:t>In addition to the Basic Annual Rent, Subtenant shall pay to Sublandlord (1) from and after January 1, 2023, for each calendar year of the Term, Subtenant’s proportionate share of the amount by which Operating Expenses (as defined in the Master Lease) payable by Sublandlord for the Subleased Premises under the Master Lease for the then current calendar year exceed the Operating Expenses payable by Sublandlord for the Subleased Premises for the 2022 calendar year (the “</w:t>
      </w:r>
      <w:r>
        <w:rPr>
          <w:rFonts w:ascii="Arial" w:cs="Arial" w:eastAsia="Arial" w:hAnsi="Arial"/>
          <w:sz w:val="17"/>
          <w:szCs w:val="17"/>
          <w:u w:val="single" w:color="auto"/>
          <w:color w:val="auto"/>
        </w:rPr>
        <w:t>Base Year</w:t>
      </w:r>
      <w:r>
        <w:rPr>
          <w:rFonts w:ascii="Arial" w:cs="Arial" w:eastAsia="Arial" w:hAnsi="Arial"/>
          <w:sz w:val="17"/>
          <w:szCs w:val="17"/>
          <w:color w:val="auto"/>
        </w:rPr>
        <w:t>”) (such amount, “</w:t>
      </w:r>
      <w:r>
        <w:rPr>
          <w:rFonts w:ascii="Arial" w:cs="Arial" w:eastAsia="Arial" w:hAnsi="Arial"/>
          <w:sz w:val="17"/>
          <w:szCs w:val="17"/>
          <w:u w:val="single" w:color="auto"/>
          <w:color w:val="auto"/>
        </w:rPr>
        <w:t>Subtenant’s Proportionate Share of Operating Expenses</w:t>
      </w:r>
      <w:r>
        <w:rPr>
          <w:rFonts w:ascii="Arial" w:cs="Arial" w:eastAsia="Arial" w:hAnsi="Arial"/>
          <w:sz w:val="17"/>
          <w:szCs w:val="17"/>
          <w:color w:val="auto"/>
        </w:rPr>
        <w:t>”), and (2) an amount equal to all Additional Rent (as defined in the Master Lease) attributable to the Subleased Premises during the Term of this Sublease; provided, however, Subtenant shall not be responsible for, and shall have no obligation to pay Additional Rent incurred in connection with (i) the negligent acts or omissions of Sublandlord, or any other acts or omissions of Sublandlord for which, but for this Sublease, Sublandlord would be responsible under the Master Lease and (ii) Operating Expenses (as defined in the Master Lease) that are not included in Subtenant’s Proportionate Share of Operating Expenses (the Additional Rent payable by Subtenant, the “</w:t>
      </w:r>
      <w:r>
        <w:rPr>
          <w:rFonts w:ascii="Arial" w:cs="Arial" w:eastAsia="Arial" w:hAnsi="Arial"/>
          <w:sz w:val="17"/>
          <w:szCs w:val="17"/>
          <w:u w:val="single" w:color="auto"/>
          <w:color w:val="auto"/>
        </w:rPr>
        <w:t>Applicable Additional Rent</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jc w:val="both"/>
        <w:ind w:firstLine="757"/>
        <w:spacing w:after="0" w:line="243" w:lineRule="auto"/>
        <w:tabs>
          <w:tab w:leader="none" w:pos="1543" w:val="left"/>
        </w:tabs>
        <w:numPr>
          <w:ilvl w:val="1"/>
          <w:numId w:val="64"/>
        </w:numPr>
        <w:rPr>
          <w:rFonts w:ascii="Arial" w:cs="Arial" w:eastAsia="Arial" w:hAnsi="Arial"/>
          <w:sz w:val="18"/>
          <w:szCs w:val="18"/>
          <w:color w:val="auto"/>
        </w:rPr>
      </w:pPr>
      <w:r>
        <w:rPr>
          <w:rFonts w:ascii="Arial" w:cs="Arial" w:eastAsia="Arial" w:hAnsi="Arial"/>
          <w:sz w:val="18"/>
          <w:szCs w:val="18"/>
          <w:color w:val="auto"/>
        </w:rPr>
        <w:t>Sublandlord shall give Subtenant written notice of Sublandlord’s estimate of the amount of Operating Expenses per month for each calendar year of the Term following the Base Year, within five (5) business days of Sublandlord’s receipt of Landlord’s estimate of the Operating Expenses payable under the Master Lease for the applicable calendar year. Such estimate shall be adjusted by Sublandlord if Landlord has made such an adjustment from time to time during the calendar year, by written notice to Subtenant.</w:t>
      </w:r>
    </w:p>
    <w:p>
      <w:pPr>
        <w:spacing w:after="0" w:line="187" w:lineRule="exact"/>
        <w:rPr>
          <w:rFonts w:ascii="Arial" w:cs="Arial" w:eastAsia="Arial" w:hAnsi="Arial"/>
          <w:sz w:val="18"/>
          <w:szCs w:val="18"/>
          <w:color w:val="auto"/>
        </w:rPr>
      </w:pPr>
    </w:p>
    <w:p>
      <w:pPr>
        <w:jc w:val="both"/>
        <w:ind w:firstLine="757"/>
        <w:spacing w:after="0" w:line="274" w:lineRule="auto"/>
        <w:tabs>
          <w:tab w:leader="none" w:pos="1556" w:val="left"/>
        </w:tabs>
        <w:numPr>
          <w:ilvl w:val="1"/>
          <w:numId w:val="64"/>
        </w:numPr>
        <w:rPr>
          <w:rFonts w:ascii="Arial" w:cs="Arial" w:eastAsia="Arial" w:hAnsi="Arial"/>
          <w:sz w:val="16"/>
          <w:szCs w:val="16"/>
          <w:color w:val="auto"/>
        </w:rPr>
      </w:pPr>
      <w:r>
        <w:rPr>
          <w:rFonts w:ascii="Arial" w:cs="Arial" w:eastAsia="Arial" w:hAnsi="Arial"/>
          <w:sz w:val="16"/>
          <w:szCs w:val="16"/>
          <w:color w:val="auto"/>
        </w:rPr>
        <w:t>Sublandlord shall also give Subtenant written notice of the actual amount of Operating Expenses (as defined in the Master Lease) payable for each calendar year, within five (5) business days of Sublandlord’s receipt of the annual statement of such amounts from Landlord, which notice shall include a copy of Landlord’s annual statement. If on the basis of such statement Subtenant owes an amount that is less than the estimated payments for the calendar year just ended, previously paid by Subtenant, Sublandlord shall credit such excess to the next payments of Base Rent coming due or, if the term of this Sublease is about to expire, refund such excess to Subtenant within thirty (30) days after such expiration. If on the basis of such statement Subtenant owes an amount that is more than the estimated payments for the calendar year just ended previously made by Subtenant, Subtenant shall pay the deficiency to Sublandlord within thirty (30) days after delivery of the statement from Sublandlord to Subtenant.</w:t>
      </w:r>
    </w:p>
    <w:p>
      <w:pPr>
        <w:spacing w:after="0" w:line="163" w:lineRule="exact"/>
        <w:rPr>
          <w:rFonts w:ascii="Arial" w:cs="Arial" w:eastAsia="Arial" w:hAnsi="Arial"/>
          <w:sz w:val="16"/>
          <w:szCs w:val="16"/>
          <w:color w:val="auto"/>
        </w:rPr>
      </w:pPr>
    </w:p>
    <w:p>
      <w:pPr>
        <w:jc w:val="both"/>
        <w:ind w:firstLine="757"/>
        <w:spacing w:after="0" w:line="243" w:lineRule="auto"/>
        <w:tabs>
          <w:tab w:leader="none" w:pos="1498" w:val="left"/>
        </w:tabs>
        <w:numPr>
          <w:ilvl w:val="1"/>
          <w:numId w:val="64"/>
        </w:numPr>
        <w:rPr>
          <w:rFonts w:ascii="Arial" w:cs="Arial" w:eastAsia="Arial" w:hAnsi="Arial"/>
          <w:sz w:val="18"/>
          <w:szCs w:val="18"/>
          <w:color w:val="auto"/>
        </w:rPr>
      </w:pPr>
      <w:r>
        <w:rPr>
          <w:rFonts w:ascii="Arial" w:cs="Arial" w:eastAsia="Arial" w:hAnsi="Arial"/>
          <w:sz w:val="18"/>
          <w:szCs w:val="18"/>
          <w:color w:val="auto"/>
        </w:rPr>
        <w:t>For partial calendar years during the term of this Sublease, the amount of Operating Expenses payable by Subtenant that is applicable to that partial calendar year shall be prorated based on the ratio of the number of days of such partial calendar year falling during the term of this Sublease divided by 365. The obligations of Subtenant and Sublandlord pursuant to this Section 4.b which arise during the term of this Sublease shall survive the expiration or earlier termination of this Sublease.</w:t>
      </w:r>
    </w:p>
    <w:p>
      <w:pPr>
        <w:spacing w:after="0" w:line="187" w:lineRule="exact"/>
        <w:rPr>
          <w:rFonts w:ascii="Arial" w:cs="Arial" w:eastAsia="Arial" w:hAnsi="Arial"/>
          <w:sz w:val="18"/>
          <w:szCs w:val="18"/>
          <w:color w:val="auto"/>
        </w:rPr>
      </w:pPr>
    </w:p>
    <w:p>
      <w:pPr>
        <w:ind w:firstLine="757"/>
        <w:spacing w:after="0" w:line="261" w:lineRule="auto"/>
        <w:tabs>
          <w:tab w:leader="none" w:pos="1498"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amounts of any Applicable Additional Rent due from Subtenant during the Term of this Sublease shall be paid by Subtenant to Sublandlord within ten (10) days of an itemized invoice from Sublandlord for such amounts.</w:t>
      </w:r>
    </w:p>
    <w:p>
      <w:pPr>
        <w:spacing w:after="0" w:line="170" w:lineRule="exact"/>
        <w:rPr>
          <w:rFonts w:ascii="Arial" w:cs="Arial" w:eastAsia="Arial" w:hAnsi="Arial"/>
          <w:sz w:val="18"/>
          <w:szCs w:val="18"/>
          <w:color w:val="auto"/>
        </w:rPr>
      </w:pPr>
    </w:p>
    <w:p>
      <w:pPr>
        <w:jc w:val="both"/>
        <w:ind w:firstLine="757"/>
        <w:spacing w:after="0" w:line="239" w:lineRule="auto"/>
        <w:tabs>
          <w:tab w:leader="none" w:pos="1498"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Any delay or failure of Sublandlord in (i) delivering any estimate or statement described in this </w:t>
      </w:r>
      <w:r>
        <w:rPr>
          <w:rFonts w:ascii="Arial" w:cs="Arial" w:eastAsia="Arial" w:hAnsi="Arial"/>
          <w:sz w:val="18"/>
          <w:szCs w:val="18"/>
          <w:u w:val="single" w:color="auto"/>
          <w:color w:val="auto"/>
        </w:rPr>
        <w:t>Paragraph 4</w:t>
      </w:r>
      <w:r>
        <w:rPr>
          <w:rFonts w:ascii="Arial" w:cs="Arial" w:eastAsia="Arial" w:hAnsi="Arial"/>
          <w:sz w:val="18"/>
          <w:szCs w:val="18"/>
          <w:color w:val="auto"/>
        </w:rPr>
        <w:t xml:space="preserve"> or (ii) computing or billing Subtenant’s Proportionate Share of Operating Expenses and Tenant’s Proportionate Share of Taxes shall not constitute a waiver of its right to require an increase in Rent, or in any way impair the continuing obligations of Subtenant under this </w:t>
      </w:r>
      <w:r>
        <w:rPr>
          <w:rFonts w:ascii="Arial" w:cs="Arial" w:eastAsia="Arial" w:hAnsi="Arial"/>
          <w:sz w:val="18"/>
          <w:szCs w:val="18"/>
          <w:u w:val="single" w:color="auto"/>
          <w:color w:val="auto"/>
        </w:rPr>
        <w:t>Paragraph 4</w:t>
      </w:r>
      <w:r>
        <w:rPr>
          <w:rFonts w:ascii="Arial" w:cs="Arial" w:eastAsia="Arial" w:hAnsi="Arial"/>
          <w:sz w:val="18"/>
          <w:szCs w:val="18"/>
          <w:color w:val="auto"/>
        </w:rPr>
        <w:t xml:space="preserve">. In the event of any dispute as to any Additional Rent due under this </w:t>
      </w:r>
      <w:r>
        <w:rPr>
          <w:rFonts w:ascii="Arial" w:cs="Arial" w:eastAsia="Arial" w:hAnsi="Arial"/>
          <w:sz w:val="18"/>
          <w:szCs w:val="18"/>
          <w:u w:val="single" w:color="auto"/>
          <w:color w:val="auto"/>
        </w:rPr>
        <w:t>Paragraph 4.</w:t>
      </w:r>
      <w:r>
        <w:rPr>
          <w:rFonts w:ascii="Arial" w:cs="Arial" w:eastAsia="Arial" w:hAnsi="Arial"/>
          <w:sz w:val="18"/>
          <w:szCs w:val="18"/>
          <w:color w:val="auto"/>
        </w:rPr>
        <w:t xml:space="preserve"> Subtenant, an officer of Subtenant or Subtenant’s certified public accountant shall have the right after reasonable notice and at reasonable times to inspect Sublandlord’s accounting records. If, after such inspection, Subtenant still disputes such Additional Rent, upon Subtenant’s written request therefor, a certification as to the proper amount of Operating Expenses and the amount due to or payable by Subtenant shall be made by an</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5" w:name="page106"/>
    <w:bookmarkEnd w:id="105"/>
    <w:p>
      <w:pPr>
        <w:jc w:val="both"/>
        <w:spacing w:after="0" w:line="269" w:lineRule="auto"/>
        <w:rPr>
          <w:sz w:val="20"/>
          <w:szCs w:val="20"/>
          <w:color w:val="auto"/>
        </w:rPr>
      </w:pPr>
      <w:r>
        <w:rPr>
          <w:rFonts w:ascii="Arial" w:cs="Arial" w:eastAsia="Arial" w:hAnsi="Arial"/>
          <w:sz w:val="16"/>
          <w:szCs w:val="16"/>
          <w:color w:val="auto"/>
        </w:rPr>
        <w:t xml:space="preserve">independent certified public accountant mutually agreed to by Sublandlord and Subtenant. If Sublandlord and Subtenant cannot mutually agree to an independent certified public accountant, then the parties agree that Sublandlord shall choose an independent certified public accountant to conduct the certification as to the proper amount of Subtenant’s Proportionate Share of Operating Expenses due by Subtenant for the period in question; provided, however, such certified public accountant shall not be the accountant who conducted Sublandlord’s initial calculation of Operating Expenses to which Subtenant is now objecting. Such certification shall be final and conclusive as to all parties. If the certification reflects that Subtenant has overpaid Subtenant’s Proportionate Share of Operating Expenses and for the period in question, then Sublandlord shall credit such excess to Tenant’s Basic Additional Rent, or, at the request of Subtenant, promptly refund such excess to Subtenant and conversely, if Subtenant has underpaid Subtenant’s Proportionate Share of Operating Expenses, Subtenant shall promptly pay such additional Operating Expenses to Sublandlord. Subtenant waives the right to dispute any matter relating to the calculation of Operating Expenses or Additional Rent under this </w:t>
      </w:r>
      <w:r>
        <w:rPr>
          <w:rFonts w:ascii="Arial" w:cs="Arial" w:eastAsia="Arial" w:hAnsi="Arial"/>
          <w:sz w:val="16"/>
          <w:szCs w:val="16"/>
          <w:u w:val="single" w:color="auto"/>
          <w:color w:val="auto"/>
        </w:rPr>
        <w:t>Paragraph 4</w:t>
      </w:r>
      <w:r>
        <w:rPr>
          <w:rFonts w:ascii="Arial" w:cs="Arial" w:eastAsia="Arial" w:hAnsi="Arial"/>
          <w:sz w:val="16"/>
          <w:szCs w:val="16"/>
          <w:color w:val="auto"/>
        </w:rPr>
        <w:t xml:space="preserve"> if any claim or dispute is not asserted in writing to Sublandlord within one hundred eighty (180) days after delivery to Subtenant of the original billing statement with respect thereto. Notwithstanding the foregoing, Subtenant shall maintain strict confidentiality of all of Sublandlord’s accounting records and shall not disclose the same to any other person or entity except for Subtenant’s professional advisory representatives (such as Subtenant’s employees, accountants, advisors, attorneys and consultants) with a need to know such accounting information, who agree to similarly maintain the confidentiality of such financial information.</w:t>
      </w:r>
    </w:p>
    <w:p>
      <w:pPr>
        <w:spacing w:after="0" w:line="164" w:lineRule="exact"/>
        <w:rPr>
          <w:sz w:val="20"/>
          <w:szCs w:val="20"/>
          <w:color w:val="auto"/>
        </w:rPr>
      </w:pPr>
    </w:p>
    <w:p>
      <w:pPr>
        <w:ind w:left="360" w:hanging="352"/>
        <w:spacing w:after="0"/>
        <w:tabs>
          <w:tab w:leader="none" w:pos="3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Security Deposit</w:t>
      </w:r>
      <w:r>
        <w:rPr>
          <w:rFonts w:ascii="Arial" w:cs="Arial" w:eastAsia="Arial" w:hAnsi="Arial"/>
          <w:sz w:val="18"/>
          <w:szCs w:val="18"/>
          <w:b w:val="1"/>
          <w:bCs w:val="1"/>
          <w:color w:val="auto"/>
        </w:rPr>
        <w:t>.</w:t>
      </w:r>
    </w:p>
    <w:p>
      <w:pPr>
        <w:spacing w:after="0" w:line="20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6"/>
          <w:szCs w:val="16"/>
          <w:color w:val="auto"/>
        </w:rPr>
        <w:t>Concurrent with Subtenant’s execution of this Sublease, Subtenant shall deliver to Sublandlord the sum of $40,302.80 (the “Deposit”) as security for the performance by Subtenant of its obligations under this Sublease . If Subtenant is not then in default beyond any applicable cure period, the Deposit shall be applied to the last month of Basic Annual Rent and Applicable Additional Rent and any remaining amount shall be returned to Subtenant upon the expiration or termination of this Sublease. If Subtenant defaults in respect of any of the terms, provisions, covenants or conditions of this Sublease beyond any applicable notice and cure period, including, but not limited to, payment of Rent, Sublandlord may, but shall not be required to, use, apply or retain the whole or any appropriate part of the Deposit for the payment of any Rent in default or for reimbursement of any reasonable expense that Sublandlord incurs because of Subtenant’s default. If the Deposit is so applied then Subtenant shall, within ten (10) days after Sublandlord’s written request, deposit additional money with Sublandlord sufficient to restore the Deposit to its original amount. Sublandlord shall be required to segregate the Deposit and keep it separate from Sublandlord’s general funds during the entirety of the Sublease Term.</w:t>
      </w:r>
    </w:p>
    <w:p>
      <w:pPr>
        <w:spacing w:after="0" w:line="151" w:lineRule="exact"/>
        <w:rPr>
          <w:sz w:val="20"/>
          <w:szCs w:val="20"/>
          <w:color w:val="auto"/>
        </w:rPr>
      </w:pPr>
    </w:p>
    <w:p>
      <w:pPr>
        <w:ind w:left="760" w:hanging="752"/>
        <w:spacing w:after="0"/>
        <w:tabs>
          <w:tab w:leader="none" w:pos="7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Improvements and Alterations</w:t>
      </w:r>
      <w:r>
        <w:rPr>
          <w:rFonts w:ascii="Arial" w:cs="Arial" w:eastAsia="Arial" w:hAnsi="Arial"/>
          <w:sz w:val="18"/>
          <w:szCs w:val="18"/>
          <w:b w:val="1"/>
          <w:bCs w:val="1"/>
          <w:color w:val="auto"/>
        </w:rPr>
        <w:t>.</w:t>
      </w:r>
    </w:p>
    <w:p>
      <w:pPr>
        <w:spacing w:after="0" w:line="215" w:lineRule="exact"/>
        <w:rPr>
          <w:rFonts w:ascii="Arial" w:cs="Arial" w:eastAsia="Arial" w:hAnsi="Arial"/>
          <w:sz w:val="18"/>
          <w:szCs w:val="18"/>
          <w:b w:val="1"/>
          <w:bCs w:val="1"/>
          <w:color w:val="auto"/>
        </w:rPr>
      </w:pPr>
    </w:p>
    <w:p>
      <w:pPr>
        <w:jc w:val="both"/>
        <w:ind w:firstLine="757"/>
        <w:spacing w:after="0" w:line="248" w:lineRule="auto"/>
        <w:tabs>
          <w:tab w:leader="none" w:pos="1498" w:val="left"/>
        </w:tabs>
        <w:numPr>
          <w:ilvl w:val="1"/>
          <w:numId w:val="66"/>
        </w:numPr>
        <w:rPr>
          <w:rFonts w:ascii="Arial" w:cs="Arial" w:eastAsia="Arial" w:hAnsi="Arial"/>
          <w:sz w:val="18"/>
          <w:szCs w:val="18"/>
          <w:color w:val="auto"/>
        </w:rPr>
      </w:pPr>
      <w:r>
        <w:rPr>
          <w:rFonts w:ascii="Arial" w:cs="Arial" w:eastAsia="Arial" w:hAnsi="Arial"/>
          <w:sz w:val="18"/>
          <w:szCs w:val="18"/>
          <w:color w:val="auto"/>
        </w:rPr>
        <w:t>Sublandlord shall deliver the Subleased Premises to Subtenant, and Subtenant agrees to accept the Subleased Premises from Sublandlord in its existing “AS-IS”, “WHERE-IS” and “WITH ALL FAULTS” condition, and Sublandlord shall have no obligation to refurbish or otherwise improve the Subleased Premises throughout the Sublease Term.</w:t>
      </w:r>
    </w:p>
    <w:p>
      <w:pPr>
        <w:spacing w:after="0" w:line="181" w:lineRule="exact"/>
        <w:rPr>
          <w:rFonts w:ascii="Arial" w:cs="Arial" w:eastAsia="Arial" w:hAnsi="Arial"/>
          <w:sz w:val="18"/>
          <w:szCs w:val="18"/>
          <w:color w:val="auto"/>
        </w:rPr>
      </w:pPr>
    </w:p>
    <w:p>
      <w:pPr>
        <w:jc w:val="both"/>
        <w:ind w:firstLine="757"/>
        <w:spacing w:after="0" w:line="239" w:lineRule="auto"/>
        <w:tabs>
          <w:tab w:leader="none" w:pos="1498"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alterations, additions, or improvements made by or on behalf of Subtenant to the Subleased Premises (“</w:t>
      </w:r>
      <w:r>
        <w:rPr>
          <w:rFonts w:ascii="Arial" w:cs="Arial" w:eastAsia="Arial" w:hAnsi="Arial"/>
          <w:sz w:val="18"/>
          <w:szCs w:val="18"/>
          <w:u w:val="single" w:color="auto"/>
          <w:color w:val="auto"/>
        </w:rPr>
        <w:t>Alterations</w:t>
      </w:r>
      <w:r>
        <w:rPr>
          <w:rFonts w:ascii="Arial" w:cs="Arial" w:eastAsia="Arial" w:hAnsi="Arial"/>
          <w:sz w:val="18"/>
          <w:szCs w:val="18"/>
          <w:color w:val="auto"/>
        </w:rPr>
        <w:t>”) shall be subject to Sublandlord’s prior written consent and made pursuant to the Master Lease. Landlord’s consent shall not be unreasonably withheld, conditioned or delayed with respect to proposed Alterations that (i) comply with all applicable laws, ordinances, rules and regulations; (ii) are compatible with the Building and its mechanical, electrical, HVAC and life safety systems; (iii) will not interfere with the use and occupancy of any other portion of the Building by any other tenant or their invitees; (iv) do not affect the structural portions of the Building; (v) do not and will not, whether alone or taken together with other improvements, require the construction of any other improvements or alterations within the Building; and (vi) comply with the Master Lease signed by Sublandlord and Landlord.</w:t>
      </w:r>
    </w:p>
    <w:p>
      <w:pPr>
        <w:spacing w:after="0" w:line="190" w:lineRule="exact"/>
        <w:rPr>
          <w:rFonts w:ascii="Arial" w:cs="Arial" w:eastAsia="Arial" w:hAnsi="Arial"/>
          <w:sz w:val="18"/>
          <w:szCs w:val="18"/>
          <w:color w:val="auto"/>
        </w:rPr>
      </w:pPr>
    </w:p>
    <w:p>
      <w:pPr>
        <w:jc w:val="both"/>
        <w:ind w:firstLine="757"/>
        <w:spacing w:after="0" w:line="243" w:lineRule="auto"/>
        <w:tabs>
          <w:tab w:leader="none" w:pos="1498" w:val="left"/>
        </w:tabs>
        <w:numPr>
          <w:ilvl w:val="1"/>
          <w:numId w:val="66"/>
        </w:numPr>
        <w:rPr>
          <w:rFonts w:ascii="Arial" w:cs="Arial" w:eastAsia="Arial" w:hAnsi="Arial"/>
          <w:sz w:val="18"/>
          <w:szCs w:val="18"/>
          <w:color w:val="auto"/>
        </w:rPr>
      </w:pPr>
      <w:r>
        <w:rPr>
          <w:rFonts w:ascii="Arial" w:cs="Arial" w:eastAsia="Arial" w:hAnsi="Arial"/>
          <w:sz w:val="18"/>
          <w:szCs w:val="18"/>
          <w:color w:val="auto"/>
        </w:rPr>
        <w:t>NOTICE IS HEREBY GIVEN THAT SUBLANDLORD SHALL NOT BE LIABLE FOR ANY LABOR, SERVICES OR MATERIALS FURNISHED OR TO BE FURNISHED TO SUBTENANT, OR TO ANYONE HOLDING THE SUBLEASED PREMISES THROUGH OR UNDER SUBTENANT, AND THAT NO MECHANICS’ OR OTHER LIENS FOR ANY SUCH LABOR, SERVICES OR MATERIALS SHALL ATTACH TO OR AFFECT THE INTEREST OF SUBLANDLORD IN THE SUBLEASED PREMISES.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6" w:name="page107"/>
    <w:bookmarkEnd w:id="106"/>
    <w:p>
      <w:pPr>
        <w:ind w:left="760" w:hanging="752"/>
        <w:spacing w:after="0"/>
        <w:tabs>
          <w:tab w:leader="none" w:pos="7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Use of Subleased Premises</w:t>
      </w:r>
      <w:r>
        <w:rPr>
          <w:rFonts w:ascii="Arial" w:cs="Arial" w:eastAsia="Arial" w:hAnsi="Arial"/>
          <w:sz w:val="18"/>
          <w:szCs w:val="18"/>
          <w:b w:val="1"/>
          <w:bCs w:val="1"/>
          <w:color w:val="auto"/>
        </w:rPr>
        <w:t>.</w:t>
      </w:r>
    </w:p>
    <w:p>
      <w:pPr>
        <w:spacing w:after="0" w:line="215" w:lineRule="exact"/>
        <w:rPr>
          <w:rFonts w:ascii="Arial" w:cs="Arial" w:eastAsia="Arial" w:hAnsi="Arial"/>
          <w:sz w:val="18"/>
          <w:szCs w:val="18"/>
          <w:b w:val="1"/>
          <w:bCs w:val="1"/>
          <w:color w:val="auto"/>
        </w:rPr>
      </w:pPr>
    </w:p>
    <w:p>
      <w:pPr>
        <w:jc w:val="both"/>
        <w:ind w:firstLine="757"/>
        <w:spacing w:after="0" w:line="248" w:lineRule="auto"/>
        <w:tabs>
          <w:tab w:leader="none" w:pos="1498" w:val="left"/>
        </w:tabs>
        <w:numPr>
          <w:ilvl w:val="1"/>
          <w:numId w:val="67"/>
        </w:numPr>
        <w:rPr>
          <w:rFonts w:ascii="Arial" w:cs="Arial" w:eastAsia="Arial" w:hAnsi="Arial"/>
          <w:sz w:val="18"/>
          <w:szCs w:val="18"/>
          <w:color w:val="auto"/>
        </w:rPr>
      </w:pPr>
      <w:r>
        <w:rPr>
          <w:rFonts w:ascii="Arial" w:cs="Arial" w:eastAsia="Arial" w:hAnsi="Arial"/>
          <w:sz w:val="18"/>
          <w:szCs w:val="18"/>
          <w:color w:val="auto"/>
        </w:rPr>
        <w:t>Subtenant shall use the Subleased Premises only for general office uses and all other ancillary uses incidental thereto and shall not use the Subleased Premises or permit the Subleased Premises to be used for any other purpose. Sublandlord shall have the right to deny its consent to any change in the permitted use of the Subleased Premises in its sole and absolute discretion.</w:t>
      </w:r>
    </w:p>
    <w:p>
      <w:pPr>
        <w:spacing w:after="0" w:line="181" w:lineRule="exact"/>
        <w:rPr>
          <w:rFonts w:ascii="Arial" w:cs="Arial" w:eastAsia="Arial" w:hAnsi="Arial"/>
          <w:sz w:val="18"/>
          <w:szCs w:val="18"/>
          <w:color w:val="auto"/>
        </w:rPr>
      </w:pPr>
    </w:p>
    <w:p>
      <w:pPr>
        <w:jc w:val="both"/>
        <w:ind w:firstLine="757"/>
        <w:spacing w:after="0" w:line="257" w:lineRule="auto"/>
        <w:tabs>
          <w:tab w:leader="none" w:pos="1498" w:val="left"/>
        </w:tabs>
        <w:numPr>
          <w:ilvl w:val="1"/>
          <w:numId w:val="67"/>
        </w:numPr>
        <w:rPr>
          <w:rFonts w:ascii="Arial" w:cs="Arial" w:eastAsia="Arial" w:hAnsi="Arial"/>
          <w:sz w:val="17"/>
          <w:szCs w:val="17"/>
          <w:color w:val="auto"/>
        </w:rPr>
      </w:pPr>
      <w:r>
        <w:rPr>
          <w:rFonts w:ascii="Arial" w:cs="Arial" w:eastAsia="Arial" w:hAnsi="Arial"/>
          <w:sz w:val="17"/>
          <w:szCs w:val="17"/>
          <w:color w:val="auto"/>
        </w:rPr>
        <w:t>Subtenant shall not at any time use or occupy the Subleased Premises, or permit any act or omission in or about the Subleased Premises in violation of any law, statute, ordinance or any governmental rule, regulation or order (collectively, “</w:t>
      </w:r>
      <w:r>
        <w:rPr>
          <w:rFonts w:ascii="Arial" w:cs="Arial" w:eastAsia="Arial" w:hAnsi="Arial"/>
          <w:sz w:val="17"/>
          <w:szCs w:val="17"/>
          <w:u w:val="single" w:color="auto"/>
          <w:color w:val="auto"/>
        </w:rPr>
        <w:t>Law</w:t>
      </w:r>
      <w:r>
        <w:rPr>
          <w:rFonts w:ascii="Arial" w:cs="Arial" w:eastAsia="Arial" w:hAnsi="Arial"/>
          <w:sz w:val="17"/>
          <w:szCs w:val="17"/>
          <w:color w:val="auto"/>
        </w:rPr>
        <w:t>” or “</w:t>
      </w:r>
      <w:r>
        <w:rPr>
          <w:rFonts w:ascii="Arial" w:cs="Arial" w:eastAsia="Arial" w:hAnsi="Arial"/>
          <w:sz w:val="17"/>
          <w:szCs w:val="17"/>
          <w:u w:val="single" w:color="auto"/>
          <w:color w:val="auto"/>
        </w:rPr>
        <w:t>Laws</w:t>
      </w:r>
      <w:r>
        <w:rPr>
          <w:rFonts w:ascii="Arial" w:cs="Arial" w:eastAsia="Arial" w:hAnsi="Arial"/>
          <w:sz w:val="17"/>
          <w:szCs w:val="17"/>
          <w:color w:val="auto"/>
        </w:rPr>
        <w:t>”) and Subtenant shall, upon written notice from Sublandlord, discontinue any use of the Subleased Premises which is declared by any governmental authority to be a violation of Law. If any Law shall, by reason of the nature of Subtenant’s use or occupancy of the Subleased Premises, impose any duty upon Subtenant or Sublandlord with respect to (i) modification or other maintenance of the Subleased Premises, the Building or the Project, or (ii) the use, Alteration or occupancy thereof, Subtenant shall comply with such Law at Subtenant’s sole cost and expense.</w:t>
      </w:r>
    </w:p>
    <w:p>
      <w:pPr>
        <w:spacing w:after="0" w:line="175" w:lineRule="exact"/>
        <w:rPr>
          <w:rFonts w:ascii="Arial" w:cs="Arial" w:eastAsia="Arial" w:hAnsi="Arial"/>
          <w:sz w:val="17"/>
          <w:szCs w:val="17"/>
          <w:color w:val="auto"/>
        </w:rPr>
      </w:pPr>
    </w:p>
    <w:p>
      <w:pPr>
        <w:jc w:val="both"/>
        <w:ind w:firstLine="757"/>
        <w:spacing w:after="0" w:line="248" w:lineRule="auto"/>
        <w:tabs>
          <w:tab w:leader="none" w:pos="1498" w:val="left"/>
        </w:tabs>
        <w:numPr>
          <w:ilvl w:val="1"/>
          <w:numId w:val="67"/>
        </w:numPr>
        <w:rPr>
          <w:rFonts w:ascii="Arial" w:cs="Arial" w:eastAsia="Arial" w:hAnsi="Arial"/>
          <w:sz w:val="18"/>
          <w:szCs w:val="18"/>
          <w:color w:val="auto"/>
        </w:rPr>
      </w:pPr>
      <w:r>
        <w:rPr>
          <w:rFonts w:ascii="Arial" w:cs="Arial" w:eastAsia="Arial" w:hAnsi="Arial"/>
          <w:sz w:val="18"/>
          <w:szCs w:val="18"/>
          <w:color w:val="auto"/>
        </w:rPr>
        <w:t>Subtenant shall not in any way interfere with the rights or quiet enjoyment of other tenants or occupants of the Subleased Premises and the Building. Subtenant shall not use or allow the Subleased Premises to be used for any improper, immoral, unlawful or objectionable purpose, nor shall Subtenant cause, maintain, or permit any nuisance in, on or about the Subleased Premises or the Building.</w:t>
      </w:r>
    </w:p>
    <w:p>
      <w:pPr>
        <w:spacing w:after="0" w:line="181" w:lineRule="exact"/>
        <w:rPr>
          <w:rFonts w:ascii="Arial" w:cs="Arial" w:eastAsia="Arial" w:hAnsi="Arial"/>
          <w:sz w:val="18"/>
          <w:szCs w:val="18"/>
          <w:color w:val="auto"/>
        </w:rPr>
      </w:pPr>
    </w:p>
    <w:p>
      <w:pPr>
        <w:jc w:val="both"/>
        <w:ind w:firstLine="757"/>
        <w:spacing w:after="0" w:line="262" w:lineRule="auto"/>
        <w:tabs>
          <w:tab w:leader="none" w:pos="1498" w:val="left"/>
        </w:tabs>
        <w:numPr>
          <w:ilvl w:val="1"/>
          <w:numId w:val="67"/>
        </w:numPr>
        <w:rPr>
          <w:rFonts w:ascii="Arial" w:cs="Arial" w:eastAsia="Arial" w:hAnsi="Arial"/>
          <w:sz w:val="17"/>
          <w:szCs w:val="17"/>
          <w:color w:val="auto"/>
        </w:rPr>
      </w:pPr>
      <w:r>
        <w:rPr>
          <w:rFonts w:ascii="Arial" w:cs="Arial" w:eastAsia="Arial" w:hAnsi="Arial"/>
          <w:sz w:val="17"/>
          <w:szCs w:val="17"/>
          <w:color w:val="auto"/>
        </w:rPr>
        <w:t>Subtenant shall take all reasonable steps necessary to adequately secure the Subleased Premises from unlawful intrusion, theft, fire and other hazards, and shall keep and maintain any and all security devices in or on the Subleased Premises in good working order, including, but not limited to, exterior door locks for the Subleased Premises and smoke detectors and burglar alarms located within the Subleased Premises and shall cooperate with Sublandlord and other tenants in the Building with respect to access control and other safety matters.</w:t>
      </w:r>
    </w:p>
    <w:p>
      <w:pPr>
        <w:spacing w:after="0" w:line="168" w:lineRule="exact"/>
        <w:rPr>
          <w:rFonts w:ascii="Arial" w:cs="Arial" w:eastAsia="Arial" w:hAnsi="Arial"/>
          <w:sz w:val="17"/>
          <w:szCs w:val="17"/>
          <w:color w:val="auto"/>
        </w:rPr>
      </w:pPr>
    </w:p>
    <w:p>
      <w:pPr>
        <w:ind w:left="760" w:hanging="752"/>
        <w:spacing w:after="0"/>
        <w:tabs>
          <w:tab w:leader="none" w:pos="7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Building Access</w:t>
      </w:r>
      <w:r>
        <w:rPr>
          <w:rFonts w:ascii="Arial" w:cs="Arial" w:eastAsia="Arial" w:hAnsi="Arial"/>
          <w:sz w:val="18"/>
          <w:szCs w:val="18"/>
          <w:b w:val="1"/>
          <w:bCs w:val="1"/>
          <w:color w:val="auto"/>
        </w:rPr>
        <w:t>.</w:t>
      </w:r>
    </w:p>
    <w:p>
      <w:pPr>
        <w:spacing w:after="0" w:line="216"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Subtenant shall have access to the Building and the Subleased Premises twenty-four (24) hours per day, seven (7) days per week. Sublandlord will provide all keys to Subtenant on the Commencement Date.</w:t>
      </w:r>
    </w:p>
    <w:p>
      <w:pPr>
        <w:spacing w:after="0" w:line="59" w:lineRule="exact"/>
        <w:rPr>
          <w:sz w:val="20"/>
          <w:szCs w:val="20"/>
          <w:color w:val="auto"/>
        </w:rPr>
      </w:pPr>
    </w:p>
    <w:p>
      <w:pPr>
        <w:ind w:left="760" w:hanging="752"/>
        <w:spacing w:after="0"/>
        <w:tabs>
          <w:tab w:leader="none" w:pos="7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Maintenance.</w:t>
      </w:r>
    </w:p>
    <w:p>
      <w:pPr>
        <w:spacing w:after="0" w:line="216"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From and after the Commencement Date, Subtenant shall be responsible for all of Sublandlord’s maintenance obligations under the Master Lease with respect to the Subleased Premises.</w:t>
      </w:r>
    </w:p>
    <w:p>
      <w:pPr>
        <w:spacing w:after="0" w:line="59" w:lineRule="exact"/>
        <w:rPr>
          <w:sz w:val="20"/>
          <w:szCs w:val="20"/>
          <w:color w:val="auto"/>
        </w:rPr>
      </w:pPr>
    </w:p>
    <w:p>
      <w:pPr>
        <w:ind w:left="760" w:hanging="752"/>
        <w:spacing w:after="0"/>
        <w:tabs>
          <w:tab w:leader="none" w:pos="7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NON-LIABILITY AND INDEMNIFICATION OF LANDLORD; INSURANCE</w:t>
      </w:r>
    </w:p>
    <w:p>
      <w:pPr>
        <w:spacing w:after="0" w:line="215" w:lineRule="exact"/>
        <w:rPr>
          <w:rFonts w:ascii="Arial" w:cs="Arial" w:eastAsia="Arial" w:hAnsi="Arial"/>
          <w:sz w:val="18"/>
          <w:szCs w:val="18"/>
          <w:b w:val="1"/>
          <w:bCs w:val="1"/>
          <w:color w:val="auto"/>
        </w:rPr>
      </w:pPr>
    </w:p>
    <w:p>
      <w:pPr>
        <w:jc w:val="both"/>
        <w:ind w:firstLine="757"/>
        <w:spacing w:after="0" w:line="269" w:lineRule="auto"/>
        <w:tabs>
          <w:tab w:leader="none" w:pos="1498" w:val="left"/>
        </w:tabs>
        <w:numPr>
          <w:ilvl w:val="1"/>
          <w:numId w:val="69"/>
        </w:numPr>
        <w:rPr>
          <w:rFonts w:ascii="Arial" w:cs="Arial" w:eastAsia="Arial" w:hAnsi="Arial"/>
          <w:sz w:val="16"/>
          <w:szCs w:val="16"/>
          <w:color w:val="auto"/>
        </w:rPr>
      </w:pPr>
      <w:r>
        <w:rPr>
          <w:rFonts w:ascii="Arial" w:cs="Arial" w:eastAsia="Arial" w:hAnsi="Arial"/>
          <w:sz w:val="16"/>
          <w:szCs w:val="16"/>
          <w:color w:val="auto"/>
        </w:rPr>
        <w:t>Sublandlord shall not be liable for any injury, loss or damage suffered by Subtenant or to any person or property occurring or incurred in or about the Subleased Premises, the Building or the Project from any cause, EVEN IF SUCH LIABILITIES ARE CAUSED SOLELY OR IN PART BY THE NEGLIGENCE OF ANY SUBLANDLORD INDEMNITEE (DEFINED BELOW), BUT NOT TO THE EXTENT SUCH LIABILITIES ARE CAUSED BY THE GROSS NEGLIGENCE OR WILLFUL MISCONDUCT OF ANY SUCH SUBLANDLORD INDEMNITEE (DEFINED BELOW). Without limiting the foregoing, neither Sublandlord nor any of its partners, officers, trustees, affiliates, directors, employees, contractors, agents or representatives (collectively, “</w:t>
      </w:r>
      <w:r>
        <w:rPr>
          <w:rFonts w:ascii="Arial" w:cs="Arial" w:eastAsia="Arial" w:hAnsi="Arial"/>
          <w:sz w:val="16"/>
          <w:szCs w:val="16"/>
          <w:u w:val="single" w:color="auto"/>
          <w:color w:val="auto"/>
        </w:rPr>
        <w:t>Affiliates</w:t>
      </w:r>
      <w:r>
        <w:rPr>
          <w:rFonts w:ascii="Arial" w:cs="Arial" w:eastAsia="Arial" w:hAnsi="Arial"/>
          <w:sz w:val="16"/>
          <w:szCs w:val="16"/>
          <w:color w:val="auto"/>
        </w:rPr>
        <w:t>”) shall be liable for, and there shall be no abatement of Rent (except in the event of a casualty loss or a condemnation) for, (i) any damage to Subtenant’s property stored with or entrusted to Affiliates of Sublandlord, (ii) loss of or damage to any property by theft or any other wrongful or illegal act, or (iii) any injury or damage to persons or property resulting from fire, explosion, falling plaster, steam, gas, electricity, water or rain which may leak from any part of the Building or from the pipes, appliances, appurtenances or plumbing works therein or from the roof, street or sub-surface or from any other place or resulting from dampness or any other cause whatsoever or from the acts or omissions of other tenants, occupants or other visitors to the Building or from any other cause whatsoever, (iv) any diminution or shutting off of light, air or view by any structure which may be erected on lands adjacent to the Building, (v) any latent or other defect in the Subleased Premises or the Building. Subtenant shall give prompt notice to Sublandlord in the event of (i) the occurrence of a fire or accident in the Subleased Premises or in the Building, or (ii) the discovery</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color w:val="auto"/>
        </w:rPr>
        <w:t xml:space="preserve">of a defect therein or in the fixtures or equipment thereof. This </w:t>
      </w:r>
      <w:r>
        <w:rPr>
          <w:rFonts w:ascii="Arial" w:cs="Arial" w:eastAsia="Arial" w:hAnsi="Arial"/>
          <w:sz w:val="17"/>
          <w:szCs w:val="17"/>
          <w:u w:val="single" w:color="auto"/>
          <w:color w:val="auto"/>
        </w:rPr>
        <w:t>Paragraph 10(a)</w:t>
      </w:r>
      <w:r>
        <w:rPr>
          <w:rFonts w:ascii="Arial" w:cs="Arial" w:eastAsia="Arial" w:hAnsi="Arial"/>
          <w:sz w:val="17"/>
          <w:szCs w:val="17"/>
          <w:color w:val="auto"/>
        </w:rPr>
        <w:t xml:space="preserve"> shall survive the expiration or earlier termination of this Lease.</w:t>
      </w:r>
    </w:p>
    <w:p>
      <w:pPr>
        <w:spacing w:after="0" w:line="223" w:lineRule="exact"/>
        <w:rPr>
          <w:sz w:val="20"/>
          <w:szCs w:val="20"/>
          <w:color w:val="auto"/>
        </w:rPr>
      </w:pPr>
    </w:p>
    <w:p>
      <w:pPr>
        <w:jc w:val="both"/>
        <w:ind w:firstLine="757"/>
        <w:spacing w:after="0" w:line="236" w:lineRule="auto"/>
        <w:tabs>
          <w:tab w:leader="none" w:pos="1498" w:val="left"/>
        </w:tabs>
        <w:numPr>
          <w:ilvl w:val="1"/>
          <w:numId w:val="70"/>
        </w:numPr>
        <w:rPr>
          <w:rFonts w:ascii="Arial" w:cs="Arial" w:eastAsia="Arial" w:hAnsi="Arial"/>
          <w:sz w:val="18"/>
          <w:szCs w:val="18"/>
          <w:color w:val="auto"/>
        </w:rPr>
      </w:pPr>
      <w:r>
        <w:rPr>
          <w:rFonts w:ascii="Arial" w:cs="Arial" w:eastAsia="Arial" w:hAnsi="Arial"/>
          <w:sz w:val="18"/>
          <w:szCs w:val="18"/>
          <w:color w:val="auto"/>
        </w:rPr>
        <w:t>TO THE GREATEST EXTENT PERMITTED BY LAW, SUBTENANT HEREBY AGREES TO INDEMNIFY, PROTECT, DEFEND AND HOLD HARMLESS SUBLANDLORD AND ITS RESPECTIVE PARTNERS, MEMBERS, AFFILIATES AND SUBSIDIARIES, AND ALL OF THEIR RESPECTIVE OFFICERS, TRUSTEES, DIRECTORS, SHAREHOLDERS, EMPLOYEES, SERVANTS, PARTNERS, REPRESENTATIVES, INSURERS AND AGENTS (COLLECTIVELY, “</w:t>
      </w:r>
      <w:r>
        <w:rPr>
          <w:rFonts w:ascii="Arial" w:cs="Arial" w:eastAsia="Arial" w:hAnsi="Arial"/>
          <w:sz w:val="18"/>
          <w:szCs w:val="18"/>
          <w:u w:val="single" w:color="auto"/>
          <w:color w:val="auto"/>
        </w:rPr>
        <w:t>SUBLANDLORD INDEMNITEES</w:t>
      </w:r>
      <w:r>
        <w:rPr>
          <w:rFonts w:ascii="Arial" w:cs="Arial" w:eastAsia="Arial" w:hAnsi="Arial"/>
          <w:sz w:val="18"/>
          <w:szCs w:val="18"/>
          <w:color w:val="auto"/>
        </w:rPr>
        <w:t>”) FOR, FROM AND AGAINST ALL LIABILITIES, CLAIMS, FINES, PENALTIES, COSTS, DAMAGES OR INJURIES TO PERSONS, DAMAGES TO PROPERTY, LOSSES, LIENS, CAUSES OF ACTION, SUITS, JUDGMENTS AND EXPENSES (INCLUDING COURT COSTS, ATTORNEYS’ FEES, EXPERT WITNESS FEES AND COSTS OF INVESTIGATION), OF ANY NATURE, KIND OR DESCRIPTION OF ANY PERSON OR ENTITY, DIRECTLY OR INDIRECTLY ARISING OUT OF, CAUSED BY, OR RESULTING FROM (IN WHOLE OR PART) (1) SUBTENANT’S CONSTRUCTION OF, OR USE, OCCUPANCY OR ENJOYMENT OF, THE SUBLEASED PREMISES, (2) ANY ACTIVITY, WORK OR OTHER THINGS DONE, PERMITTED OR SUFFERED BY SUBTENANT AND ITS AGENTS AND EMPLOYEES IN OR ABOUT THE SUBLEASED PREMISES, (3) ANY BREACH OR DEFAULT IN THE PERFORMANCE OF ANY OF SUBTENANT’S OBLIGATIONS UNDER THIS LEASE, (4) ANY ACT, OMISSION, NEGLIGENCE OR WILLFUL MISCONDUCT OF SUBTENANT OR ANY OF ITS AGENTS, CONTRACTORS, EMPLOYEES, BUSINESS INVITEES OR LICENSEES, OR (5) ANY DAMAGE TO SUBTENANT’S PROPERTY, OR THE PROPERTY OF SUBTENANT’S AGENTS, EMPLOYEES, CONTRACTORS, BUSINESS INVITEES OR LICENSEES, LOCATED IN OR ABOUT THE SUBLEASED PREMISES (COLLECTIVELY, “</w:t>
      </w:r>
      <w:r>
        <w:rPr>
          <w:rFonts w:ascii="Arial" w:cs="Arial" w:eastAsia="Arial" w:hAnsi="Arial"/>
          <w:sz w:val="18"/>
          <w:szCs w:val="18"/>
          <w:u w:val="single" w:color="auto"/>
          <w:color w:val="auto"/>
        </w:rPr>
        <w:t>LIABILITIES</w:t>
      </w:r>
      <w:r>
        <w:rPr>
          <w:rFonts w:ascii="Arial" w:cs="Arial" w:eastAsia="Arial" w:hAnsi="Arial"/>
          <w:sz w:val="18"/>
          <w:szCs w:val="18"/>
          <w:color w:val="auto"/>
        </w:rPr>
        <w:t xml:space="preserve">”) BUT NOT TO THE EXTENT SUCH LIABILITIES ARE CAUSED BY THE GROSS NEGLIGENCE OR WILLFUL MISCONDUCT OF ANY SUCH SUBLANDLORD INDEMNITEE. This </w:t>
      </w:r>
      <w:r>
        <w:rPr>
          <w:rFonts w:ascii="Arial" w:cs="Arial" w:eastAsia="Arial" w:hAnsi="Arial"/>
          <w:sz w:val="18"/>
          <w:szCs w:val="18"/>
          <w:u w:val="single" w:color="auto"/>
          <w:color w:val="auto"/>
        </w:rPr>
        <w:t>Paragraph 10(b)</w:t>
      </w:r>
      <w:r>
        <w:rPr>
          <w:rFonts w:ascii="Arial" w:cs="Arial" w:eastAsia="Arial" w:hAnsi="Arial"/>
          <w:sz w:val="18"/>
          <w:szCs w:val="18"/>
          <w:color w:val="auto"/>
        </w:rPr>
        <w:t xml:space="preserve"> shall survive the expiration or earlier termination of this Lease.</w:t>
      </w:r>
    </w:p>
    <w:p>
      <w:pPr>
        <w:spacing w:after="0" w:line="198" w:lineRule="exact"/>
        <w:rPr>
          <w:rFonts w:ascii="Arial" w:cs="Arial" w:eastAsia="Arial" w:hAnsi="Arial"/>
          <w:sz w:val="18"/>
          <w:szCs w:val="18"/>
          <w:color w:val="auto"/>
        </w:rPr>
      </w:pPr>
    </w:p>
    <w:p>
      <w:pPr>
        <w:jc w:val="both"/>
        <w:ind w:firstLine="757"/>
        <w:spacing w:after="0" w:line="253" w:lineRule="auto"/>
        <w:tabs>
          <w:tab w:leader="none" w:pos="1498" w:val="left"/>
        </w:tabs>
        <w:numPr>
          <w:ilvl w:val="1"/>
          <w:numId w:val="70"/>
        </w:numPr>
        <w:rPr>
          <w:rFonts w:ascii="Arial" w:cs="Arial" w:eastAsia="Arial" w:hAnsi="Arial"/>
          <w:sz w:val="17"/>
          <w:szCs w:val="17"/>
          <w:color w:val="auto"/>
        </w:rPr>
      </w:pPr>
      <w:r>
        <w:rPr>
          <w:rFonts w:ascii="Arial" w:cs="Arial" w:eastAsia="Arial" w:hAnsi="Arial"/>
          <w:sz w:val="17"/>
          <w:szCs w:val="17"/>
          <w:color w:val="auto"/>
        </w:rPr>
        <w:t xml:space="preserve">Subtenant shall promptly advise Sublandlord in writing of any action, administrative or legal proceeding or investigation as to which this indemnification may apply, and Subtenant, at Subtenant’s expense, shall assume on behalf of each and every Sublandlord Indemnitee and conduct with due diligence and in good faith the defense thereof with counsel reasonably satisfactory to Sublandlord; provided, however, that any Sublandlord Indemnitee shall have the right, at its option, to be represented therein by advisory counsel of its own selection and at its own expense. In the event of failure by Subtenant to fully perform in accordance with this Paragraph, Sublandlord, at its option, and without relieving Subtenant of its obligations hereunder, may so perform, but all costs and expenses so incurred by Sublandlord in that event shall be reimbursed by Subtenant to Sublandlord, together with interest on the same from the date any such expense was paid by Sublandlord until reimbursed by Subtenant, at the rate of interest provided to be paid on judgments, by the law of the jurisdiction to which the interpretation of this Sublease is subject. The indemnification provided in </w:t>
      </w:r>
      <w:r>
        <w:rPr>
          <w:rFonts w:ascii="Arial" w:cs="Arial" w:eastAsia="Arial" w:hAnsi="Arial"/>
          <w:sz w:val="17"/>
          <w:szCs w:val="17"/>
          <w:u w:val="single" w:color="auto"/>
          <w:color w:val="auto"/>
        </w:rPr>
        <w:t>Paragraph 10(b)</w:t>
      </w:r>
      <w:r>
        <w:rPr>
          <w:rFonts w:ascii="Arial" w:cs="Arial" w:eastAsia="Arial" w:hAnsi="Arial"/>
          <w:sz w:val="17"/>
          <w:szCs w:val="17"/>
          <w:color w:val="auto"/>
        </w:rPr>
        <w:t xml:space="preserve"> shall not be limited to damages, compensation or benefits payable under insurance policies, workers’ compensation acts, disability benefit acts or other employees’ benefit acts.</w:t>
      </w:r>
    </w:p>
    <w:p>
      <w:pPr>
        <w:spacing w:after="0" w:line="176" w:lineRule="exact"/>
        <w:rPr>
          <w:rFonts w:ascii="Arial" w:cs="Arial" w:eastAsia="Arial" w:hAnsi="Arial"/>
          <w:sz w:val="17"/>
          <w:szCs w:val="17"/>
          <w:color w:val="auto"/>
        </w:rPr>
      </w:pPr>
    </w:p>
    <w:p>
      <w:pPr>
        <w:ind w:left="760" w:hanging="752"/>
        <w:spacing w:after="0"/>
        <w:tabs>
          <w:tab w:leader="none" w:pos="7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 and Subletting</w:t>
      </w:r>
      <w:r>
        <w:rPr>
          <w:rFonts w:ascii="Arial" w:cs="Arial" w:eastAsia="Arial" w:hAnsi="Arial"/>
          <w:sz w:val="18"/>
          <w:szCs w:val="18"/>
          <w:b w:val="1"/>
          <w:bCs w:val="1"/>
          <w:color w:val="auto"/>
        </w:rPr>
        <w:t>.</w:t>
      </w:r>
    </w:p>
    <w:p>
      <w:pPr>
        <w:spacing w:after="0" w:line="215" w:lineRule="exact"/>
        <w:rPr>
          <w:rFonts w:ascii="Arial" w:cs="Arial" w:eastAsia="Arial" w:hAnsi="Arial"/>
          <w:sz w:val="18"/>
          <w:szCs w:val="18"/>
          <w:b w:val="1"/>
          <w:bCs w:val="1"/>
          <w:color w:val="auto"/>
        </w:rPr>
      </w:pPr>
    </w:p>
    <w:p>
      <w:pPr>
        <w:jc w:val="both"/>
        <w:ind w:firstLine="757"/>
        <w:spacing w:after="0" w:line="259" w:lineRule="auto"/>
        <w:tabs>
          <w:tab w:leader="none" w:pos="1498" w:val="left"/>
        </w:tabs>
        <w:numPr>
          <w:ilvl w:val="1"/>
          <w:numId w:val="71"/>
        </w:numPr>
        <w:rPr>
          <w:rFonts w:ascii="Arial" w:cs="Arial" w:eastAsia="Arial" w:hAnsi="Arial"/>
          <w:sz w:val="17"/>
          <w:szCs w:val="17"/>
          <w:color w:val="auto"/>
        </w:rPr>
      </w:pPr>
      <w:r>
        <w:rPr>
          <w:rFonts w:ascii="Arial" w:cs="Arial" w:eastAsia="Arial" w:hAnsi="Arial"/>
          <w:sz w:val="17"/>
          <w:szCs w:val="17"/>
          <w:color w:val="auto"/>
        </w:rPr>
        <w:t>Subtenant shall not directly or indirectly, voluntarily or involuntarily, by operation of law or otherwise, assign, sublet, mortgage or otherwise encumber all or any portion of its interest in this Sublease or in the Subleased Premises or grant any license for any person other than Subtenant or its employees to use or occupy the Subleased Premises or any part thereof without obtaining the prior written consent of Sublandlord, which consent shall not be unreasonably withheld, conditioned or delayed. Any such attempted assignment, subletting, license, mortgage, other encumbrance or other use or occupancy without the consent of Sublandlord shall, at Sublandlord’s option, be null and void and of no effect.</w:t>
      </w:r>
    </w:p>
    <w:p>
      <w:pPr>
        <w:spacing w:after="0" w:line="173" w:lineRule="exact"/>
        <w:rPr>
          <w:rFonts w:ascii="Arial" w:cs="Arial" w:eastAsia="Arial" w:hAnsi="Arial"/>
          <w:sz w:val="17"/>
          <w:szCs w:val="17"/>
          <w:color w:val="auto"/>
        </w:rPr>
      </w:pPr>
    </w:p>
    <w:p>
      <w:pPr>
        <w:jc w:val="both"/>
        <w:ind w:firstLine="757"/>
        <w:spacing w:after="0" w:line="248" w:lineRule="auto"/>
        <w:tabs>
          <w:tab w:leader="none" w:pos="1498"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proceeds for any assignment and/or sublease over and above the Basic Annual Rent paid by Subtenant and reasonable transaction costs, will be split evenly between Sublandlord and Subtenant after deducting Subtenant’s reasonable costs of subleasing the Subleased Premises, including but not limited to legal fees, brokerage commissions, and tenant improvements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8" w:name="page109"/>
    <w:bookmarkEnd w:id="108"/>
    <w:p>
      <w:pPr>
        <w:ind w:left="360" w:hanging="352"/>
        <w:spacing w:after="0"/>
        <w:tabs>
          <w:tab w:leader="none" w:pos="3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Cabling</w:t>
      </w:r>
      <w:r>
        <w:rPr>
          <w:rFonts w:ascii="Arial" w:cs="Arial" w:eastAsia="Arial" w:hAnsi="Arial"/>
          <w:sz w:val="18"/>
          <w:szCs w:val="18"/>
          <w:b w:val="1"/>
          <w:bCs w:val="1"/>
          <w:color w:val="auto"/>
        </w:rPr>
        <w:t>.</w:t>
      </w:r>
    </w:p>
    <w:p>
      <w:pPr>
        <w:spacing w:after="0" w:line="10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During the Term of this Sublease, Subtenant shall be entitled to use those portions of the existing cabling in the Subleased Premises as may be necessary for Subtenant’s use of the Subleased Premises as general office space. The data cabling will be transferred from Sublandlord to Subtenant pursuant to the Bill of Sale referenced in Section 2(b) hereof.</w:t>
      </w:r>
    </w:p>
    <w:p>
      <w:pPr>
        <w:spacing w:after="0" w:line="70" w:lineRule="exact"/>
        <w:rPr>
          <w:sz w:val="20"/>
          <w:szCs w:val="20"/>
          <w:color w:val="auto"/>
        </w:rPr>
      </w:pPr>
    </w:p>
    <w:p>
      <w:pPr>
        <w:ind w:left="760" w:hanging="752"/>
        <w:spacing w:after="0"/>
        <w:tabs>
          <w:tab w:leader="none" w:pos="7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Parking; Common Areas; Fitness Center; Conference Center; CalTrain and BART Shuttles</w:t>
      </w:r>
      <w:r>
        <w:rPr>
          <w:rFonts w:ascii="Arial" w:cs="Arial" w:eastAsia="Arial" w:hAnsi="Arial"/>
          <w:sz w:val="18"/>
          <w:szCs w:val="18"/>
          <w:b w:val="1"/>
          <w:bCs w:val="1"/>
          <w:color w:val="auto"/>
        </w:rPr>
        <w:t>.</w:t>
      </w:r>
    </w:p>
    <w:p>
      <w:pPr>
        <w:spacing w:after="0" w:line="21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Subtenant shall have the use of Sublandlord’s unassigned parking (39 spaces) at no cost to Subtenant. Subtenant shall be afforded the same rights as Sublandlord under the Master Lease with respect to the Common Areas (as set forth in Section 2.2 of the Master Lease), Fitness Center (as set forth in Section 2.4 of the Master Lease), Conference Center (as set forth in Section 2.5 of the Master Lease), and the Sierra Point Shuttle Program (as set forth in Section 2.6 of the Master Lease).</w:t>
      </w:r>
    </w:p>
    <w:p>
      <w:pPr>
        <w:spacing w:after="0" w:line="76" w:lineRule="exact"/>
        <w:rPr>
          <w:sz w:val="20"/>
          <w:szCs w:val="20"/>
          <w:color w:val="auto"/>
        </w:rPr>
      </w:pPr>
    </w:p>
    <w:p>
      <w:pPr>
        <w:ind w:left="800" w:hanging="792"/>
        <w:spacing w:after="0"/>
        <w:tabs>
          <w:tab w:leader="none" w:pos="8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Incorporation of Lease</w:t>
      </w:r>
      <w:r>
        <w:rPr>
          <w:rFonts w:ascii="Arial" w:cs="Arial" w:eastAsia="Arial" w:hAnsi="Arial"/>
          <w:sz w:val="18"/>
          <w:szCs w:val="18"/>
          <w:b w:val="1"/>
          <w:bCs w:val="1"/>
          <w:color w:val="auto"/>
        </w:rPr>
        <w:t>.</w:t>
      </w:r>
    </w:p>
    <w:p>
      <w:pPr>
        <w:spacing w:after="0" w:line="216"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6"/>
          <w:szCs w:val="16"/>
          <w:color w:val="auto"/>
        </w:rPr>
        <w:t>This Sublease is and shall be at all times subject and subordinate to all of the terms, covenants and conditions of the Master Lease and to all of the rights of Landlord thereunder. Subtenant shall comply with all applicable provisions of the Master Lease and shall not take any action which would constitute a breach or violation of the Master Lease. Subtenant acknowledges that Landlord may enforce the Master Lease provisions directly against Subtenant in the event of any such any breach or violation thereof by Subtenant. Neither Sublandlord nor Subtenant shall commit or suffer any act or omission that will result in a violation of or a default under any of the provisions of the Master Lease. Sublandlord represents and warrants to Subtenant that as of the date hereof and as of the Commencement Date: (i) to Sublandlord’s best knowledge, no default exists on the part of Landlord or Sublandlord under the Master Lease, (ii) to Sublandlord’s best knowledge, there are no events which, with the passage of time, or the giving of notice, or both, would create a default under the Master Lease, (iii) it is the holder of the interest of the “Tenant” under the Master Lease with respect to the Subleased Premises and such interest has not previously been assigned, transferred or sublet, (iv) the Master Lease is in full force and effect, (v) it shall not amend the Master Lease in any manner that will increase any obligation or Subtenant or decrease any rights of Subtenant without Subtenant’s prior written consent, and (vi) it shall not voluntarily terminate the Master Lease or consent to any termination of the Master Lease during the Sublease Term except a termination resulting from casualty damage or condemnation or with Subtenant’s prior written consent. Sublandlord covenants that (a) it shall promptly provide Subtenant with copies of all notices of default sent or received by Sublandlord with respect to the Master Lease and (b) it shall not do anything or suffer or permit anything to be done which could result in a default under the Master Lease or permit the Master Lease to be cancelled or terminated.</w:t>
      </w:r>
    </w:p>
    <w:p>
      <w:pPr>
        <w:spacing w:after="0" w:line="171" w:lineRule="exact"/>
        <w:rPr>
          <w:sz w:val="20"/>
          <w:szCs w:val="20"/>
          <w:color w:val="auto"/>
        </w:rPr>
      </w:pPr>
    </w:p>
    <w:p>
      <w:pPr>
        <w:ind w:left="760" w:hanging="752"/>
        <w:spacing w:after="0"/>
        <w:tabs>
          <w:tab w:leader="none" w:pos="7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w:t>
      </w:r>
    </w:p>
    <w:p>
      <w:pPr>
        <w:spacing w:after="0" w:line="216"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6"/>
          <w:szCs w:val="16"/>
          <w:color w:val="auto"/>
        </w:rPr>
        <w:t>The terms, conditions and respective obligations of Sublandlord and Subtenant to each other under this Sublease shall be the terms and conditions of the Master Lease except for those provisions of the Master Lease which are directly contradicted by this Sublease, in which event the terms of this Sublease shall control over the Master Lease. Therefore, for the purposes of this Sublease, wherever in the Master Lease the word “Landlord” is used, it shall also be deemed to mean the Sublandlord herein (except to the extent such references impose an obligation upon Landlord, in which case same shall not refer to Sublandlord, and wherever in the Master Lease the word “Tenant” is used, it shall be deemed to mean the Subtenant herein (except to the extent such provision is not incorporated herein). Without limiting the terms and provisions of this Section 15, Subtenant acknowledges and agrees that Subtenant’s rights under this Sublease are as a subtenant only and that, Subtenant shall not enjoy or be entitled to exercise any of rights, including, but not limited to, rights which may be afforded to Sublandlord as the tenant under the Master Lease, including, but not limited to: (a) any right of early termination or of extension or renewal of the Master Lease; (b) any right of first offer or refusal under the Master Lease; (c) any expansion rights or options under the Master Lease; (d) any right of self-help or set-off under the Master Lease except as expressly set forth herein; or (e) any other rights or options pertaining to additional space in the Building; provided, however, in the event Sublandlord receives an abatement of rent under the Master Lease, Subtenant shall also be entitled to a proportionate abatement of rent hereunder to the extent that the abatement received by Sublandlord relates to the partial destruction of the Subleased Premises. Notwithstanding any statement to the contrary contained anywhere else in this Sublease, (i) if Sublandlord or Subtenant is obligated to indemnify the other, whether pursuant to the express terms of this Sublease or whether</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9" w:name="page110"/>
    <w:bookmarkEnd w:id="109"/>
    <w:p>
      <w:pPr>
        <w:jc w:val="both"/>
        <w:spacing w:after="0" w:line="255" w:lineRule="auto"/>
        <w:rPr>
          <w:sz w:val="20"/>
          <w:szCs w:val="20"/>
          <w:color w:val="auto"/>
        </w:rPr>
      </w:pPr>
      <w:r>
        <w:rPr>
          <w:rFonts w:ascii="Arial" w:cs="Arial" w:eastAsia="Arial" w:hAnsi="Arial"/>
          <w:sz w:val="17"/>
          <w:szCs w:val="17"/>
          <w:color w:val="auto"/>
        </w:rPr>
        <w:t>pursuant to the incorporation of terms from the Master Lease, the indemnifying party shall also be obligated to indemnify Landlord to the same extent and subject to the same limitations; (ii) if Subtenant is obligated to name Sublandlord as an additional insured or loss payee under Subtenant’s insurance policies, whether pursuant to the express terms of this Sublease or whether pursuant to the terms of the Master Lease that are incorporated herein, Subtenant shall also name Landlord as an additional insured or loss payee, as the case may be, subject to the same limitations or conditions, if any, that may apply with regard to Sublandlord; and (iii) if Landlord’s consent or approval is required under the Master Lease in a provision of the Master Lease that is incorporated into this Sublease, Subtenant must obtain the consent or approval of both Sublandlord and Landlord, the granting of which by Landlord shall be governed by the terms and conditions of the applicable Master Lease provision</w:t>
      </w:r>
    </w:p>
    <w:p>
      <w:pPr>
        <w:spacing w:after="0" w:line="68" w:lineRule="exact"/>
        <w:rPr>
          <w:sz w:val="20"/>
          <w:szCs w:val="20"/>
          <w:color w:val="auto"/>
        </w:rPr>
      </w:pPr>
    </w:p>
    <w:p>
      <w:pPr>
        <w:ind w:left="760" w:hanging="752"/>
        <w:spacing w:after="0"/>
        <w:tabs>
          <w:tab w:leader="none" w:pos="7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Default</w:t>
      </w:r>
      <w:r>
        <w:rPr>
          <w:rFonts w:ascii="Arial" w:cs="Arial" w:eastAsia="Arial" w:hAnsi="Arial"/>
          <w:sz w:val="18"/>
          <w:szCs w:val="18"/>
          <w:b w:val="1"/>
          <w:bCs w:val="1"/>
          <w:color w:val="auto"/>
        </w:rPr>
        <w:t>.</w:t>
      </w:r>
    </w:p>
    <w:p>
      <w:pPr>
        <w:spacing w:after="0" w:line="21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Notwithstanding anything to the contrary set forth in the Master Lease as incorporated into this Sublease, all time periods for a default (and associated notice and cure periods) hereunder by Subtenant shall be two (2) business days shorter than the applicable time periods for a default (and associated notice and cure periods) of Sublandlord under the Master Lease.</w:t>
      </w:r>
    </w:p>
    <w:p>
      <w:pPr>
        <w:spacing w:after="0" w:line="70" w:lineRule="exact"/>
        <w:rPr>
          <w:sz w:val="20"/>
          <w:szCs w:val="20"/>
          <w:color w:val="auto"/>
        </w:rPr>
      </w:pPr>
    </w:p>
    <w:p>
      <w:pPr>
        <w:ind w:left="760" w:hanging="752"/>
        <w:spacing w:after="0"/>
        <w:tabs>
          <w:tab w:leader="none" w:pos="7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Default by Landlord or Sublandlord</w:t>
      </w:r>
      <w:r>
        <w:rPr>
          <w:rFonts w:ascii="Arial" w:cs="Arial" w:eastAsia="Arial" w:hAnsi="Arial"/>
          <w:sz w:val="18"/>
          <w:szCs w:val="18"/>
          <w:b w:val="1"/>
          <w:bCs w:val="1"/>
          <w:color w:val="auto"/>
        </w:rPr>
        <w:t>.</w:t>
      </w: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Subtenant acknowledges and agrees that: (a) Sublandlord shall not be liable or responsible for any breach or default by Landlord of any of the covenants or obligations of Landlord under the Master Lease; and (b) no such breach or default by Landlord shall constitute a default by Sublandlord under this Sublease or subject Sublandlord to any liability to Subtenant for damages or otherwise, in each case unless and only to the extent that such default is a result of Sublandlord’s failure to comply with its obligations under this Sublease or under the Master Lease that is not caused by a default of Subtenant hereunder; provided, however, that if Sublandlord shall receive an abatement of or credit to Rent with respect to the Premises pursuant to the Master Lease allocable to the Sublease Term, Subtenant shall receive a corresponding abatement or credit hereunder. If Landlord shall default in the performance of any of its obligations under the Master Lease, Sublandlord agrees, for Subtenant’s benefit, upon Subtenant’s written request, to undertake such lawful action as may be reasonably requested and commercially reasonable with respect to the Master Lease and to cause Landlord to comply with its obligations and cure its default under the Master Lease to the extent related to the Sublease Premises, provided that Sublandlord shall not be required to commence legal proceedings against Landlord with respect thereto unless Subtenant agrees to be solely responsible for all costs and expenses of such proceedings. Sublandlord further agrees that whenever the consent of Landlord is required under the terms of the Master Lease with respect to any action required to be taken by Subtenant under this Sublease, Sublandlord shall take commercially reasonable efforts to promptly obtain the consent of Landlord to the taking of such action. Sublandlord hereby covenants and agrees to promptly deliver to Subtenant copies of any and all notices or other correspondence received by Sublandlord from Landlord that might affect Subtenant in any manner.</w:t>
      </w:r>
    </w:p>
    <w:p>
      <w:pPr>
        <w:spacing w:after="0" w:line="373" w:lineRule="exact"/>
        <w:rPr>
          <w:sz w:val="20"/>
          <w:szCs w:val="20"/>
          <w:color w:val="auto"/>
        </w:rPr>
      </w:pPr>
    </w:p>
    <w:p>
      <w:pPr>
        <w:ind w:left="760" w:hanging="752"/>
        <w:spacing w:after="0"/>
        <w:tabs>
          <w:tab w:leader="none" w:pos="7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Default by Subtenant</w:t>
      </w: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 xml:space="preserve">Subtenant shall </w:t>
      </w:r>
      <w:r>
        <w:rPr>
          <w:rFonts w:ascii="Arial" w:cs="Arial" w:eastAsia="Arial" w:hAnsi="Arial"/>
          <w:sz w:val="16"/>
          <w:szCs w:val="16"/>
          <w:color w:val="333333"/>
        </w:rPr>
        <w:t>do nothing that will subject the Master Lease or this Sublease to termination by Landlord and Sublandlord, respectively, under the</w:t>
      </w:r>
      <w:r>
        <w:rPr>
          <w:rFonts w:ascii="Arial" w:cs="Arial" w:eastAsia="Arial" w:hAnsi="Arial"/>
          <w:sz w:val="16"/>
          <w:szCs w:val="16"/>
          <w:color w:val="auto"/>
        </w:rPr>
        <w:t xml:space="preserve"> </w:t>
      </w:r>
      <w:r>
        <w:rPr>
          <w:rFonts w:ascii="Arial" w:cs="Arial" w:eastAsia="Arial" w:hAnsi="Arial"/>
          <w:sz w:val="16"/>
          <w:szCs w:val="16"/>
          <w:color w:val="333333"/>
        </w:rPr>
        <w:t>provisions of the Master Lease or the Sublease. If there is an Event of Default on the part of Subtenant under the Master Lease and/or Sublease, Landlord and/or Sublandlord shall be entitled, but not obligated, to cure such default on behalf of and for the account of Subtenant following five days’ written notice to Subtenant (other than in the case of a payment of money in which case no notice shall be required prior to Landlord and Sublandlord curing such default), in which case all damages and expenses, including without limitation reasonable attorneys' fees, incurred by Landlord and/or Sublandlord in connection with such cure together with interest thereon until paid at the maximum rate permitted under applicable law, shall be paid by Subtenant to Landlord and/or Sublandlord, as applicable, immediately upon Landlord and/or Sublandlord’s demand therefor. By so curing any such default of Subtenant on behalf of and for the account of Subtenant, neither Landlord nor Sublandlord shall not be deemed to have waived any of its/their rights or released Subtenant from any of its obligations under this Sublease. Landlord and/or Subtenant shall, however, also be entitled to cure such default on its/their own</w:t>
      </w:r>
    </w:p>
    <w:p>
      <w:pPr>
        <w:spacing w:after="0" w:line="1"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333333"/>
        </w:rPr>
        <w:t>account to preserve its/their interest in and under the Master Lease and/or Sublease, and may terminate this Sublease by reason of such default of Subtenant if Subtenant does not pay to Landlord and/or Tenant, as applicable, all damages and expenses, including without limitation reasonable attorneys' fees,</w:t>
      </w:r>
    </w:p>
    <w:p>
      <w:pPr>
        <w:spacing w:after="0" w:line="1"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333333"/>
        </w:rPr>
        <w:t>incurred by Landlord and/or Sublandlord in connection with such cure, together with interest thereon until paid at the maximum rate permitted under applicable law, within ten</w:t>
      </w:r>
    </w:p>
    <w:p>
      <w:pPr>
        <w:spacing w:after="0" w:line="5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0" w:name="page111"/>
    <w:bookmarkEnd w:id="110"/>
    <w:p>
      <w:pPr>
        <w:jc w:val="both"/>
        <w:ind w:firstLine="8"/>
        <w:spacing w:after="0" w:line="294" w:lineRule="auto"/>
        <w:tabs>
          <w:tab w:leader="none" w:pos="356" w:val="left"/>
        </w:tabs>
        <w:numPr>
          <w:ilvl w:val="0"/>
          <w:numId w:val="79"/>
        </w:numPr>
        <w:rPr>
          <w:rFonts w:ascii="Arial" w:cs="Arial" w:eastAsia="Arial" w:hAnsi="Arial"/>
          <w:sz w:val="16"/>
          <w:szCs w:val="16"/>
          <w:color w:val="333333"/>
        </w:rPr>
      </w:pPr>
      <w:r>
        <w:rPr>
          <w:rFonts w:ascii="Arial" w:cs="Arial" w:eastAsia="Arial" w:hAnsi="Arial"/>
          <w:sz w:val="16"/>
          <w:szCs w:val="16"/>
          <w:color w:val="333333"/>
        </w:rPr>
        <w:t>days after demand therefor. In the event that the Master Lease is terminated by Landlord, or the Sublease is terminated by Sublandlord by reason of Subtenant's default, Subtenant shall indemnify Landlord and Sublandlord respectively against, and hold Landlord and/or Sublandlord harmless from, all damages and expenses that Landlord and/or Sublandlord may become liable to pay under the Master Lease resulting from such default.</w:t>
      </w:r>
    </w:p>
    <w:p>
      <w:pPr>
        <w:spacing w:after="0" w:line="346" w:lineRule="exact"/>
        <w:rPr>
          <w:sz w:val="20"/>
          <w:szCs w:val="20"/>
          <w:color w:val="auto"/>
        </w:rPr>
      </w:pPr>
    </w:p>
    <w:p>
      <w:pPr>
        <w:ind w:left="760" w:hanging="752"/>
        <w:spacing w:after="0"/>
        <w:tabs>
          <w:tab w:leader="none" w:pos="7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Liability of Sublandlord</w:t>
      </w:r>
      <w:r>
        <w:rPr>
          <w:rFonts w:ascii="Arial" w:cs="Arial" w:eastAsia="Arial" w:hAnsi="Arial"/>
          <w:sz w:val="18"/>
          <w:szCs w:val="18"/>
          <w:b w:val="1"/>
          <w:bCs w:val="1"/>
          <w:color w:val="auto"/>
        </w:rPr>
        <w:t>.</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Provided that Subtenant shall faithfully and timely perform each and every obligation of Subtenant under this Sublease, Sublandlord shall faithfully and timely perform each and every obligation of “Tenant” under the Master Lease including the obligation to pay the full amount of Rent reserved thereunder, and all repair obligations, all insurance obligations, all obligations to pay utility charges and taxes, and all indemnification obligations of Sublandlord under the Master Lease, and any liability accruing from failure to timely perform an obligation not assumed by Subtenant hereunder. If Sublandlord defaults under the Master Lease, and the default does not relate to the Subleased Premises or to the acts or omissions of Subtenant, or its employees, agents, contractors, invitees, customers, clients or representatives, and Subtenant gives Sublandlord written notice of the same, then Sublandlord shall promptly and timely cure any default under the Master Lease so notified, and shall provide written confirmation to Subtenant of the actions taken to cure such default. If at any time Sublandlord has failed to pay any Rent due under the terms of the Master Lease, Sublandlord shall immediately notify Subtenant and Subtenant may thereafter remit such Rent directly to Landlord until such time as Sublandlord has cured all defaults with Landlord. Sublandlord shall not be deemed to be in default under this Sublease unless Sublandlord fails to perform the obligations required of Sublandlord within fifteen (15) days after receipt of a written notice from Subtenant identifying the details of the alleged default. Subtenant shall have no right to offset any damages against Rent or other amounts due to Sublandlord hereunder; provided, however, that the aforementioned notice and cure period shall not apply (and it shall be considered an immediate default hereunder) in the event Sublandlord fails to pay to Landlord any amount required to be paid by Sublandlord under the Master Lease.</w:t>
      </w:r>
    </w:p>
    <w:p>
      <w:pPr>
        <w:spacing w:after="0" w:line="56" w:lineRule="exact"/>
        <w:rPr>
          <w:sz w:val="20"/>
          <w:szCs w:val="20"/>
          <w:color w:val="auto"/>
        </w:rPr>
      </w:pPr>
    </w:p>
    <w:p>
      <w:pPr>
        <w:ind w:left="760" w:hanging="752"/>
        <w:spacing w:after="0"/>
        <w:tabs>
          <w:tab w:leader="none" w:pos="7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Insurance</w:t>
      </w:r>
      <w:r>
        <w:rPr>
          <w:rFonts w:ascii="Arial" w:cs="Arial" w:eastAsia="Arial" w:hAnsi="Arial"/>
          <w:sz w:val="18"/>
          <w:szCs w:val="18"/>
          <w:b w:val="1"/>
          <w:bCs w:val="1"/>
          <w:color w:val="auto"/>
        </w:rPr>
        <w:t>.</w:t>
      </w:r>
    </w:p>
    <w:p>
      <w:pPr>
        <w:spacing w:after="0" w:line="216" w:lineRule="exact"/>
        <w:rPr>
          <w:sz w:val="20"/>
          <w:szCs w:val="20"/>
          <w:color w:val="auto"/>
        </w:rPr>
      </w:pPr>
    </w:p>
    <w:p>
      <w:pPr>
        <w:ind w:firstLine="749"/>
        <w:spacing w:after="0" w:line="324" w:lineRule="auto"/>
        <w:rPr>
          <w:sz w:val="20"/>
          <w:szCs w:val="20"/>
          <w:color w:val="auto"/>
        </w:rPr>
      </w:pPr>
      <w:r>
        <w:rPr>
          <w:rFonts w:ascii="Arial" w:cs="Arial" w:eastAsia="Arial" w:hAnsi="Arial"/>
          <w:sz w:val="16"/>
          <w:szCs w:val="16"/>
          <w:color w:val="auto"/>
        </w:rPr>
        <w:t>Subtenant shall comply with the insurance requirements set forth in the Master Lease with respect to the Subleased Premises, including, without limitation, maintenance of insurance for the Subleased Premises in accordance with the applicable terms and conditions set forth in the Master Lease.</w:t>
      </w:r>
    </w:p>
    <w:p>
      <w:pPr>
        <w:spacing w:after="0" w:line="66" w:lineRule="exact"/>
        <w:rPr>
          <w:sz w:val="20"/>
          <w:szCs w:val="20"/>
          <w:color w:val="auto"/>
        </w:rPr>
      </w:pPr>
    </w:p>
    <w:p>
      <w:pPr>
        <w:ind w:left="760" w:hanging="752"/>
        <w:spacing w:after="0"/>
        <w:tabs>
          <w:tab w:leader="none" w:pos="7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w:t>
      </w:r>
    </w:p>
    <w:p>
      <w:pPr>
        <w:spacing w:after="0" w:line="161" w:lineRule="exact"/>
        <w:rPr>
          <w:rFonts w:ascii="Arial" w:cs="Arial" w:eastAsia="Arial" w:hAnsi="Arial"/>
          <w:sz w:val="18"/>
          <w:szCs w:val="18"/>
          <w:b w:val="1"/>
          <w:bCs w:val="1"/>
          <w:color w:val="auto"/>
        </w:rPr>
      </w:pPr>
    </w:p>
    <w:p>
      <w:pPr>
        <w:jc w:val="both"/>
        <w:ind w:left="76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This Sublease, and any Exhibits attached hereto and the Master Lease, which is incorporated herein by reference, constitute the entire agreement between Sublandlord and Subtenant with respect to the Subleased Premises and may not be amended or altered except by written agreement executed by both parties.</w:t>
      </w:r>
    </w:p>
    <w:p>
      <w:pPr>
        <w:spacing w:after="0" w:line="123" w:lineRule="exact"/>
        <w:rPr>
          <w:rFonts w:ascii="Arial" w:cs="Arial" w:eastAsia="Arial" w:hAnsi="Arial"/>
          <w:sz w:val="18"/>
          <w:szCs w:val="18"/>
          <w:b w:val="1"/>
          <w:bCs w:val="1"/>
          <w:color w:val="auto"/>
        </w:rPr>
      </w:pPr>
    </w:p>
    <w:p>
      <w:pPr>
        <w:ind w:left="760" w:hanging="752"/>
        <w:spacing w:after="0"/>
        <w:tabs>
          <w:tab w:leader="none" w:pos="7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on Successors</w:t>
      </w:r>
      <w:r>
        <w:rPr>
          <w:rFonts w:ascii="Arial" w:cs="Arial" w:eastAsia="Arial" w:hAnsi="Arial"/>
          <w:sz w:val="18"/>
          <w:szCs w:val="18"/>
          <w:b w:val="1"/>
          <w:bCs w:val="1"/>
          <w:color w:val="auto"/>
        </w:rPr>
        <w:t>.</w:t>
      </w:r>
    </w:p>
    <w:p>
      <w:pPr>
        <w:spacing w:after="0" w:line="162"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Subject to the restrictions on assignment set forth in Section 11 above, this Sublease shall bind the parties’ heirs, successors, representatives and permitted assigns.</w:t>
      </w:r>
    </w:p>
    <w:p>
      <w:pPr>
        <w:spacing w:after="0" w:line="113" w:lineRule="exact"/>
        <w:rPr>
          <w:sz w:val="20"/>
          <w:szCs w:val="20"/>
          <w:color w:val="auto"/>
        </w:rPr>
      </w:pPr>
    </w:p>
    <w:p>
      <w:pPr>
        <w:ind w:left="360" w:hanging="352"/>
        <w:spacing w:after="0"/>
        <w:tabs>
          <w:tab w:leader="none" w:pos="3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Brokerage Commissions</w:t>
      </w:r>
      <w:r>
        <w:rPr>
          <w:rFonts w:ascii="Arial" w:cs="Arial" w:eastAsia="Arial" w:hAnsi="Arial"/>
          <w:sz w:val="18"/>
          <w:szCs w:val="18"/>
          <w:b w:val="1"/>
          <w:bCs w:val="1"/>
          <w:color w:val="auto"/>
        </w:rPr>
        <w:t>.</w:t>
      </w:r>
    </w:p>
    <w:p>
      <w:pPr>
        <w:spacing w:after="0" w:line="16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 xml:space="preserve">Sublandlord and Subtenant each represent to the other that they have dealt only with real estate brokers or agents in connection with the negotiation of this lease, as identified in </w:t>
      </w:r>
      <w:r>
        <w:rPr>
          <w:rFonts w:ascii="Arial" w:cs="Arial" w:eastAsia="Arial" w:hAnsi="Arial"/>
          <w:sz w:val="17"/>
          <w:szCs w:val="17"/>
          <w:i w:val="1"/>
          <w:iCs w:val="1"/>
          <w:color w:val="auto"/>
        </w:rPr>
        <w:t>Item 12</w:t>
      </w:r>
      <w:r>
        <w:rPr>
          <w:rFonts w:ascii="Arial" w:cs="Arial" w:eastAsia="Arial" w:hAnsi="Arial"/>
          <w:sz w:val="17"/>
          <w:szCs w:val="17"/>
          <w:color w:val="auto"/>
        </w:rPr>
        <w:t xml:space="preserve"> of the Basic Sublease Provisions, and that they know of no other real estate broker or agent who is or might be entitled to a commission in connection with this Sublease. Sublandlord shall be responsible for the payment of a brokerage commission to Broker in connection with this Sublease pursuant to a separate agreement. Sublandlord and Subtenant each shall indemnify and hold each other harmless from any loss, liability, damage, or expense (including without limitation reasonable attorneys’ fees) arising from any claim for a commission or leasing fee arising out of this transaction made by any unidentified broker or other person with whom such party has dealt.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1" w:name="page112"/>
    <w:bookmarkEnd w:id="111"/>
    <w:p>
      <w:pPr>
        <w:ind w:left="420" w:hanging="412"/>
        <w:spacing w:after="0"/>
        <w:tabs>
          <w:tab w:leader="none" w:pos="42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162" w:lineRule="exact"/>
        <w:rPr>
          <w:sz w:val="20"/>
          <w:szCs w:val="20"/>
          <w:color w:val="auto"/>
        </w:rPr>
      </w:pPr>
    </w:p>
    <w:p>
      <w:pPr>
        <w:ind w:right="360" w:firstLine="749"/>
        <w:spacing w:after="0" w:line="261" w:lineRule="auto"/>
        <w:rPr>
          <w:sz w:val="20"/>
          <w:szCs w:val="20"/>
          <w:color w:val="auto"/>
        </w:rPr>
      </w:pPr>
      <w:r>
        <w:rPr>
          <w:rFonts w:ascii="Arial" w:cs="Arial" w:eastAsia="Arial" w:hAnsi="Arial"/>
          <w:sz w:val="18"/>
          <w:szCs w:val="18"/>
          <w:color w:val="auto"/>
        </w:rPr>
        <w:t>The invalidity of any provision of this Sublease, as determined by a court of competent jurisdiction, shall in no way affect the validity of any other provision hereof.</w:t>
      </w:r>
    </w:p>
    <w:p>
      <w:pPr>
        <w:spacing w:after="0" w:line="113" w:lineRule="exact"/>
        <w:rPr>
          <w:sz w:val="20"/>
          <w:szCs w:val="20"/>
          <w:color w:val="auto"/>
        </w:rPr>
      </w:pPr>
    </w:p>
    <w:p>
      <w:pPr>
        <w:ind w:left="360" w:hanging="352"/>
        <w:spacing w:after="0"/>
        <w:tabs>
          <w:tab w:leader="none" w:pos="3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364" w:lineRule="exact"/>
        <w:rPr>
          <w:rFonts w:ascii="Arial" w:cs="Arial" w:eastAsia="Arial" w:hAnsi="Arial"/>
          <w:sz w:val="18"/>
          <w:szCs w:val="18"/>
          <w:b w:val="1"/>
          <w:bCs w:val="1"/>
          <w:color w:val="auto"/>
        </w:rPr>
      </w:pPr>
    </w:p>
    <w:p>
      <w:pPr>
        <w:ind w:firstLine="757"/>
        <w:spacing w:after="0" w:line="261" w:lineRule="auto"/>
        <w:tabs>
          <w:tab w:leader="none" w:pos="1498"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Rules and Regulations</w:t>
      </w:r>
      <w:r>
        <w:rPr>
          <w:rFonts w:ascii="Arial" w:cs="Arial" w:eastAsia="Arial" w:hAnsi="Arial"/>
          <w:sz w:val="18"/>
          <w:szCs w:val="18"/>
          <w:color w:val="auto"/>
        </w:rPr>
        <w:t>. Subtenant agrees to comply with all rules and regulations of the Building imposed by Landlord attached hereto, as the same may be changed from time to time upon reasonable notice to Sublandlord and Subtenant.</w:t>
      </w:r>
    </w:p>
    <w:p>
      <w:pPr>
        <w:spacing w:after="0" w:line="157" w:lineRule="exact"/>
        <w:rPr>
          <w:rFonts w:ascii="Arial" w:cs="Arial" w:eastAsia="Arial" w:hAnsi="Arial"/>
          <w:sz w:val="18"/>
          <w:szCs w:val="18"/>
          <w:color w:val="auto"/>
        </w:rPr>
      </w:pPr>
    </w:p>
    <w:p>
      <w:pPr>
        <w:jc w:val="both"/>
        <w:ind w:firstLine="757"/>
        <w:spacing w:after="0" w:line="248" w:lineRule="auto"/>
        <w:tabs>
          <w:tab w:leader="none" w:pos="1498"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Upon Sublandlord’s written request, Subtenant shall promptly furnish Sublandlord, from time to time, with the most current audited financial statements prepared in accordance with generally accepted accounting principles, certified by Subtenant and an independent auditor to be true and correct, reflecting Subtenant’s then current financial condition.</w:t>
      </w:r>
    </w:p>
    <w:p>
      <w:pPr>
        <w:spacing w:after="0" w:line="181" w:lineRule="exact"/>
        <w:rPr>
          <w:rFonts w:ascii="Arial" w:cs="Arial" w:eastAsia="Arial" w:hAnsi="Arial"/>
          <w:sz w:val="18"/>
          <w:szCs w:val="18"/>
          <w:color w:val="auto"/>
        </w:rPr>
      </w:pPr>
    </w:p>
    <w:p>
      <w:pPr>
        <w:jc w:val="both"/>
        <w:ind w:firstLine="757"/>
        <w:spacing w:after="0" w:line="272" w:lineRule="auto"/>
        <w:tabs>
          <w:tab w:leader="none" w:pos="1498"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Force Majeure</w:t>
      </w:r>
      <w:r>
        <w:rPr>
          <w:rFonts w:ascii="Arial" w:cs="Arial" w:eastAsia="Arial" w:hAnsi="Arial"/>
          <w:sz w:val="16"/>
          <w:szCs w:val="16"/>
          <w:color w:val="auto"/>
        </w:rPr>
        <w:t>. Any prevention, delay or stoppage due to strikes, lockouts, labor disputes, acts of God, acts of war, terrorism, terrorist activities, inability to obtain services, labor, or materials or reasonable substitutes therefore, governmental actions, civil commotions, fire, flood, earthquake or other casualty, or any restrictions, shutdowns, closures, or shortages related to Covid-19 or any similar viruses, epidemics or pandemics and other causes beyond the reasonable control of the party obligated to perform, except with respect to the obligations imposed with regard to Rent and other charges to be paid by Tenant pursuant to this Sublease (collectively, a “</w:t>
      </w:r>
      <w:r>
        <w:rPr>
          <w:rFonts w:ascii="Arial" w:cs="Arial" w:eastAsia="Arial" w:hAnsi="Arial"/>
          <w:sz w:val="16"/>
          <w:szCs w:val="16"/>
          <w:u w:val="single" w:color="auto"/>
          <w:color w:val="auto"/>
        </w:rPr>
        <w:t>Force Majeure</w:t>
      </w:r>
      <w:r>
        <w:rPr>
          <w:rFonts w:ascii="Arial" w:cs="Arial" w:eastAsia="Arial" w:hAnsi="Arial"/>
          <w:sz w:val="16"/>
          <w:szCs w:val="16"/>
          <w:color w:val="auto"/>
        </w:rPr>
        <w:t>”), notwithstanding anything to the contrary contained in this Sublease,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 For clarity, in no event will any force majeure event excuse the Subtenant’s obligation to pay Rent or other amounts under the Sublease.</w:t>
      </w:r>
    </w:p>
    <w:p>
      <w:pPr>
        <w:spacing w:after="0" w:line="167" w:lineRule="exact"/>
        <w:rPr>
          <w:rFonts w:ascii="Arial" w:cs="Arial" w:eastAsia="Arial" w:hAnsi="Arial"/>
          <w:sz w:val="16"/>
          <w:szCs w:val="16"/>
          <w:color w:val="auto"/>
        </w:rPr>
      </w:pPr>
    </w:p>
    <w:p>
      <w:pPr>
        <w:ind w:firstLine="757"/>
        <w:spacing w:after="0" w:line="261" w:lineRule="auto"/>
        <w:tabs>
          <w:tab w:leader="none" w:pos="1498"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Sublease Lease may be executed in several counterparts, each of which shall be deemed an original, and all of which shall constitute but one and the same instrument.</w:t>
      </w:r>
    </w:p>
    <w:p>
      <w:pPr>
        <w:spacing w:after="0" w:line="166" w:lineRule="exact"/>
        <w:rPr>
          <w:rFonts w:ascii="Arial" w:cs="Arial" w:eastAsia="Arial" w:hAnsi="Arial"/>
          <w:sz w:val="18"/>
          <w:szCs w:val="18"/>
          <w:color w:val="auto"/>
        </w:rPr>
      </w:pPr>
    </w:p>
    <w:p>
      <w:pPr>
        <w:ind w:left="1500" w:hanging="743"/>
        <w:spacing w:after="0"/>
        <w:tabs>
          <w:tab w:leader="none" w:pos="1500"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Waiver of Right to Jury Trial</w:t>
      </w:r>
      <w:r>
        <w:rPr>
          <w:rFonts w:ascii="Arial" w:cs="Arial" w:eastAsia="Arial" w:hAnsi="Arial"/>
          <w:sz w:val="18"/>
          <w:szCs w:val="18"/>
          <w:b w:val="1"/>
          <w:bCs w:val="1"/>
          <w:color w:val="auto"/>
        </w:rPr>
        <w:t>. SUBLANDLORD AND SUBTENANT WAIVE THEIR RESPECTIVE RIGHTS TO TRIAL BY</w:t>
      </w:r>
    </w:p>
    <w:p>
      <w:pPr>
        <w:spacing w:after="0" w:line="15" w:lineRule="exact"/>
        <w:rPr>
          <w:rFonts w:ascii="Arial" w:cs="Arial" w:eastAsia="Arial" w:hAnsi="Arial"/>
          <w:sz w:val="18"/>
          <w:szCs w:val="18"/>
          <w:color w:val="auto"/>
        </w:rPr>
      </w:pPr>
    </w:p>
    <w:p>
      <w:pPr>
        <w:jc w:val="both"/>
        <w:spacing w:after="0" w:line="237" w:lineRule="auto"/>
        <w:rPr>
          <w:rFonts w:ascii="Arial" w:cs="Arial" w:eastAsia="Arial" w:hAnsi="Arial"/>
          <w:sz w:val="18"/>
          <w:szCs w:val="18"/>
          <w:color w:val="auto"/>
        </w:rPr>
      </w:pPr>
      <w:r>
        <w:rPr>
          <w:rFonts w:ascii="Arial" w:cs="Arial" w:eastAsia="Arial" w:hAnsi="Arial"/>
          <w:sz w:val="18"/>
          <w:szCs w:val="18"/>
          <w:b w:val="1"/>
          <w:bCs w:val="1"/>
          <w:color w:val="auto"/>
        </w:rPr>
        <w:t>JURY OF ANY CONTRACT OR TORT CLAIM, COUNTERCLAIM, CROSS-COMPLAINT, OR CAUSE OF ACTION IN ANY ACTION, PROCEEDING, OR HEARING BROUGHT BY EITHER PARTY AGAINST THE OTHER ON ANY MATTER ARISING OUT OF OR IN ANY WAY CONNECTED WITH THIS SUBLEASE, THE RELATIONSHIP OF SUBLANDLORD AND SUBTENANT, OR SUBTENANT’S USE OR OCCUPANCY OF THE LEASED PREMISES, INCLUDING WITHOUT LIMITATION ANY CLAIM OF INJURY OR DAMAGE OR THE ENFORCEMENT OF ANY REMEDY UNDER ANY CURRENT OR FUTURE LAW, STATUTE, REGULATION, CODE, OR ORDINANCE.</w:t>
      </w:r>
    </w:p>
    <w:p>
      <w:pPr>
        <w:spacing w:after="0" w:line="190" w:lineRule="exact"/>
        <w:rPr>
          <w:rFonts w:ascii="Arial" w:cs="Arial" w:eastAsia="Arial" w:hAnsi="Arial"/>
          <w:sz w:val="18"/>
          <w:szCs w:val="18"/>
          <w:color w:val="auto"/>
        </w:rPr>
      </w:pPr>
    </w:p>
    <w:p>
      <w:pPr>
        <w:jc w:val="both"/>
        <w:ind w:firstLine="757"/>
        <w:spacing w:after="0"/>
        <w:tabs>
          <w:tab w:leader="none" w:pos="1498"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Conflict of Laws; Prior Agreements; Separability</w:t>
      </w:r>
      <w:r>
        <w:rPr>
          <w:rFonts w:ascii="Arial" w:cs="Arial" w:eastAsia="Arial" w:hAnsi="Arial"/>
          <w:sz w:val="18"/>
          <w:szCs w:val="18"/>
          <w:color w:val="auto"/>
        </w:rPr>
        <w:t>. This Sublease shall be governed by and construed pursuant to the laws of the State of California. This Sublease contains all of the agreements of the parties hereto with respect to any matter covered or mentioned in this Sublease. No prior agreement, understanding or representation pertaining to any such matter shall be effective for any purpose. No provision of this Sublease may be amended or added to except by an agreement in writing signed by the parties hereto or their respective successors in interest. The illegality, invalidity or unenforceability of any provision of this Sublease shall in no way impair or invalidate any other provision of this Sublease, and such remaining provisions shall remain in full force and effect.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color w:val="auto"/>
        </w:rPr>
        <w:t>IN WITNESS WHEREOF, the parties have executed this Sublease to be effective as of the Effective Date of this Sublease.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SUBLANDLORD</w:t>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SUBTENANT</w:t>
      </w:r>
      <w:r>
        <w:rPr>
          <w:rFonts w:ascii="Arial" w:cs="Arial" w:eastAsia="Arial" w:hAnsi="Arial"/>
          <w:sz w:val="17"/>
          <w:szCs w:val="17"/>
          <w:b w:val="1"/>
          <w:bCs w:val="1"/>
          <w:color w:val="auto"/>
        </w:rPr>
        <w:t>”:</w:t>
      </w:r>
    </w:p>
    <w:p>
      <w:pPr>
        <w:spacing w:after="0" w:line="144"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b w:val="1"/>
          <w:bCs w:val="1"/>
          <w:color w:val="auto"/>
        </w:rPr>
        <w:t>AIRCRAFT TECHNICAL PUBLISHERS</w:t>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DAY ONE BIOPHARMACEUTICALS,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6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2600" w:type="dxa"/>
            <w:vAlign w:val="bottom"/>
          </w:tcPr>
          <w:p>
            <w:pPr>
              <w:ind w:left="1980"/>
              <w:spacing w:after="0"/>
              <w:rPr>
                <w:sz w:val="20"/>
                <w:szCs w:val="20"/>
                <w:color w:val="auto"/>
              </w:rPr>
            </w:pPr>
            <w:r>
              <w:rPr>
                <w:rFonts w:ascii="Arial" w:cs="Arial" w:eastAsia="Arial" w:hAnsi="Arial"/>
                <w:sz w:val="18"/>
                <w:szCs w:val="18"/>
                <w:b w:val="1"/>
                <w:bCs w:val="1"/>
                <w:color w:val="auto"/>
              </w:rPr>
              <w:t>By:</w:t>
            </w:r>
          </w:p>
        </w:tc>
        <w:tc>
          <w:tcPr>
            <w:tcW w:w="30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 Charles York</w:t>
            </w:r>
          </w:p>
        </w:tc>
        <w:tc>
          <w:tcPr>
            <w:tcW w:w="0" w:type="dxa"/>
            <w:vAlign w:val="bottom"/>
          </w:tcPr>
          <w:p>
            <w:pPr>
              <w:spacing w:after="0"/>
              <w:rPr>
                <w:sz w:val="1"/>
                <w:szCs w:val="1"/>
                <w:color w:val="auto"/>
              </w:rPr>
            </w:pPr>
          </w:p>
        </w:tc>
      </w:tr>
      <w:tr>
        <w:trPr>
          <w:trHeight w:val="176"/>
        </w:trPr>
        <w:tc>
          <w:tcPr>
            <w:tcW w:w="3640" w:type="dxa"/>
            <w:vAlign w:val="bottom"/>
          </w:tcPr>
          <w:p>
            <w:pPr>
              <w:ind w:left="40"/>
              <w:spacing w:after="0" w:line="176" w:lineRule="exact"/>
              <w:rPr>
                <w:sz w:val="20"/>
                <w:szCs w:val="20"/>
                <w:color w:val="auto"/>
              </w:rPr>
            </w:pPr>
            <w:r>
              <w:rPr>
                <w:rFonts w:ascii="Arial" w:cs="Arial" w:eastAsia="Arial" w:hAnsi="Arial"/>
                <w:sz w:val="18"/>
                <w:szCs w:val="18"/>
                <w:b w:val="1"/>
                <w:bCs w:val="1"/>
                <w:color w:val="auto"/>
              </w:rPr>
              <w:t>/s/ Norm Happ, CEO</w:t>
            </w:r>
          </w:p>
        </w:tc>
        <w:tc>
          <w:tcPr>
            <w:tcW w:w="2600" w:type="dxa"/>
            <w:vAlign w:val="bottom"/>
          </w:tcPr>
          <w:p>
            <w:pPr>
              <w:ind w:left="1980"/>
              <w:spacing w:after="0" w:line="176" w:lineRule="exact"/>
              <w:rPr>
                <w:sz w:val="20"/>
                <w:szCs w:val="20"/>
                <w:color w:val="auto"/>
              </w:rPr>
            </w:pPr>
            <w:r>
              <w:rPr>
                <w:rFonts w:ascii="Arial" w:cs="Arial" w:eastAsia="Arial" w:hAnsi="Arial"/>
                <w:sz w:val="18"/>
                <w:szCs w:val="18"/>
                <w:b w:val="1"/>
                <w:bCs w:val="1"/>
                <w:color w:val="auto"/>
              </w:rPr>
              <w:t>Name:</w:t>
            </w:r>
          </w:p>
        </w:tc>
        <w:tc>
          <w:tcPr>
            <w:tcW w:w="3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2600" w:type="dxa"/>
            <w:vAlign w:val="bottom"/>
          </w:tcPr>
          <w:p>
            <w:pPr>
              <w:ind w:left="1980"/>
              <w:spacing w:after="0"/>
              <w:rPr>
                <w:sz w:val="20"/>
                <w:szCs w:val="20"/>
                <w:color w:val="auto"/>
              </w:rPr>
            </w:pPr>
            <w:r>
              <w:rPr>
                <w:rFonts w:ascii="Arial" w:cs="Arial" w:eastAsia="Arial" w:hAnsi="Arial"/>
                <w:sz w:val="18"/>
                <w:szCs w:val="18"/>
                <w:b w:val="1"/>
                <w:bCs w:val="1"/>
                <w:color w:val="auto"/>
              </w:rPr>
              <w:t>Title:</w:t>
            </w:r>
          </w:p>
        </w:tc>
        <w:tc>
          <w:tcPr>
            <w:tcW w:w="3040" w:type="dxa"/>
            <w:vAlign w:val="bottom"/>
          </w:tcPr>
          <w:p>
            <w:pPr>
              <w:ind w:left="100"/>
              <w:spacing w:after="0"/>
              <w:rPr>
                <w:sz w:val="20"/>
                <w:szCs w:val="20"/>
                <w:color w:val="auto"/>
              </w:rPr>
            </w:pPr>
            <w:r>
              <w:rPr>
                <w:rFonts w:ascii="Arial" w:cs="Arial" w:eastAsia="Arial" w:hAnsi="Arial"/>
                <w:sz w:val="18"/>
                <w:szCs w:val="18"/>
                <w:b w:val="1"/>
                <w:bCs w:val="1"/>
                <w:color w:val="auto"/>
                <w:w w:val="91"/>
              </w:rPr>
              <w:t>Chief Operating and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8" w:right="1440" w:bottom="1440" w:gutter="0" w:footer="0" w:header="0"/>
        </w:sectPr>
      </w:pPr>
    </w:p>
    <w:bookmarkStart w:id="113" w:name="page114"/>
    <w:bookmarkEnd w:id="113"/>
    <w:p>
      <w:pPr>
        <w:jc w:val="center"/>
        <w:ind w:right="-800"/>
        <w:spacing w:after="0"/>
        <w:rPr>
          <w:sz w:val="20"/>
          <w:szCs w:val="20"/>
          <w:color w:val="auto"/>
        </w:rPr>
      </w:pPr>
      <w:r>
        <w:rPr>
          <w:rFonts w:ascii="Arial" w:cs="Arial" w:eastAsia="Arial" w:hAnsi="Arial"/>
          <w:sz w:val="18"/>
          <w:szCs w:val="18"/>
          <w:b w:val="1"/>
          <w:bCs w:val="1"/>
          <w:u w:val="single" w:color="auto"/>
          <w:color w:val="auto"/>
        </w:rPr>
        <w:t>EXHIBIT A</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BILL OF SALE</w:t>
      </w:r>
    </w:p>
    <w:p>
      <w:pPr>
        <w:spacing w:after="0" w:line="108"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[Attached]</w:t>
      </w: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68580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39"/>
          </w:cols>
          <w:pgMar w:left="620" w:top="324" w:right="1440"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BILL OF SALE</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 2022</w:t>
      </w:r>
    </w:p>
    <w:p>
      <w:pPr>
        <w:spacing w:after="0" w:line="200" w:lineRule="exact"/>
        <w:rPr>
          <w:sz w:val="20"/>
          <w:szCs w:val="20"/>
          <w:color w:val="auto"/>
        </w:rPr>
      </w:pPr>
    </w:p>
    <w:p>
      <w:pPr>
        <w:spacing w:after="0" w:line="210"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6"/>
          <w:szCs w:val="16"/>
          <w:color w:val="auto"/>
        </w:rPr>
        <w:t xml:space="preserve">KNOW ALL MEN BY THESE PRESENTS, that </w:t>
      </w:r>
      <w:r>
        <w:rPr>
          <w:rFonts w:ascii="Arial" w:cs="Arial" w:eastAsia="Arial" w:hAnsi="Arial"/>
          <w:sz w:val="16"/>
          <w:szCs w:val="16"/>
          <w:b w:val="1"/>
          <w:bCs w:val="1"/>
          <w:color w:val="auto"/>
        </w:rPr>
        <w:t>ATP, INC.</w:t>
      </w:r>
      <w:r>
        <w:rPr>
          <w:rFonts w:ascii="Arial" w:cs="Arial" w:eastAsia="Arial" w:hAnsi="Arial"/>
          <w:sz w:val="16"/>
          <w:szCs w:val="16"/>
          <w:color w:val="auto"/>
        </w:rPr>
        <w:t>, a Delaware limited liability company, having an office at 2000 Sierra Point Parkway, Suite 501, Brisbane, California 94005 ("</w:t>
      </w:r>
      <w:r>
        <w:rPr>
          <w:rFonts w:ascii="Arial" w:cs="Arial" w:eastAsia="Arial" w:hAnsi="Arial"/>
          <w:sz w:val="16"/>
          <w:szCs w:val="16"/>
          <w:b w:val="1"/>
          <w:bCs w:val="1"/>
          <w:color w:val="auto"/>
        </w:rPr>
        <w:t>Seller</w:t>
      </w:r>
      <w:r>
        <w:rPr>
          <w:rFonts w:ascii="Arial" w:cs="Arial" w:eastAsia="Arial" w:hAnsi="Arial"/>
          <w:sz w:val="16"/>
          <w:szCs w:val="16"/>
          <w:color w:val="auto"/>
        </w:rPr>
        <w:t>"), for and in consideration of ONE and No/100 DOLLARS ($1.00) and other good and valuable consideration paid by DAY ONE BIOPHARMACEUTICALS, INC., a Delaware corporation, having an office at 395 Oyster Point Boulevard, Suite 217, South San Francisco, CA 94080 ("</w:t>
      </w:r>
      <w:r>
        <w:rPr>
          <w:rFonts w:ascii="Arial" w:cs="Arial" w:eastAsia="Arial" w:hAnsi="Arial"/>
          <w:sz w:val="16"/>
          <w:szCs w:val="16"/>
          <w:b w:val="1"/>
          <w:bCs w:val="1"/>
          <w:color w:val="auto"/>
        </w:rPr>
        <w:t>Purchaser</w:t>
      </w:r>
      <w:r>
        <w:rPr>
          <w:rFonts w:ascii="Arial" w:cs="Arial" w:eastAsia="Arial" w:hAnsi="Arial"/>
          <w:sz w:val="16"/>
          <w:szCs w:val="16"/>
          <w:color w:val="auto"/>
        </w:rPr>
        <w:t xml:space="preserve">"), the receipt and sufficiency of which is hereby acknowledged, hereby sells, assigns, transfers, and sets over unto Purchaser, its successors and assigns, from and after the date hereof, all of Seller's right, title, and interest in and to the furniture, fixtures and equipment as set forth on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attached hereto and incorporated by reference herein owned by Seller (the “</w:t>
      </w:r>
      <w:r>
        <w:rPr>
          <w:rFonts w:ascii="Arial" w:cs="Arial" w:eastAsia="Arial" w:hAnsi="Arial"/>
          <w:sz w:val="16"/>
          <w:szCs w:val="16"/>
          <w:b w:val="1"/>
          <w:bCs w:val="1"/>
          <w:color w:val="auto"/>
        </w:rPr>
        <w:t>Personal Property</w:t>
      </w:r>
      <w:r>
        <w:rPr>
          <w:rFonts w:ascii="Arial" w:cs="Arial" w:eastAsia="Arial" w:hAnsi="Arial"/>
          <w:sz w:val="16"/>
          <w:szCs w:val="16"/>
          <w:color w:val="auto"/>
        </w:rPr>
        <w:t>”).</w:t>
      </w:r>
    </w:p>
    <w:p>
      <w:pPr>
        <w:spacing w:after="0" w:line="5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TO HAVE AND TO HOLD unto Purchaser and its successors and assigns to its and their own use and benefit forever, from, and after the 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88" w:lineRule="exact"/>
        <w:rPr>
          <w:sz w:val="20"/>
          <w:szCs w:val="20"/>
          <w:color w:val="auto"/>
        </w:rPr>
      </w:pPr>
    </w:p>
    <w:p>
      <w:pPr>
        <w:jc w:val="both"/>
        <w:ind w:firstLine="373"/>
        <w:spacing w:after="0" w:line="243" w:lineRule="auto"/>
        <w:rPr>
          <w:sz w:val="20"/>
          <w:szCs w:val="20"/>
          <w:color w:val="auto"/>
        </w:rPr>
      </w:pPr>
      <w:r>
        <w:rPr>
          <w:rFonts w:ascii="Arial" w:cs="Arial" w:eastAsia="Arial" w:hAnsi="Arial"/>
          <w:sz w:val="18"/>
          <w:szCs w:val="18"/>
          <w:color w:val="auto"/>
        </w:rPr>
        <w:t>Seller represents and warrants to Purchaser that: (a) Seller is the sole owner of and has good and marketable title to the Personal Property free and clear of all liens, encumbrances, claims, and demands; (b) Seller has not previously sold or assigned the Personal Property to any other party; and (c) Seller will freely and fully warrant and defend the Personal Property against the lawful claims of any person claiming by, through, or under Seller. These representations and warranties shall survive closing and delivery of this Bill of Sale.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IN WITNESS WHEREOF, Seller has signed this Bill of Sale as of the date set forth above.</w:t>
      </w:r>
    </w:p>
    <w:p>
      <w:pPr>
        <w:spacing w:after="0" w:line="291" w:lineRule="exact"/>
        <w:rPr>
          <w:sz w:val="20"/>
          <w:szCs w:val="20"/>
          <w:color w:val="auto"/>
        </w:rPr>
      </w:pPr>
    </w:p>
    <w:p>
      <w:pPr>
        <w:ind w:left="5720"/>
        <w:spacing w:after="0"/>
        <w:rPr>
          <w:sz w:val="20"/>
          <w:szCs w:val="20"/>
          <w:color w:val="auto"/>
        </w:rPr>
      </w:pPr>
      <w:r>
        <w:rPr>
          <w:rFonts w:ascii="Arial" w:cs="Arial" w:eastAsia="Arial" w:hAnsi="Arial"/>
          <w:sz w:val="21"/>
          <w:szCs w:val="21"/>
          <w:b w:val="1"/>
          <w:bCs w:val="1"/>
          <w:color w:val="auto"/>
        </w:rPr>
        <w:t>AIRCRAFT TECHNICAL PUBLISHERS</w:t>
      </w:r>
      <w:r>
        <w:rPr>
          <w:rFonts w:ascii="Arial" w:cs="Arial" w:eastAsia="Arial" w:hAnsi="Arial"/>
          <w:sz w:val="21"/>
          <w:szCs w:val="21"/>
          <w:color w:val="auto"/>
        </w:rPr>
        <w:t>, a California</w:t>
      </w:r>
    </w:p>
    <w:p>
      <w:pPr>
        <w:ind w:left="5720"/>
        <w:spacing w:after="0"/>
        <w:rPr>
          <w:sz w:val="20"/>
          <w:szCs w:val="20"/>
          <w:color w:val="auto"/>
        </w:rPr>
      </w:pPr>
      <w:r>
        <w:rPr>
          <w:rFonts w:ascii="Arial" w:cs="Arial" w:eastAsia="Arial" w:hAnsi="Arial"/>
          <w:sz w:val="22"/>
          <w:szCs w:val="22"/>
          <w:color w:val="auto"/>
        </w:rPr>
        <w:t>corporation,</w:t>
      </w: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By:______________________________</w:t>
      </w:r>
    </w:p>
    <w:p>
      <w:pPr>
        <w:ind w:left="5720"/>
        <w:spacing w:after="0" w:line="203" w:lineRule="auto"/>
        <w:rPr>
          <w:sz w:val="20"/>
          <w:szCs w:val="20"/>
          <w:color w:val="auto"/>
        </w:rPr>
      </w:pPr>
      <w:r>
        <w:rPr>
          <w:rFonts w:ascii="Arial" w:cs="Arial" w:eastAsia="Arial" w:hAnsi="Arial"/>
          <w:sz w:val="18"/>
          <w:szCs w:val="18"/>
          <w:color w:val="auto"/>
        </w:rPr>
        <w:t>Name:</w:t>
      </w:r>
    </w:p>
    <w:p>
      <w:pPr>
        <w:ind w:left="5720"/>
        <w:spacing w:after="0"/>
        <w:rPr>
          <w:sz w:val="20"/>
          <w:szCs w:val="20"/>
          <w:color w:val="auto"/>
        </w:rPr>
      </w:pPr>
      <w:r>
        <w:rPr>
          <w:rFonts w:ascii="Arial" w:cs="Arial" w:eastAsia="Arial" w:hAnsi="Arial"/>
          <w:sz w:val="18"/>
          <w:szCs w:val="18"/>
          <w:color w:val="auto"/>
        </w:rPr>
        <w:t>Title:</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436" w:right="799" w:bottom="1440" w:gutter="0" w:footer="0" w:header="0"/>
        </w:sectPr>
      </w:pPr>
    </w:p>
    <w:bookmarkStart w:id="116" w:name="page117"/>
    <w:bookmarkEnd w:id="116"/>
    <w:tbl>
      <w:tblPr>
        <w:tblLayout w:type="fixed"/>
        <w:tblInd w:w="1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EXHIBIT A</w:t>
            </w:r>
          </w:p>
        </w:tc>
        <w:tc>
          <w:tcPr>
            <w:tcW w:w="5140" w:type="dxa"/>
            <w:vAlign w:val="bottom"/>
          </w:tcPr>
          <w:p>
            <w:pPr>
              <w:spacing w:after="0"/>
              <w:rPr>
                <w:sz w:val="17"/>
                <w:szCs w:val="17"/>
                <w:color w:val="auto"/>
              </w:rPr>
            </w:pPr>
          </w:p>
        </w:tc>
      </w:tr>
      <w:tr>
        <w:trPr>
          <w:trHeight w:val="439"/>
        </w:trPr>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0" w:type="dxa"/>
            <w:vAlign w:val="bottom"/>
            <w:gridSpan w:val="4"/>
          </w:tcPr>
          <w:p>
            <w:pPr>
              <w:jc w:val="center"/>
              <w:ind w:right="3840"/>
              <w:spacing w:after="0"/>
              <w:rPr>
                <w:sz w:val="20"/>
                <w:szCs w:val="20"/>
                <w:color w:val="auto"/>
              </w:rPr>
            </w:pPr>
            <w:r>
              <w:rPr>
                <w:rFonts w:ascii="Arial" w:cs="Arial" w:eastAsia="Arial" w:hAnsi="Arial"/>
                <w:sz w:val="18"/>
                <w:szCs w:val="18"/>
                <w:b w:val="1"/>
                <w:bCs w:val="1"/>
                <w:color w:val="auto"/>
                <w:w w:val="89"/>
              </w:rPr>
              <w:t>Description of Personal Property</w:t>
            </w:r>
          </w:p>
        </w:tc>
      </w:tr>
      <w:tr>
        <w:trPr>
          <w:trHeight w:val="199"/>
        </w:trPr>
        <w:tc>
          <w:tcPr>
            <w:tcW w:w="38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5140" w:type="dxa"/>
            <w:vAlign w:val="bottom"/>
            <w:tcBorders>
              <w:bottom w:val="single" w:sz="8" w:color="auto"/>
            </w:tcBorders>
          </w:tcPr>
          <w:p>
            <w:pPr>
              <w:spacing w:after="0"/>
              <w:rPr>
                <w:sz w:val="17"/>
                <w:szCs w:val="17"/>
                <w:color w:val="auto"/>
              </w:rPr>
            </w:pPr>
          </w:p>
        </w:tc>
      </w:tr>
      <w:tr>
        <w:trPr>
          <w:trHeight w:val="316"/>
        </w:trPr>
        <w:tc>
          <w:tcPr>
            <w:tcW w:w="3820" w:type="dxa"/>
            <w:vAlign w:val="bottom"/>
            <w:tcBorders>
              <w:left w:val="single" w:sz="8" w:color="auto"/>
              <w:bottom w:val="single" w:sz="8" w:color="F2F2F2"/>
              <w:right w:val="single" w:sz="8" w:color="auto"/>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Item Description</w:t>
            </w:r>
          </w:p>
        </w:tc>
        <w:tc>
          <w:tcPr>
            <w:tcW w:w="20" w:type="dxa"/>
            <w:vAlign w:val="bottom"/>
            <w:tcBorders>
              <w:bottom w:val="single" w:sz="8" w:color="F2F2F2"/>
            </w:tcBorders>
            <w:shd w:val="clear" w:color="auto" w:fill="F2F2F2"/>
          </w:tcPr>
          <w:p>
            <w:pPr>
              <w:spacing w:after="0"/>
              <w:rPr>
                <w:sz w:val="24"/>
                <w:szCs w:val="24"/>
                <w:color w:val="auto"/>
              </w:rPr>
            </w:pPr>
          </w:p>
        </w:tc>
        <w:tc>
          <w:tcPr>
            <w:tcW w:w="13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8"/>
                <w:szCs w:val="18"/>
                <w:b w:val="1"/>
                <w:bCs w:val="1"/>
                <w:color w:val="auto"/>
              </w:rPr>
              <w:t>Quantity</w:t>
            </w:r>
          </w:p>
        </w:tc>
        <w:tc>
          <w:tcPr>
            <w:tcW w:w="260" w:type="dxa"/>
            <w:vAlign w:val="bottom"/>
            <w:tcBorders>
              <w:bottom w:val="single" w:sz="8" w:color="F2F2F2"/>
              <w:right w:val="single" w:sz="8" w:color="auto"/>
            </w:tcBorders>
            <w:shd w:val="clear" w:color="auto" w:fill="F2F2F2"/>
          </w:tcPr>
          <w:p>
            <w:pPr>
              <w:spacing w:after="0"/>
              <w:rPr>
                <w:sz w:val="24"/>
                <w:szCs w:val="24"/>
                <w:color w:val="auto"/>
              </w:rPr>
            </w:pPr>
          </w:p>
        </w:tc>
        <w:tc>
          <w:tcPr>
            <w:tcW w:w="5820" w:type="dxa"/>
            <w:vAlign w:val="bottom"/>
            <w:tcBorders>
              <w:bottom w:val="single" w:sz="8" w:color="F2F2F2"/>
              <w:right w:val="single" w:sz="8" w:color="auto"/>
            </w:tcBorders>
            <w:gridSpan w:val="2"/>
            <w:shd w:val="clear" w:color="auto" w:fill="F2F2F2"/>
          </w:tcPr>
          <w:p>
            <w:pPr>
              <w:ind w:left="80"/>
              <w:spacing w:after="0"/>
              <w:rPr>
                <w:sz w:val="20"/>
                <w:szCs w:val="20"/>
                <w:color w:val="auto"/>
              </w:rPr>
            </w:pPr>
            <w:r>
              <w:rPr>
                <w:rFonts w:ascii="Arial" w:cs="Arial" w:eastAsia="Arial" w:hAnsi="Arial"/>
                <w:sz w:val="18"/>
                <w:szCs w:val="18"/>
                <w:b w:val="1"/>
                <w:bCs w:val="1"/>
                <w:color w:val="auto"/>
              </w:rPr>
              <w:t>Location</w:t>
            </w:r>
          </w:p>
        </w:tc>
      </w:tr>
      <w:tr>
        <w:trPr>
          <w:trHeight w:val="210"/>
        </w:trPr>
        <w:tc>
          <w:tcPr>
            <w:tcW w:w="38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Chaffing dishes</w:t>
            </w:r>
          </w:p>
        </w:tc>
        <w:tc>
          <w:tcPr>
            <w:tcW w:w="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auto"/>
              <w:right w:val="single" w:sz="8" w:color="auto"/>
            </w:tcBorders>
          </w:tcPr>
          <w:p>
            <w:pPr>
              <w:spacing w:after="0"/>
              <w:rPr>
                <w:sz w:val="18"/>
                <w:szCs w:val="18"/>
                <w:color w:val="auto"/>
              </w:rPr>
            </w:pPr>
          </w:p>
        </w:tc>
        <w:tc>
          <w:tcPr>
            <w:tcW w:w="582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Kitchen</w:t>
            </w:r>
          </w:p>
        </w:tc>
      </w:tr>
      <w:tr>
        <w:trPr>
          <w:trHeight w:val="77"/>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Canisters</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4</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Kitchen</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Microwaves</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2</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Kitchen</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Keurig machines</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2</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Kitchen</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Air Pots</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2</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Kitchen</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Electric Water boiler/warmer</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Kitchen</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Dining sets (4 chairs/1 table)</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3</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Kitchen</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Full back tall stools</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7</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Kitchen</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Glass serving cart</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Kitchen</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Large wall picture</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Reception area</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Small wall picture</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Kitchen</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Wall Clock</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Kitchen</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Digital wall clocks</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3</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Sales area</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“City” hanging pictures</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3</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Long hallway</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Expresso machine</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Kitchen</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Tabletop ice machine</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Kitchen</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Toaster oven</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Kitchen</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Refrigerators</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2</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Kitchen</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End tables</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2</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Kitchen/Conference room</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Water container w/spout</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Kitchen</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Large mirrored decorative Plate</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Golden Gate Con room</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Beige chairs</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2</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Outside of Rick’s Office</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Yellow Chairs</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2</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Production area</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Brown couch</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Production area</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Blue chairs</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2</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Reception area</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 Glass end table</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Reception area</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Wicker baskets for mail</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7</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Reception area</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Small bookshelves</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16</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All offices/other</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Large bookshelf</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Accounting area</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File cabinets</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8</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Various sizes</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Safe file</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Storage room</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r>
      <w:tr>
        <w:trPr>
          <w:trHeight w:val="360"/>
        </w:trPr>
        <w:tc>
          <w:tcPr>
            <w:tcW w:w="3820" w:type="dxa"/>
            <w:vAlign w:val="bottom"/>
          </w:tcPr>
          <w:p>
            <w:pPr>
              <w:ind w:left="300"/>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114"/>
        </w:trPr>
        <w:tc>
          <w:tcPr>
            <w:tcW w:w="3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5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17" w:name="page118"/>
    <w:bookmarkEnd w:id="117"/>
    <w:tbl>
      <w:tblPr>
        <w:tblLayout w:type="fixed"/>
        <w:tblInd w:w="10" w:type="dxa"/>
        <w:tblCellMar>
          <w:top w:w="0" w:type="dxa"/>
          <w:left w:w="0" w:type="dxa"/>
          <w:bottom w:w="0" w:type="dxa"/>
          <w:right w:w="0" w:type="dxa"/>
        </w:tblCellMar>
      </w:tblPr>
      <w:tr>
        <w:trPr>
          <w:trHeight w:val="250"/>
        </w:trPr>
        <w:tc>
          <w:tcPr>
            <w:tcW w:w="38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Office desk</w:t>
            </w:r>
          </w:p>
        </w:tc>
        <w:tc>
          <w:tcPr>
            <w:tcW w:w="16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58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Various</w:t>
            </w:r>
          </w:p>
        </w:tc>
      </w:tr>
      <w:tr>
        <w:trPr>
          <w:trHeight w:val="80"/>
        </w:trPr>
        <w:tc>
          <w:tcPr>
            <w:tcW w:w="3820" w:type="dxa"/>
            <w:vAlign w:val="bottom"/>
            <w:tcBorders>
              <w:left w:val="single" w:sz="8" w:color="auto"/>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10"/>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Office chairs (2 per ofc)</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24</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various</w:t>
            </w:r>
          </w:p>
        </w:tc>
      </w:tr>
      <w:tr>
        <w:trPr>
          <w:trHeight w:val="77"/>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Cubicles</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36</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Production Area</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Chairs</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36</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Production Area</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Cubicles</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15</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Sales/Finance Area</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Chairs</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15</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Sales/Finance Area</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Cubicles</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4</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Customer Support</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Chairs</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4</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Customer Support</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Wide Screen TV</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Embarcadero Conference Room</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Conference Table</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Embarcadero Conference Room</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Chairs</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8</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Embarcadero Conference Room</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Polycom w/remote</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Embarcadero Conference Room</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White board</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Embarcadero Conference Room</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Conference Table</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Golden Gate Conference Room</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Chairs</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16</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Golden Gate Conference Room</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Wide Screen TV</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Golden Gate Conference Room</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White board</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Golden Gate Conference Room</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Credenza (Cabinets)</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Golden Gate Conference Room</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Polycom w/remote</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Golden Gate Conference Room</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Standing height Conference Table</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Nob Hill Conference Room</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Tall chairs (bar height)</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6</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Nob Hill Conference Room</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Wide screen TV</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Nob Hill Conference Room</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Polycom w/remote</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Nob Hill Conference Room</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Standing height Conference Table</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Twin Peaks Conference</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Tall chairs (bar height)</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Twin Peaks Conference</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Wide screen TV</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Twin Peaks Conference</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White Board</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Twin Peaks Conference</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Polycom w/remote</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Twin Peaks Conference</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Conference Table</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Presidio Conference Room</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Chairs</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9</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Presidio Conference Room</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Wide Screen TV</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Presidio Conference Room</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White Board</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Presidio Conference Room</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224"/>
        </w:trPr>
        <w:tc>
          <w:tcPr>
            <w:tcW w:w="3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Polycom w/remote</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Presidio Conference Room</w:t>
            </w:r>
          </w:p>
        </w:tc>
      </w:tr>
      <w:tr>
        <w:trPr>
          <w:trHeight w:val="80"/>
        </w:trPr>
        <w:tc>
          <w:tcPr>
            <w:tcW w:w="382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r>
      <w:tr>
        <w:trPr>
          <w:trHeight w:val="683"/>
        </w:trPr>
        <w:tc>
          <w:tcPr>
            <w:tcW w:w="3820" w:type="dxa"/>
            <w:vAlign w:val="bottom"/>
          </w:tcPr>
          <w:p>
            <w:pPr>
              <w:ind w:left="300"/>
              <w:spacing w:after="0"/>
              <w:rPr>
                <w:sz w:val="20"/>
                <w:szCs w:val="20"/>
                <w:color w:val="auto"/>
              </w:rPr>
            </w:pPr>
            <w:r>
              <w:rPr>
                <w:rFonts w:ascii="Arial" w:cs="Arial" w:eastAsia="Arial" w:hAnsi="Arial"/>
                <w:sz w:val="14"/>
                <w:szCs w:val="14"/>
                <w:color w:val="auto"/>
              </w:rPr>
              <w:t>18</w:t>
            </w:r>
          </w:p>
        </w:tc>
        <w:tc>
          <w:tcPr>
            <w:tcW w:w="1600" w:type="dxa"/>
            <w:vAlign w:val="bottom"/>
          </w:tcPr>
          <w:p>
            <w:pPr>
              <w:spacing w:after="0"/>
              <w:rPr>
                <w:sz w:val="24"/>
                <w:szCs w:val="24"/>
                <w:color w:val="auto"/>
              </w:rPr>
            </w:pPr>
          </w:p>
        </w:tc>
        <w:tc>
          <w:tcPr>
            <w:tcW w:w="5820" w:type="dxa"/>
            <w:vAlign w:val="bottom"/>
          </w:tcPr>
          <w:p>
            <w:pPr>
              <w:spacing w:after="0"/>
              <w:rPr>
                <w:sz w:val="24"/>
                <w:szCs w:val="24"/>
                <w:color w:val="auto"/>
              </w:rPr>
            </w:pPr>
          </w:p>
        </w:tc>
      </w:tr>
      <w:tr>
        <w:trPr>
          <w:trHeight w:val="114"/>
        </w:trPr>
        <w:tc>
          <w:tcPr>
            <w:tcW w:w="382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58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31.1</w:t>
      </w:r>
    </w:p>
    <w:p>
      <w:pPr>
        <w:spacing w:after="0" w:line="306"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Jeremy Bender, certify that:</w:t>
      </w:r>
    </w:p>
    <w:p>
      <w:pPr>
        <w:spacing w:after="0" w:line="185" w:lineRule="exact"/>
        <w:rPr>
          <w:sz w:val="20"/>
          <w:szCs w:val="20"/>
          <w:color w:val="auto"/>
        </w:rPr>
      </w:pPr>
    </w:p>
    <w:p>
      <w:pPr>
        <w:ind w:left="360" w:hanging="352"/>
        <w:spacing w:after="0"/>
        <w:tabs>
          <w:tab w:leader="none" w:pos="3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Day One Biopharmaceuticals, Inc.;</w:t>
      </w:r>
    </w:p>
    <w:p>
      <w:pPr>
        <w:spacing w:after="0" w:line="171" w:lineRule="exact"/>
        <w:rPr>
          <w:rFonts w:ascii="Arial" w:cs="Arial" w:eastAsia="Arial" w:hAnsi="Arial"/>
          <w:sz w:val="18"/>
          <w:szCs w:val="18"/>
          <w:color w:val="auto"/>
        </w:rPr>
      </w:pPr>
    </w:p>
    <w:p>
      <w:pPr>
        <w:ind w:left="760" w:right="40" w:hanging="752"/>
        <w:spacing w:after="0" w:line="248" w:lineRule="auto"/>
        <w:tabs>
          <w:tab w:leader="none" w:pos="371"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760" w:right="360" w:hanging="752"/>
        <w:spacing w:after="0" w:line="324" w:lineRule="auto"/>
        <w:tabs>
          <w:tab w:leader="none" w:pos="371"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Arial" w:cs="Arial" w:eastAsia="Arial" w:hAnsi="Arial"/>
          <w:sz w:val="16"/>
          <w:szCs w:val="16"/>
          <w:color w:val="auto"/>
        </w:rPr>
      </w:pPr>
    </w:p>
    <w:p>
      <w:pPr>
        <w:ind w:left="760" w:right="600" w:hanging="752"/>
        <w:spacing w:after="0" w:line="261" w:lineRule="auto"/>
        <w:tabs>
          <w:tab w:leader="none" w:pos="37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0" w:lineRule="exact"/>
        <w:rPr>
          <w:rFonts w:ascii="Arial" w:cs="Arial" w:eastAsia="Arial" w:hAnsi="Arial"/>
          <w:sz w:val="18"/>
          <w:szCs w:val="18"/>
          <w:color w:val="auto"/>
        </w:rPr>
      </w:pPr>
    </w:p>
    <w:p>
      <w:pPr>
        <w:ind w:left="1500" w:right="40" w:hanging="690"/>
        <w:spacing w:after="0" w:line="248" w:lineRule="auto"/>
        <w:tabs>
          <w:tab w:leader="none" w:pos="1165"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8"/>
          <w:szCs w:val="18"/>
          <w:color w:val="auto"/>
        </w:rPr>
      </w:pPr>
    </w:p>
    <w:p>
      <w:pPr>
        <w:ind w:left="1500" w:hanging="690"/>
        <w:spacing w:after="0" w:line="324" w:lineRule="auto"/>
        <w:tabs>
          <w:tab w:leader="none" w:pos="1165"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6"/>
          <w:szCs w:val="16"/>
          <w:color w:val="auto"/>
        </w:rPr>
      </w:pPr>
    </w:p>
    <w:p>
      <w:pPr>
        <w:ind w:left="1500" w:right="160" w:hanging="690"/>
        <w:spacing w:after="0" w:line="248" w:lineRule="auto"/>
        <w:tabs>
          <w:tab w:leader="none" w:pos="1165"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8"/>
          <w:szCs w:val="18"/>
          <w:color w:val="auto"/>
        </w:rPr>
      </w:pPr>
    </w:p>
    <w:p>
      <w:pPr>
        <w:ind w:left="760" w:right="300" w:hanging="752"/>
        <w:spacing w:after="0" w:line="324" w:lineRule="auto"/>
        <w:tabs>
          <w:tab w:leader="none" w:pos="371"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jc w:val="right"/>
        <w:ind w:left="1500" w:right="580" w:hanging="690"/>
        <w:spacing w:after="0" w:line="324" w:lineRule="auto"/>
        <w:tabs>
          <w:tab w:leader="none" w:pos="1165"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Arial" w:cs="Arial" w:eastAsia="Arial" w:hAnsi="Arial"/>
          <w:sz w:val="16"/>
          <w:szCs w:val="16"/>
          <w:color w:val="auto"/>
        </w:rPr>
      </w:pPr>
    </w:p>
    <w:p>
      <w:pPr>
        <w:ind w:left="1500" w:right="280" w:hanging="690"/>
        <w:spacing w:after="0" w:line="261" w:lineRule="auto"/>
        <w:tabs>
          <w:tab w:leader="none" w:pos="1165"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4, 2022</w:t>
      </w:r>
    </w:p>
    <w:p>
      <w:pPr>
        <w:ind w:left="5620"/>
        <w:spacing w:after="0" w:line="232" w:lineRule="auto"/>
        <w:rPr>
          <w:sz w:val="20"/>
          <w:szCs w:val="20"/>
          <w:color w:val="auto"/>
        </w:rPr>
      </w:pPr>
      <w:r>
        <w:rPr>
          <w:rFonts w:ascii="Arial" w:cs="Arial" w:eastAsia="Arial" w:hAnsi="Arial"/>
          <w:sz w:val="18"/>
          <w:szCs w:val="18"/>
          <w:color w:val="auto"/>
        </w:rPr>
        <w:t>/s/  Jeremy Bender,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0</wp:posOffset>
            </wp:positionV>
            <wp:extent cx="342011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ind w:left="5620"/>
        <w:spacing w:after="0" w:line="203" w:lineRule="auto"/>
        <w:rPr>
          <w:sz w:val="20"/>
          <w:szCs w:val="20"/>
          <w:color w:val="auto"/>
        </w:rPr>
      </w:pPr>
      <w:r>
        <w:rPr>
          <w:rFonts w:ascii="Arial" w:cs="Arial" w:eastAsia="Arial" w:hAnsi="Arial"/>
          <w:sz w:val="18"/>
          <w:szCs w:val="18"/>
          <w:color w:val="auto"/>
        </w:rPr>
        <w:t>Jeremy Bender, Ph.D., MBA</w:t>
      </w:r>
    </w:p>
    <w:p>
      <w:pPr>
        <w:ind w:left="5620"/>
        <w:spacing w:after="0" w:line="204" w:lineRule="auto"/>
        <w:rPr>
          <w:sz w:val="20"/>
          <w:szCs w:val="20"/>
          <w:color w:val="auto"/>
        </w:rPr>
      </w:pPr>
      <w:r>
        <w:rPr>
          <w:rFonts w:ascii="Arial" w:cs="Arial" w:eastAsia="Arial" w:hAnsi="Arial"/>
          <w:sz w:val="18"/>
          <w:szCs w:val="18"/>
          <w:i w:val="1"/>
          <w:iCs w:val="1"/>
          <w:color w:val="auto"/>
        </w:rPr>
        <w:t>Chief Executive Officer and President</w:t>
      </w: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31.2</w:t>
      </w:r>
    </w:p>
    <w:p>
      <w:pPr>
        <w:spacing w:after="0" w:line="306"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Charles N. York II, certify that:</w:t>
      </w:r>
    </w:p>
    <w:p>
      <w:pPr>
        <w:spacing w:after="0" w:line="185" w:lineRule="exact"/>
        <w:rPr>
          <w:sz w:val="20"/>
          <w:szCs w:val="20"/>
          <w:color w:val="auto"/>
        </w:rPr>
      </w:pPr>
    </w:p>
    <w:p>
      <w:pPr>
        <w:ind w:left="360" w:hanging="352"/>
        <w:spacing w:after="0"/>
        <w:tabs>
          <w:tab w:leader="none" w:pos="3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Day One Biopharmaceuticals, Inc.;</w:t>
      </w:r>
    </w:p>
    <w:p>
      <w:pPr>
        <w:spacing w:after="0" w:line="171" w:lineRule="exact"/>
        <w:rPr>
          <w:rFonts w:ascii="Arial" w:cs="Arial" w:eastAsia="Arial" w:hAnsi="Arial"/>
          <w:sz w:val="18"/>
          <w:szCs w:val="18"/>
          <w:color w:val="auto"/>
        </w:rPr>
      </w:pPr>
    </w:p>
    <w:p>
      <w:pPr>
        <w:ind w:left="760" w:right="40" w:hanging="752"/>
        <w:spacing w:after="0" w:line="248" w:lineRule="auto"/>
        <w:tabs>
          <w:tab w:leader="none" w:pos="371"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760" w:right="360" w:hanging="752"/>
        <w:spacing w:after="0" w:line="324" w:lineRule="auto"/>
        <w:tabs>
          <w:tab w:leader="none" w:pos="371"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Arial" w:cs="Arial" w:eastAsia="Arial" w:hAnsi="Arial"/>
          <w:sz w:val="16"/>
          <w:szCs w:val="16"/>
          <w:color w:val="auto"/>
        </w:rPr>
      </w:pPr>
    </w:p>
    <w:p>
      <w:pPr>
        <w:ind w:left="760" w:right="600" w:hanging="752"/>
        <w:spacing w:after="0" w:line="261" w:lineRule="auto"/>
        <w:tabs>
          <w:tab w:leader="none" w:pos="371"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0" w:lineRule="exact"/>
        <w:rPr>
          <w:rFonts w:ascii="Arial" w:cs="Arial" w:eastAsia="Arial" w:hAnsi="Arial"/>
          <w:sz w:val="18"/>
          <w:szCs w:val="18"/>
          <w:color w:val="auto"/>
        </w:rPr>
      </w:pPr>
    </w:p>
    <w:p>
      <w:pPr>
        <w:ind w:left="1500" w:right="40" w:hanging="690"/>
        <w:spacing w:after="0" w:line="248" w:lineRule="auto"/>
        <w:tabs>
          <w:tab w:leader="none" w:pos="1165"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8"/>
          <w:szCs w:val="18"/>
          <w:color w:val="auto"/>
        </w:rPr>
      </w:pPr>
    </w:p>
    <w:p>
      <w:pPr>
        <w:ind w:left="1500" w:hanging="690"/>
        <w:spacing w:after="0" w:line="324" w:lineRule="auto"/>
        <w:tabs>
          <w:tab w:leader="none" w:pos="1165"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6"/>
          <w:szCs w:val="16"/>
          <w:color w:val="auto"/>
        </w:rPr>
      </w:pPr>
    </w:p>
    <w:p>
      <w:pPr>
        <w:ind w:left="1500" w:right="160" w:hanging="690"/>
        <w:spacing w:after="0" w:line="248" w:lineRule="auto"/>
        <w:tabs>
          <w:tab w:leader="none" w:pos="1165"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8"/>
          <w:szCs w:val="18"/>
          <w:color w:val="auto"/>
        </w:rPr>
      </w:pPr>
    </w:p>
    <w:p>
      <w:pPr>
        <w:ind w:left="760" w:right="300" w:hanging="752"/>
        <w:spacing w:after="0" w:line="324" w:lineRule="auto"/>
        <w:tabs>
          <w:tab w:leader="none" w:pos="371"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jc w:val="right"/>
        <w:ind w:left="1500" w:right="580" w:hanging="690"/>
        <w:spacing w:after="0" w:line="324" w:lineRule="auto"/>
        <w:tabs>
          <w:tab w:leader="none" w:pos="1165" w:val="left"/>
        </w:tabs>
        <w:numPr>
          <w:ilvl w:val="1"/>
          <w:numId w:val="8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Arial" w:cs="Arial" w:eastAsia="Arial" w:hAnsi="Arial"/>
          <w:sz w:val="16"/>
          <w:szCs w:val="16"/>
          <w:color w:val="auto"/>
        </w:rPr>
      </w:pPr>
    </w:p>
    <w:p>
      <w:pPr>
        <w:ind w:left="1500" w:right="280" w:hanging="690"/>
        <w:spacing w:after="0" w:line="261" w:lineRule="auto"/>
        <w:tabs>
          <w:tab w:leader="none" w:pos="1165"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4, 2022</w:t>
      </w:r>
    </w:p>
    <w:p>
      <w:pPr>
        <w:ind w:left="5640"/>
        <w:spacing w:after="0" w:line="232" w:lineRule="auto"/>
        <w:rPr>
          <w:sz w:val="20"/>
          <w:szCs w:val="20"/>
          <w:color w:val="auto"/>
        </w:rPr>
      </w:pPr>
      <w:r>
        <w:rPr>
          <w:rFonts w:ascii="Arial" w:cs="Arial" w:eastAsia="Arial" w:hAnsi="Arial"/>
          <w:sz w:val="18"/>
          <w:szCs w:val="18"/>
          <w:color w:val="auto"/>
        </w:rPr>
        <w:t>/s/  Charles N. York II,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0</wp:posOffset>
            </wp:positionV>
            <wp:extent cx="336867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Charles N. York II, M.B.A.</w:t>
      </w:r>
    </w:p>
    <w:p>
      <w:pPr>
        <w:spacing w:after="0" w:line="7"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Chief Operating Officer and Chief Financial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 Jeremy Bender, Chief Executive Officer of Day One Biopharmaceuticals, Inc. (the “Company”), do hereby certify, pursuant to 18 U.S.C. Section 1350, as adopted pursuant to Section 906 of the Sarbanes-Oxley Act of 2002, that to the best of my knowledge:</w:t>
      </w:r>
    </w:p>
    <w:p>
      <w:pPr>
        <w:spacing w:after="0" w:line="144" w:lineRule="exact"/>
        <w:rPr>
          <w:sz w:val="20"/>
          <w:szCs w:val="20"/>
          <w:color w:val="auto"/>
        </w:rPr>
      </w:pPr>
    </w:p>
    <w:p>
      <w:pPr>
        <w:ind w:left="760" w:right="100" w:hanging="752"/>
        <w:spacing w:after="0" w:line="261" w:lineRule="auto"/>
        <w:tabs>
          <w:tab w:leader="none" w:pos="371"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June 30, 2022 (the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360" w:hanging="352"/>
        <w:spacing w:after="0"/>
        <w:tabs>
          <w:tab w:leader="none" w:pos="3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ind w:left="20"/>
              <w:spacing w:after="0"/>
              <w:rPr>
                <w:sz w:val="20"/>
                <w:szCs w:val="20"/>
                <w:color w:val="auto"/>
              </w:rPr>
            </w:pPr>
            <w:r>
              <w:rPr>
                <w:rFonts w:ascii="Arial" w:cs="Arial" w:eastAsia="Arial" w:hAnsi="Arial"/>
                <w:sz w:val="18"/>
                <w:szCs w:val="18"/>
                <w:color w:val="auto"/>
              </w:rPr>
              <w:t>Dated: August 4, 2022</w:t>
            </w:r>
          </w:p>
        </w:tc>
        <w:tc>
          <w:tcPr>
            <w:tcW w:w="7620" w:type="dxa"/>
            <w:vAlign w:val="bottom"/>
            <w:gridSpan w:val="2"/>
          </w:tcPr>
          <w:p>
            <w:pPr>
              <w:ind w:left="1860"/>
              <w:spacing w:after="0"/>
              <w:rPr>
                <w:sz w:val="20"/>
                <w:szCs w:val="20"/>
                <w:color w:val="auto"/>
              </w:rPr>
            </w:pPr>
            <w:r>
              <w:rPr>
                <w:rFonts w:ascii="Arial" w:cs="Arial" w:eastAsia="Arial" w:hAnsi="Arial"/>
                <w:sz w:val="18"/>
                <w:szCs w:val="18"/>
                <w:color w:val="auto"/>
              </w:rPr>
              <w:t>/s/   Jeremy Bender, Ph.D., M.B.A.</w:t>
            </w:r>
          </w:p>
        </w:tc>
        <w:tc>
          <w:tcPr>
            <w:tcW w:w="120" w:type="dxa"/>
            <w:vAlign w:val="bottom"/>
          </w:tcPr>
          <w:p>
            <w:pPr>
              <w:spacing w:after="0"/>
              <w:rPr>
                <w:sz w:val="17"/>
                <w:szCs w:val="17"/>
                <w:color w:val="auto"/>
              </w:rPr>
            </w:pPr>
          </w:p>
        </w:tc>
      </w:tr>
      <w:tr>
        <w:trPr>
          <w:trHeight w:val="142"/>
        </w:trPr>
        <w:tc>
          <w:tcPr>
            <w:tcW w:w="3500" w:type="dxa"/>
            <w:vAlign w:val="bottom"/>
          </w:tcPr>
          <w:p>
            <w:pPr>
              <w:spacing w:after="0"/>
              <w:rPr>
                <w:sz w:val="12"/>
                <w:szCs w:val="12"/>
                <w:color w:val="auto"/>
              </w:rPr>
            </w:pPr>
          </w:p>
        </w:tc>
        <w:tc>
          <w:tcPr>
            <w:tcW w:w="2280" w:type="dxa"/>
            <w:vAlign w:val="bottom"/>
          </w:tcPr>
          <w:p>
            <w:pPr>
              <w:ind w:left="1860"/>
              <w:spacing w:after="0" w:line="142" w:lineRule="exact"/>
              <w:rPr>
                <w:sz w:val="20"/>
                <w:szCs w:val="20"/>
                <w:color w:val="auto"/>
              </w:rPr>
            </w:pPr>
            <w:r>
              <w:rPr>
                <w:rFonts w:ascii="Arial" w:cs="Arial" w:eastAsia="Arial" w:hAnsi="Arial"/>
                <w:sz w:val="16"/>
                <w:szCs w:val="16"/>
                <w:color w:val="auto"/>
                <w:w w:val="76"/>
              </w:rPr>
              <w:t>Jeremy</w:t>
            </w:r>
          </w:p>
        </w:tc>
        <w:tc>
          <w:tcPr>
            <w:tcW w:w="53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6"/>
                <w:szCs w:val="16"/>
                <w:color w:val="auto"/>
              </w:rPr>
              <w:t>Bender, Ph.D., MBA</w:t>
            </w:r>
          </w:p>
        </w:tc>
        <w:tc>
          <w:tcPr>
            <w:tcW w:w="120" w:type="dxa"/>
            <w:vAlign w:val="bottom"/>
          </w:tcPr>
          <w:p>
            <w:pPr>
              <w:spacing w:after="0"/>
              <w:rPr>
                <w:sz w:val="12"/>
                <w:szCs w:val="12"/>
                <w:color w:val="auto"/>
              </w:rPr>
            </w:pPr>
          </w:p>
        </w:tc>
      </w:tr>
      <w:tr>
        <w:trPr>
          <w:trHeight w:val="215"/>
        </w:trPr>
        <w:tc>
          <w:tcPr>
            <w:tcW w:w="3500" w:type="dxa"/>
            <w:vAlign w:val="bottom"/>
          </w:tcPr>
          <w:p>
            <w:pPr>
              <w:spacing w:after="0"/>
              <w:rPr>
                <w:sz w:val="18"/>
                <w:szCs w:val="18"/>
                <w:color w:val="auto"/>
              </w:rPr>
            </w:pPr>
          </w:p>
        </w:tc>
        <w:tc>
          <w:tcPr>
            <w:tcW w:w="7620" w:type="dxa"/>
            <w:vAlign w:val="bottom"/>
            <w:gridSpan w:val="2"/>
          </w:tcPr>
          <w:p>
            <w:pPr>
              <w:ind w:left="1860"/>
              <w:spacing w:after="0"/>
              <w:rPr>
                <w:sz w:val="20"/>
                <w:szCs w:val="20"/>
                <w:color w:val="auto"/>
              </w:rPr>
            </w:pPr>
            <w:r>
              <w:rPr>
                <w:rFonts w:ascii="Arial" w:cs="Arial" w:eastAsia="Arial" w:hAnsi="Arial"/>
                <w:sz w:val="18"/>
                <w:szCs w:val="18"/>
                <w:i w:val="1"/>
                <w:iCs w:val="1"/>
                <w:color w:val="auto"/>
              </w:rPr>
              <w:t>Chief Executive Officer and President</w:t>
            </w:r>
          </w:p>
        </w:tc>
        <w:tc>
          <w:tcPr>
            <w:tcW w:w="120" w:type="dxa"/>
            <w:vAlign w:val="bottom"/>
          </w:tcPr>
          <w:p>
            <w:pPr>
              <w:spacing w:after="0"/>
              <w:rPr>
                <w:sz w:val="18"/>
                <w:szCs w:val="18"/>
                <w:color w:val="auto"/>
              </w:rPr>
            </w:pPr>
          </w:p>
        </w:tc>
      </w:tr>
      <w:tr>
        <w:trPr>
          <w:trHeight w:val="203"/>
        </w:trPr>
        <w:tc>
          <w:tcPr>
            <w:tcW w:w="3500" w:type="dxa"/>
            <w:vAlign w:val="bottom"/>
            <w:tcBorders>
              <w:bottom w:val="single" w:sz="8" w:color="auto"/>
            </w:tcBorders>
          </w:tcPr>
          <w:p>
            <w:pPr>
              <w:spacing w:after="0"/>
              <w:rPr>
                <w:sz w:val="17"/>
                <w:szCs w:val="17"/>
                <w:color w:val="auto"/>
              </w:rPr>
            </w:pPr>
          </w:p>
        </w:tc>
        <w:tc>
          <w:tcPr>
            <w:tcW w:w="7620" w:type="dxa"/>
            <w:vAlign w:val="bottom"/>
            <w:tcBorders>
              <w:bottom w:val="single" w:sz="8" w:color="auto"/>
            </w:tcBorders>
            <w:gridSpan w:val="2"/>
          </w:tcPr>
          <w:p>
            <w:pPr>
              <w:ind w:left="1860"/>
              <w:spacing w:after="0" w:line="203" w:lineRule="exact"/>
              <w:rPr>
                <w:sz w:val="20"/>
                <w:szCs w:val="20"/>
                <w:color w:val="auto"/>
              </w:rPr>
            </w:pPr>
            <w:r>
              <w:rPr>
                <w:rFonts w:ascii="Arial" w:cs="Arial" w:eastAsia="Arial" w:hAnsi="Arial"/>
                <w:sz w:val="18"/>
                <w:szCs w:val="18"/>
                <w:i w:val="1"/>
                <w:iCs w:val="1"/>
                <w:color w:val="auto"/>
              </w:rPr>
              <w:t>(Principal Executive Officer)</w:t>
            </w:r>
          </w:p>
        </w:tc>
        <w:tc>
          <w:tcPr>
            <w:tcW w:w="120" w:type="dxa"/>
            <w:vAlign w:val="bottom"/>
            <w:tcBorders>
              <w:bottom w:val="single" w:sz="8" w:color="auto"/>
            </w:tcBorders>
          </w:tcPr>
          <w:p>
            <w:pPr>
              <w:spacing w:after="0"/>
              <w:rPr>
                <w:sz w:val="17"/>
                <w:szCs w:val="17"/>
                <w:color w:val="auto"/>
              </w:rPr>
            </w:pPr>
          </w:p>
        </w:tc>
      </w:tr>
      <w:tr>
        <w:trPr>
          <w:trHeight w:val="513"/>
        </w:trPr>
        <w:tc>
          <w:tcPr>
            <w:tcW w:w="35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 Charles N. York II, Chief Financial Officer of Day One Biopharmaceuticals, Inc. (the “Company”), do hereby certify, pursuant to 18 U.S.C. Section 1350, as adopted pursuant to Section 906 of the Sarbanes-Oxley Act of 2002, that to the best of my knowledge:</w:t>
      </w:r>
    </w:p>
    <w:p>
      <w:pPr>
        <w:spacing w:after="0" w:line="130" w:lineRule="exact"/>
        <w:rPr>
          <w:sz w:val="20"/>
          <w:szCs w:val="20"/>
          <w:color w:val="auto"/>
        </w:rPr>
      </w:pPr>
    </w:p>
    <w:p>
      <w:pPr>
        <w:ind w:left="760" w:right="100" w:hanging="752"/>
        <w:spacing w:after="0" w:line="261" w:lineRule="auto"/>
        <w:tabs>
          <w:tab w:leader="none" w:pos="371"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June 30, 2022 (the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360" w:hanging="352"/>
        <w:spacing w:after="0"/>
        <w:tabs>
          <w:tab w:leader="none" w:pos="3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ind w:left="20"/>
              <w:spacing w:after="0"/>
              <w:rPr>
                <w:sz w:val="20"/>
                <w:szCs w:val="20"/>
                <w:color w:val="auto"/>
              </w:rPr>
            </w:pPr>
            <w:r>
              <w:rPr>
                <w:rFonts w:ascii="Arial" w:cs="Arial" w:eastAsia="Arial" w:hAnsi="Arial"/>
                <w:sz w:val="18"/>
                <w:szCs w:val="18"/>
                <w:color w:val="auto"/>
              </w:rPr>
              <w:t>Dated: August 4, 2022</w:t>
            </w:r>
          </w:p>
        </w:tc>
        <w:tc>
          <w:tcPr>
            <w:tcW w:w="7560" w:type="dxa"/>
            <w:vAlign w:val="bottom"/>
            <w:gridSpan w:val="2"/>
          </w:tcPr>
          <w:p>
            <w:pPr>
              <w:ind w:left="1920"/>
              <w:spacing w:after="0"/>
              <w:rPr>
                <w:sz w:val="20"/>
                <w:szCs w:val="20"/>
                <w:color w:val="auto"/>
              </w:rPr>
            </w:pPr>
            <w:r>
              <w:rPr>
                <w:rFonts w:ascii="Arial" w:cs="Arial" w:eastAsia="Arial" w:hAnsi="Arial"/>
                <w:sz w:val="18"/>
                <w:szCs w:val="18"/>
                <w:color w:val="auto"/>
              </w:rPr>
              <w:t>/s/ Charles N. York II, M.B.A.</w:t>
            </w:r>
          </w:p>
        </w:tc>
        <w:tc>
          <w:tcPr>
            <w:tcW w:w="120" w:type="dxa"/>
            <w:vAlign w:val="bottom"/>
          </w:tcPr>
          <w:p>
            <w:pPr>
              <w:spacing w:after="0"/>
              <w:rPr>
                <w:sz w:val="17"/>
                <w:szCs w:val="17"/>
                <w:color w:val="auto"/>
              </w:rPr>
            </w:pPr>
          </w:p>
        </w:tc>
      </w:tr>
      <w:tr>
        <w:trPr>
          <w:trHeight w:val="20"/>
        </w:trPr>
        <w:tc>
          <w:tcPr>
            <w:tcW w:w="35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3560" w:type="dxa"/>
            <w:vAlign w:val="bottom"/>
          </w:tcPr>
          <w:p>
            <w:pPr>
              <w:spacing w:after="0"/>
              <w:rPr>
                <w:sz w:val="19"/>
                <w:szCs w:val="19"/>
                <w:color w:val="auto"/>
              </w:rPr>
            </w:pPr>
          </w:p>
        </w:tc>
        <w:tc>
          <w:tcPr>
            <w:tcW w:w="7560" w:type="dxa"/>
            <w:vAlign w:val="bottom"/>
            <w:gridSpan w:val="2"/>
          </w:tcPr>
          <w:p>
            <w:pPr>
              <w:ind w:left="1920"/>
              <w:spacing w:after="0"/>
              <w:rPr>
                <w:sz w:val="20"/>
                <w:szCs w:val="20"/>
                <w:color w:val="auto"/>
              </w:rPr>
            </w:pPr>
            <w:r>
              <w:rPr>
                <w:rFonts w:ascii="Arial" w:cs="Arial" w:eastAsia="Arial" w:hAnsi="Arial"/>
                <w:sz w:val="18"/>
                <w:szCs w:val="18"/>
                <w:color w:val="auto"/>
              </w:rPr>
              <w:t>Charles N. York II, M.B.A.</w:t>
            </w:r>
          </w:p>
        </w:tc>
        <w:tc>
          <w:tcPr>
            <w:tcW w:w="120" w:type="dxa"/>
            <w:vAlign w:val="bottom"/>
          </w:tcPr>
          <w:p>
            <w:pPr>
              <w:spacing w:after="0"/>
              <w:rPr>
                <w:sz w:val="19"/>
                <w:szCs w:val="19"/>
                <w:color w:val="auto"/>
              </w:rPr>
            </w:pPr>
          </w:p>
        </w:tc>
      </w:tr>
      <w:tr>
        <w:trPr>
          <w:trHeight w:val="269"/>
        </w:trPr>
        <w:tc>
          <w:tcPr>
            <w:tcW w:w="3560" w:type="dxa"/>
            <w:vAlign w:val="bottom"/>
          </w:tcPr>
          <w:p>
            <w:pPr>
              <w:spacing w:after="0"/>
              <w:rPr>
                <w:sz w:val="23"/>
                <w:szCs w:val="23"/>
                <w:color w:val="auto"/>
              </w:rPr>
            </w:pPr>
          </w:p>
        </w:tc>
        <w:tc>
          <w:tcPr>
            <w:tcW w:w="7560" w:type="dxa"/>
            <w:vAlign w:val="bottom"/>
            <w:gridSpan w:val="2"/>
          </w:tcPr>
          <w:p>
            <w:pPr>
              <w:ind w:left="1920"/>
              <w:spacing w:after="0"/>
              <w:rPr>
                <w:sz w:val="20"/>
                <w:szCs w:val="20"/>
                <w:color w:val="auto"/>
              </w:rPr>
            </w:pPr>
            <w:r>
              <w:rPr>
                <w:rFonts w:ascii="Arial" w:cs="Arial" w:eastAsia="Arial" w:hAnsi="Arial"/>
                <w:sz w:val="18"/>
                <w:szCs w:val="18"/>
                <w:i w:val="1"/>
                <w:iCs w:val="1"/>
                <w:color w:val="auto"/>
              </w:rPr>
              <w:t>Chief Operating Officer and Chief Financial Officer</w:t>
            </w:r>
          </w:p>
        </w:tc>
        <w:tc>
          <w:tcPr>
            <w:tcW w:w="120" w:type="dxa"/>
            <w:vAlign w:val="bottom"/>
          </w:tcPr>
          <w:p>
            <w:pPr>
              <w:spacing w:after="0"/>
              <w:rPr>
                <w:sz w:val="23"/>
                <w:szCs w:val="23"/>
                <w:color w:val="auto"/>
              </w:rPr>
            </w:pPr>
          </w:p>
        </w:tc>
      </w:tr>
      <w:tr>
        <w:trPr>
          <w:trHeight w:val="297"/>
        </w:trPr>
        <w:tc>
          <w:tcPr>
            <w:tcW w:w="3560" w:type="dxa"/>
            <w:vAlign w:val="bottom"/>
          </w:tcPr>
          <w:p>
            <w:pPr>
              <w:spacing w:after="0"/>
              <w:rPr>
                <w:sz w:val="24"/>
                <w:szCs w:val="24"/>
                <w:color w:val="auto"/>
              </w:rPr>
            </w:pPr>
          </w:p>
        </w:tc>
        <w:tc>
          <w:tcPr>
            <w:tcW w:w="7560" w:type="dxa"/>
            <w:vAlign w:val="bottom"/>
            <w:gridSpan w:val="2"/>
          </w:tcPr>
          <w:p>
            <w:pPr>
              <w:ind w:left="19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c>
          <w:tcPr>
            <w:tcW w:w="120" w:type="dxa"/>
            <w:vAlign w:val="bottom"/>
          </w:tcPr>
          <w:p>
            <w:pPr>
              <w:spacing w:after="0"/>
              <w:rPr>
                <w:sz w:val="24"/>
                <w:szCs w:val="24"/>
                <w:color w:val="auto"/>
              </w:rPr>
            </w:pPr>
          </w:p>
        </w:tc>
      </w:tr>
      <w:tr>
        <w:trPr>
          <w:trHeight w:val="392"/>
        </w:trPr>
        <w:tc>
          <w:tcPr>
            <w:tcW w:w="35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513"/>
        </w:trPr>
        <w:tc>
          <w:tcPr>
            <w:tcW w:w="35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1."/>
      <w:numFmt w:val="decimal"/>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1."/>
      <w:numFmt w:val="decimal"/>
      <w:start w:val="2"/>
    </w:lvl>
  </w:abstractNum>
  <w:abstractNum w:abstractNumId="5">
    <w:nsid w:val="38437FDB"/>
    <w:multiLevelType w:val="hybridMultilevel"/>
    <w:lvl w:ilvl="0">
      <w:lvlJc w:val="left"/>
      <w:lvlText w:val="%1."/>
      <w:numFmt w:val="decimal"/>
      <w:start w:val="3"/>
    </w:lvl>
  </w:abstractNum>
  <w:abstractNum w:abstractNumId="6">
    <w:nsid w:val="7644A45C"/>
    <w:multiLevelType w:val="hybridMultilevel"/>
    <w:lvl w:ilvl="0">
      <w:lvlJc w:val="left"/>
      <w:lvlText w:val="%1."/>
      <w:numFmt w:val="decimal"/>
      <w:start w:val="4"/>
    </w:lvl>
  </w:abstractNum>
  <w:abstractNum w:abstractNumId="7">
    <w:nsid w:val="32FFF902"/>
    <w:multiLevelType w:val="hybridMultilevel"/>
    <w:lvl w:ilvl="0">
      <w:lvlJc w:val="left"/>
      <w:lvlText w:val="%1."/>
      <w:numFmt w:val="decimal"/>
      <w:start w:val="5"/>
    </w:lvl>
  </w:abstractNum>
  <w:abstractNum w:abstractNumId="8">
    <w:nsid w:val="684A481A"/>
    <w:multiLevelType w:val="hybridMultilevel"/>
    <w:lvl w:ilvl="0">
      <w:lvlJc w:val="left"/>
      <w:lvlText w:val="%1."/>
      <w:numFmt w:val="decimal"/>
      <w:start w:val="6"/>
    </w:lvl>
  </w:abstractNum>
  <w:abstractNum w:abstractNumId="9">
    <w:nsid w:val="579478FE"/>
    <w:multiLevelType w:val="hybridMultilevel"/>
    <w:lvl w:ilvl="0">
      <w:lvlJc w:val="left"/>
      <w:lvlText w:val="%1."/>
      <w:numFmt w:val="decimal"/>
      <w:start w:val="7"/>
    </w:lvl>
  </w:abstractNum>
  <w:abstractNum w:abstractNumId="10">
    <w:nsid w:val="749ABB43"/>
    <w:multiLevelType w:val="hybridMultilevel"/>
    <w:lvl w:ilvl="0">
      <w:lvlJc w:val="left"/>
      <w:lvlText w:val="%1."/>
      <w:numFmt w:val="decimal"/>
      <w:start w:val="8"/>
    </w:lvl>
  </w:abstractNum>
  <w:abstractNum w:abstractNumId="11">
    <w:nsid w:val="3DC240FB"/>
    <w:multiLevelType w:val="hybridMultilevel"/>
    <w:lvl w:ilvl="0">
      <w:lvlJc w:val="left"/>
      <w:lvlText w:val="%1."/>
      <w:numFmt w:val="decimal"/>
      <w:start w:val="9"/>
    </w:lvl>
  </w:abstractNum>
  <w:abstractNum w:abstractNumId="12">
    <w:nsid w:val="1BA026FA"/>
    <w:multiLevelType w:val="hybridMultilevel"/>
    <w:lvl w:ilvl="0">
      <w:lvlJc w:val="left"/>
      <w:lvlText w:val="%1."/>
      <w:numFmt w:val="decimal"/>
      <w:start w:val="10"/>
    </w:lvl>
  </w:abstractNum>
  <w:abstractNum w:abstractNumId="13">
    <w:nsid w:val="79A1DEAA"/>
    <w:multiLevelType w:val="hybridMultilevel"/>
    <w:lvl w:ilvl="0">
      <w:lvlJc w:val="left"/>
      <w:lvlText w:val="%1."/>
      <w:numFmt w:val="decimal"/>
      <w:start w:val="11"/>
    </w:lvl>
  </w:abstractNum>
  <w:abstractNum w:abstractNumId="14">
    <w:nsid w:val="75C6C33A"/>
    <w:multiLevelType w:val="hybridMultilevel"/>
    <w:lvl w:ilvl="0">
      <w:lvlJc w:val="left"/>
      <w:lvlText w:val="%1."/>
      <w:numFmt w:val="decimal"/>
      <w:start w:val="12"/>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1)"/>
      <w:numFmt w:val="decimal"/>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1)"/>
      <w:numFmt w:val="decimal"/>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
      <w:numFmt w:val="bullet"/>
      <w:start w:val="1"/>
    </w:lvl>
  </w:abstractNum>
  <w:abstractNum w:abstractNumId="55">
    <w:nsid w:val="168E121F"/>
    <w:multiLevelType w:val="hybridMultilevel"/>
    <w:lvl w:ilvl="0">
      <w:lvlJc w:val="left"/>
      <w:lvlText w:val="•"/>
      <w:numFmt w:val="bullet"/>
      <w:start w:val="1"/>
    </w:lvl>
  </w:abstractNum>
  <w:abstractNum w:abstractNumId="56">
    <w:nsid w:val="1EBA5D23"/>
    <w:multiLevelType w:val="hybridMultilevel"/>
    <w:lvl w:ilvl="0">
      <w:lvlJc w:val="left"/>
      <w:lvlText w:val="%1"/>
      <w:numFmt w:val="decimal"/>
      <w:start w:val="104"/>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1."/>
      <w:numFmt w:val="upperLetter"/>
      <w:start w:val="1"/>
    </w:lvl>
  </w:abstractNum>
  <w:abstractNum w:abstractNumId="59">
    <w:nsid w:val="540A471C"/>
    <w:multiLevelType w:val="hybridMultilevel"/>
    <w:lvl w:ilvl="0">
      <w:lvlJc w:val="left"/>
      <w:lvlText w:val="%1."/>
      <w:numFmt w:val="decimal"/>
      <w:start w:val="9"/>
    </w:lvl>
  </w:abstractNum>
  <w:abstractNum w:abstractNumId="60">
    <w:nsid w:val="7BD3EE7B"/>
    <w:multiLevelType w:val="hybridMultilevel"/>
    <w:lvl w:ilvl="0">
      <w:lvlJc w:val="left"/>
      <w:lvlText w:val="%1."/>
      <w:numFmt w:val="decimal"/>
      <w:start w:val="1"/>
    </w:lvl>
  </w:abstractNum>
  <w:abstractNum w:abstractNumId="61">
    <w:nsid w:val="51D9C564"/>
    <w:multiLevelType w:val="hybridMultilevel"/>
    <w:lvl w:ilvl="0">
      <w:lvlJc w:val="left"/>
      <w:lvlText w:val="%1."/>
      <w:numFmt w:val="decimal"/>
      <w:start w:val="2"/>
    </w:lvl>
    <w:lvl w:ilvl="1">
      <w:lvlJc w:val="left"/>
      <w:lvlText w:val="(%2)"/>
      <w:numFmt w:val="lowerLetter"/>
      <w:start w:val="1"/>
    </w:lvl>
  </w:abstractNum>
  <w:abstractNum w:abstractNumId="62">
    <w:nsid w:val="613EFDC5"/>
    <w:multiLevelType w:val="hybridMultilevel"/>
    <w:lvl w:ilvl="0">
      <w:lvlJc w:val="left"/>
      <w:lvlText w:val="(%1)"/>
      <w:numFmt w:val="lowerLetter"/>
      <w:start w:val="2"/>
    </w:lvl>
  </w:abstractNum>
  <w:abstractNum w:abstractNumId="63">
    <w:nsid w:val="BF72B14"/>
    <w:multiLevelType w:val="hybridMultilevel"/>
    <w:lvl w:ilvl="0">
      <w:lvlJc w:val="left"/>
      <w:lvlText w:val="%1."/>
      <w:numFmt w:val="decimal"/>
      <w:start w:val="4"/>
    </w:lvl>
    <w:lvl w:ilvl="1">
      <w:lvlJc w:val="left"/>
      <w:lvlText w:val="(%2)"/>
      <w:numFmt w:val="lowerLetter"/>
      <w:start w:val="1"/>
    </w:lvl>
  </w:abstractNum>
  <w:abstractNum w:abstractNumId="64">
    <w:nsid w:val="11447B73"/>
    <w:multiLevelType w:val="hybridMultilevel"/>
    <w:lvl w:ilvl="0">
      <w:lvlJc w:val="left"/>
      <w:lvlText w:val="%1."/>
      <w:numFmt w:val="decimal"/>
      <w:start w:val="5"/>
    </w:lvl>
  </w:abstractNum>
  <w:abstractNum w:abstractNumId="65">
    <w:nsid w:val="42963E5A"/>
    <w:multiLevelType w:val="hybridMultilevel"/>
    <w:lvl w:ilvl="0">
      <w:lvlJc w:val="left"/>
      <w:lvlText w:val="%1."/>
      <w:numFmt w:val="decimal"/>
      <w:start w:val="1"/>
    </w:lvl>
    <w:lvl w:ilvl="1">
      <w:lvlJc w:val="left"/>
      <w:lvlText w:val="(%2)"/>
      <w:numFmt w:val="lowerLetter"/>
      <w:start w:val="7"/>
    </w:lvl>
  </w:abstractNum>
  <w:abstractNum w:abstractNumId="66">
    <w:nsid w:val="A0382C5"/>
    <w:multiLevelType w:val="hybridMultilevel"/>
    <w:lvl w:ilvl="0">
      <w:lvlJc w:val="left"/>
      <w:lvlText w:val="%1."/>
      <w:numFmt w:val="decimal"/>
      <w:start w:val="5"/>
    </w:lvl>
    <w:lvl w:ilvl="1">
      <w:lvlJc w:val="left"/>
      <w:lvlText w:val="(%2)"/>
      <w:numFmt w:val="lowerLetter"/>
      <w:start w:val="1"/>
    </w:lvl>
  </w:abstractNum>
  <w:abstractNum w:abstractNumId="67">
    <w:nsid w:val="8F2B15E"/>
    <w:multiLevelType w:val="hybridMultilevel"/>
    <w:lvl w:ilvl="0">
      <w:lvlJc w:val="left"/>
      <w:lvlText w:val="%1."/>
      <w:numFmt w:val="decimal"/>
      <w:start w:val="7"/>
    </w:lvl>
  </w:abstractNum>
  <w:abstractNum w:abstractNumId="68">
    <w:nsid w:val="1A32234B"/>
    <w:multiLevelType w:val="hybridMultilevel"/>
    <w:lvl w:ilvl="0">
      <w:lvlJc w:val="left"/>
      <w:lvlText w:val="%1."/>
      <w:numFmt w:val="decimal"/>
      <w:start w:val="8"/>
    </w:lvl>
    <w:lvl w:ilvl="1">
      <w:lvlJc w:val="left"/>
      <w:lvlText w:val="(%2)"/>
      <w:numFmt w:val="lowerLetter"/>
      <w:start w:val="1"/>
    </w:lvl>
  </w:abstractNum>
  <w:abstractNum w:abstractNumId="69">
    <w:nsid w:val="3B0FD379"/>
    <w:multiLevelType w:val="hybridMultilevel"/>
    <w:lvl w:ilvl="0">
      <w:lvlJc w:val="left"/>
      <w:lvlText w:val="%1"/>
      <w:numFmt w:val="decimal"/>
      <w:start w:val="1"/>
    </w:lvl>
    <w:lvl w:ilvl="1">
      <w:lvlJc w:val="left"/>
      <w:lvlText w:val="(%2)"/>
      <w:numFmt w:val="lowerLetter"/>
      <w:start w:val="2"/>
    </w:lvl>
  </w:abstractNum>
  <w:abstractNum w:abstractNumId="70">
    <w:nsid w:val="68EB2F63"/>
    <w:multiLevelType w:val="hybridMultilevel"/>
    <w:lvl w:ilvl="0">
      <w:lvlJc w:val="left"/>
      <w:lvlText w:val="%1."/>
      <w:numFmt w:val="decimal"/>
      <w:start w:val="9"/>
    </w:lvl>
    <w:lvl w:ilvl="1">
      <w:lvlJc w:val="left"/>
      <w:lvlText w:val="(%2)"/>
      <w:numFmt w:val="lowerLetter"/>
      <w:start w:val="1"/>
    </w:lvl>
  </w:abstractNum>
  <w:abstractNum w:abstractNumId="71">
    <w:nsid w:val="4962813B"/>
    <w:multiLevelType w:val="hybridMultilevel"/>
    <w:lvl w:ilvl="0">
      <w:lvlJc w:val="left"/>
      <w:lvlText w:val="%1."/>
      <w:numFmt w:val="decimal"/>
      <w:start w:val="12"/>
    </w:lvl>
  </w:abstractNum>
  <w:abstractNum w:abstractNumId="72">
    <w:nsid w:val="60B6DF70"/>
    <w:multiLevelType w:val="hybridMultilevel"/>
    <w:lvl w:ilvl="0">
      <w:lvlJc w:val="left"/>
      <w:lvlText w:val="%1."/>
      <w:numFmt w:val="decimal"/>
      <w:start w:val="1"/>
    </w:lvl>
  </w:abstractNum>
  <w:abstractNum w:abstractNumId="73">
    <w:nsid w:val="6A5EE64"/>
    <w:multiLevelType w:val="hybridMultilevel"/>
    <w:lvl w:ilvl="0">
      <w:lvlJc w:val="left"/>
      <w:lvlText w:val="%1."/>
      <w:numFmt w:val="decimal"/>
      <w:start w:val="2"/>
    </w:lvl>
  </w:abstractNum>
  <w:abstractNum w:abstractNumId="74">
    <w:nsid w:val="14330624"/>
    <w:multiLevelType w:val="hybridMultilevel"/>
    <w:lvl w:ilvl="0">
      <w:lvlJc w:val="left"/>
      <w:lvlText w:val="%1."/>
      <w:numFmt w:val="decimal"/>
      <w:start w:val="3"/>
    </w:lvl>
  </w:abstractNum>
  <w:abstractNum w:abstractNumId="75">
    <w:nsid w:val="7FFFCA11"/>
    <w:multiLevelType w:val="hybridMultilevel"/>
    <w:lvl w:ilvl="0">
      <w:lvlJc w:val="left"/>
      <w:lvlText w:val="%1."/>
      <w:numFmt w:val="decimal"/>
      <w:start w:val="4"/>
    </w:lvl>
  </w:abstractNum>
  <w:abstractNum w:abstractNumId="76">
    <w:nsid w:val="1A27709E"/>
    <w:multiLevelType w:val="hybridMultilevel"/>
    <w:lvl w:ilvl="0">
      <w:lvlJc w:val="left"/>
      <w:lvlText w:val="%1."/>
      <w:numFmt w:val="decimal"/>
      <w:start w:val="5"/>
    </w:lvl>
  </w:abstractNum>
  <w:abstractNum w:abstractNumId="77">
    <w:nsid w:val="71EA1109"/>
    <w:multiLevelType w:val="hybridMultilevel"/>
    <w:lvl w:ilvl="0">
      <w:lvlJc w:val="left"/>
      <w:lvlText w:val="%1."/>
      <w:numFmt w:val="decimal"/>
      <w:start w:val="6"/>
    </w:lvl>
  </w:abstractNum>
  <w:abstractNum w:abstractNumId="78">
    <w:nsid w:val="100F59DC"/>
    <w:multiLevelType w:val="hybridMultilevel"/>
    <w:lvl w:ilvl="0">
      <w:lvlJc w:val="left"/>
      <w:lvlText w:val="(%1)"/>
      <w:numFmt w:val="decimal"/>
      <w:start w:val="10"/>
    </w:lvl>
  </w:abstractNum>
  <w:abstractNum w:abstractNumId="79">
    <w:nsid w:val="7FB7E0AA"/>
    <w:multiLevelType w:val="hybridMultilevel"/>
    <w:lvl w:ilvl="0">
      <w:lvlJc w:val="left"/>
      <w:lvlText w:val="%1."/>
      <w:numFmt w:val="decimal"/>
      <w:start w:val="7"/>
    </w:lvl>
  </w:abstractNum>
  <w:abstractNum w:abstractNumId="80">
    <w:nsid w:val="6EB5BD4"/>
    <w:multiLevelType w:val="hybridMultilevel"/>
    <w:lvl w:ilvl="0">
      <w:lvlJc w:val="left"/>
      <w:lvlText w:val="%1."/>
      <w:numFmt w:val="decimal"/>
      <w:start w:val="8"/>
    </w:lvl>
  </w:abstractNum>
  <w:abstractNum w:abstractNumId="81">
    <w:nsid w:val="6F6DD9AC"/>
    <w:multiLevelType w:val="hybridMultilevel"/>
    <w:lvl w:ilvl="0">
      <w:lvlJc w:val="left"/>
      <w:lvlText w:val="%1."/>
      <w:numFmt w:val="decimal"/>
      <w:start w:val="9"/>
    </w:lvl>
  </w:abstractNum>
  <w:abstractNum w:abstractNumId="82">
    <w:nsid w:val="94211F2"/>
    <w:multiLevelType w:val="hybridMultilevel"/>
    <w:lvl w:ilvl="0">
      <w:lvlJc w:val="left"/>
      <w:lvlText w:val="%1."/>
      <w:numFmt w:val="decimal"/>
      <w:start w:val="23"/>
    </w:lvl>
  </w:abstractNum>
  <w:abstractNum w:abstractNumId="83">
    <w:nsid w:val="885E1B"/>
    <w:multiLevelType w:val="hybridMultilevel"/>
    <w:lvl w:ilvl="0">
      <w:lvlJc w:val="left"/>
      <w:lvlText w:val="%1."/>
      <w:numFmt w:val="decimal"/>
      <w:start w:val="24"/>
    </w:lvl>
  </w:abstractNum>
  <w:abstractNum w:abstractNumId="84">
    <w:nsid w:val="76272110"/>
    <w:multiLevelType w:val="hybridMultilevel"/>
    <w:lvl w:ilvl="0">
      <w:lvlJc w:val="left"/>
      <w:lvlText w:val="%1."/>
      <w:numFmt w:val="decimal"/>
      <w:start w:val="25"/>
    </w:lvl>
    <w:lvl w:ilvl="1">
      <w:lvlJc w:val="left"/>
      <w:lvlText w:val="(%2)"/>
      <w:numFmt w:val="lowerLetter"/>
      <w:start w:val="3"/>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2022-08-04T16:53:27Z</dcterms:created>
  <dcterms:modified xsi:type="dcterms:W3CDTF">2022-08-04T16:53:27Z</dcterms:modified>
</cp:coreProperties>
</file>