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SECURITIES AND EXCHANGE COMMISSION</w:t>
      </w:r>
    </w:p>
    <w:p>
      <w:pPr>
        <w:spacing w:after="0" w:line="35"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86995</wp:posOffset>
            </wp:positionV>
            <wp:extent cx="1543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75"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97155</wp:posOffset>
            </wp:positionV>
            <wp:extent cx="15430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9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15"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69"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7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77"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6" w:lineRule="exact"/>
        <w:rPr>
          <w:sz w:val="24"/>
          <w:szCs w:val="24"/>
          <w:color w:val="auto"/>
        </w:rPr>
      </w:pPr>
    </w:p>
    <w:p>
      <w:pPr>
        <w:ind w:left="3660"/>
        <w:spacing w:after="0"/>
        <w:tabs>
          <w:tab w:leader="none" w:pos="66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3678555</wp:posOffset>
            </wp:positionH>
            <wp:positionV relativeFrom="paragraph">
              <wp:posOffset>-4445</wp:posOffset>
            </wp:positionV>
            <wp:extent cx="514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5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001-40431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88900</wp:posOffset>
            </wp:positionV>
            <wp:extent cx="15430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163" w:lineRule="exact"/>
        <w:rPr>
          <w:sz w:val="24"/>
          <w:szCs w:val="24"/>
          <w:color w:val="auto"/>
        </w:rPr>
      </w:pPr>
    </w:p>
    <w:p>
      <w:pPr>
        <w:jc w:val="center"/>
        <w:ind w:right="100"/>
        <w:spacing w:after="0"/>
        <w:rPr>
          <w:sz w:val="20"/>
          <w:szCs w:val="20"/>
          <w:color w:val="auto"/>
        </w:rPr>
      </w:pPr>
      <w:r>
        <w:rPr>
          <w:rFonts w:ascii="Arial" w:cs="Arial" w:eastAsia="Arial" w:hAnsi="Arial"/>
          <w:sz w:val="41"/>
          <w:szCs w:val="41"/>
          <w:b w:val="1"/>
          <w:bCs w:val="1"/>
          <w:color w:val="auto"/>
        </w:rPr>
        <w:t>DAY ONE BIOPHARMACEUTICALS, INC.</w:t>
      </w:r>
    </w:p>
    <w:p>
      <w:pPr>
        <w:spacing w:after="0" w:line="69" w:lineRule="exact"/>
        <w:rPr>
          <w:sz w:val="24"/>
          <w:szCs w:val="24"/>
          <w:color w:val="auto"/>
        </w:rPr>
      </w:pPr>
    </w:p>
    <w:tbl>
      <w:tblPr>
        <w:tblLayout w:type="fixed"/>
        <w:tblInd w:w="1680" w:type="dxa"/>
        <w:tblCellMar>
          <w:top w:w="0" w:type="dxa"/>
          <w:left w:w="0" w:type="dxa"/>
          <w:bottom w:w="0" w:type="dxa"/>
          <w:right w:w="0" w:type="dxa"/>
        </w:tblCellMar>
      </w:tblPr>
      <w:tr>
        <w:trPr>
          <w:trHeight w:val="210"/>
        </w:trPr>
        <w:tc>
          <w:tcPr>
            <w:tcW w:w="6020" w:type="dxa"/>
            <w:vAlign w:val="bottom"/>
            <w:gridSpan w:val="3"/>
          </w:tcPr>
          <w:p>
            <w:pPr>
              <w:jc w:val="center"/>
              <w:ind w:left="1745"/>
              <w:spacing w:after="0"/>
              <w:rPr>
                <w:sz w:val="20"/>
                <w:szCs w:val="20"/>
                <w:color w:val="auto"/>
              </w:rPr>
            </w:pPr>
            <w:r>
              <w:rPr>
                <w:rFonts w:ascii="Arial" w:cs="Arial" w:eastAsia="Arial" w:hAnsi="Arial"/>
                <w:sz w:val="16"/>
                <w:szCs w:val="16"/>
                <w:b w:val="1"/>
                <w:bCs w:val="1"/>
                <w:color w:val="auto"/>
                <w:w w:val="91"/>
              </w:rPr>
              <w:t>(Exact Name of Registrant as Specified in its Charter)</w:t>
            </w:r>
          </w:p>
        </w:tc>
        <w:tc>
          <w:tcPr>
            <w:tcW w:w="1220" w:type="dxa"/>
            <w:vAlign w:val="bottom"/>
          </w:tcPr>
          <w:p>
            <w:pPr>
              <w:spacing w:after="0"/>
              <w:rPr>
                <w:sz w:val="18"/>
                <w:szCs w:val="18"/>
                <w:color w:val="auto"/>
              </w:rPr>
            </w:pPr>
          </w:p>
        </w:tc>
      </w:tr>
      <w:tr>
        <w:trPr>
          <w:trHeight w:val="111"/>
        </w:trPr>
        <w:tc>
          <w:tcPr>
            <w:tcW w:w="2720" w:type="dxa"/>
            <w:vAlign w:val="bottom"/>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528"/>
        </w:trPr>
        <w:tc>
          <w:tcPr>
            <w:tcW w:w="6020" w:type="dxa"/>
            <w:vAlign w:val="bottom"/>
            <w:gridSpan w:val="3"/>
          </w:tcPr>
          <w:p>
            <w:pPr>
              <w:jc w:val="center"/>
              <w:ind w:right="3760"/>
              <w:spacing w:after="0"/>
              <w:rPr>
                <w:sz w:val="20"/>
                <w:szCs w:val="20"/>
                <w:color w:val="auto"/>
              </w:rPr>
            </w:pPr>
            <w:r>
              <w:rPr>
                <w:rFonts w:ascii="Arial" w:cs="Arial" w:eastAsia="Arial" w:hAnsi="Arial"/>
                <w:sz w:val="16"/>
                <w:szCs w:val="16"/>
                <w:b w:val="1"/>
                <w:bCs w:val="1"/>
                <w:color w:val="auto"/>
                <w:w w:val="93"/>
              </w:rPr>
              <w:t>Delaware</w:t>
            </w:r>
          </w:p>
        </w:tc>
        <w:tc>
          <w:tcPr>
            <w:tcW w:w="1220" w:type="dxa"/>
            <w:vAlign w:val="bottom"/>
          </w:tcPr>
          <w:p>
            <w:pPr>
              <w:jc w:val="right"/>
              <w:ind w:right="30"/>
              <w:spacing w:after="0"/>
              <w:rPr>
                <w:sz w:val="20"/>
                <w:szCs w:val="20"/>
                <w:color w:val="auto"/>
              </w:rPr>
            </w:pPr>
            <w:r>
              <w:rPr>
                <w:rFonts w:ascii="Arial" w:cs="Arial" w:eastAsia="Arial" w:hAnsi="Arial"/>
                <w:sz w:val="16"/>
                <w:szCs w:val="16"/>
                <w:b w:val="1"/>
                <w:bCs w:val="1"/>
                <w:color w:val="auto"/>
              </w:rPr>
              <w:t>83-2415215</w:t>
            </w:r>
          </w:p>
        </w:tc>
      </w:tr>
      <w:tr>
        <w:trPr>
          <w:trHeight w:val="190"/>
        </w:trPr>
        <w:tc>
          <w:tcPr>
            <w:tcW w:w="6020" w:type="dxa"/>
            <w:vAlign w:val="bottom"/>
            <w:gridSpan w:val="3"/>
          </w:tcPr>
          <w:p>
            <w:pPr>
              <w:jc w:val="center"/>
              <w:ind w:right="3760"/>
              <w:spacing w:after="0"/>
              <w:rPr>
                <w:sz w:val="20"/>
                <w:szCs w:val="20"/>
                <w:color w:val="auto"/>
              </w:rPr>
            </w:pPr>
            <w:r>
              <w:rPr>
                <w:rFonts w:ascii="Arial" w:cs="Arial" w:eastAsia="Arial" w:hAnsi="Arial"/>
                <w:sz w:val="13"/>
                <w:szCs w:val="13"/>
                <w:b w:val="1"/>
                <w:bCs w:val="1"/>
                <w:color w:val="auto"/>
                <w:w w:val="88"/>
              </w:rPr>
              <w:t>(State or other jurisdiction of</w:t>
            </w:r>
          </w:p>
        </w:tc>
        <w:tc>
          <w:tcPr>
            <w:tcW w:w="1220" w:type="dxa"/>
            <w:vAlign w:val="bottom"/>
          </w:tcPr>
          <w:p>
            <w:pPr>
              <w:jc w:val="center"/>
              <w:ind w:left="170"/>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6020" w:type="dxa"/>
            <w:vAlign w:val="bottom"/>
            <w:gridSpan w:val="3"/>
          </w:tcPr>
          <w:p>
            <w:pPr>
              <w:jc w:val="center"/>
              <w:ind w:right="3740"/>
              <w:spacing w:after="0"/>
              <w:rPr>
                <w:sz w:val="20"/>
                <w:szCs w:val="20"/>
                <w:color w:val="auto"/>
              </w:rPr>
            </w:pPr>
            <w:r>
              <w:rPr>
                <w:rFonts w:ascii="Arial" w:cs="Arial" w:eastAsia="Arial" w:hAnsi="Arial"/>
                <w:sz w:val="13"/>
                <w:szCs w:val="13"/>
                <w:b w:val="1"/>
                <w:bCs w:val="1"/>
                <w:color w:val="auto"/>
                <w:w w:val="88"/>
              </w:rPr>
              <w:t>incorporation or organization)</w:t>
            </w:r>
          </w:p>
        </w:tc>
        <w:tc>
          <w:tcPr>
            <w:tcW w:w="1220" w:type="dxa"/>
            <w:vAlign w:val="bottom"/>
          </w:tcPr>
          <w:p>
            <w:pPr>
              <w:jc w:val="center"/>
              <w:ind w:left="170"/>
              <w:spacing w:after="0"/>
              <w:rPr>
                <w:sz w:val="20"/>
                <w:szCs w:val="20"/>
                <w:color w:val="auto"/>
              </w:rPr>
            </w:pPr>
            <w:r>
              <w:rPr>
                <w:rFonts w:ascii="Arial" w:cs="Arial" w:eastAsia="Arial" w:hAnsi="Arial"/>
                <w:sz w:val="13"/>
                <w:szCs w:val="13"/>
                <w:b w:val="1"/>
                <w:bCs w:val="1"/>
                <w:color w:val="auto"/>
                <w:w w:val="89"/>
              </w:rPr>
              <w:t>Identification No.)</w:t>
            </w:r>
          </w:p>
        </w:tc>
      </w:tr>
      <w:tr>
        <w:trPr>
          <w:trHeight w:val="448"/>
        </w:trPr>
        <w:tc>
          <w:tcPr>
            <w:tcW w:w="6020" w:type="dxa"/>
            <w:vAlign w:val="bottom"/>
            <w:gridSpan w:val="3"/>
          </w:tcPr>
          <w:p>
            <w:pPr>
              <w:jc w:val="center"/>
              <w:ind w:right="3740"/>
              <w:spacing w:after="0"/>
              <w:rPr>
                <w:sz w:val="20"/>
                <w:szCs w:val="20"/>
                <w:color w:val="auto"/>
              </w:rPr>
            </w:pPr>
            <w:r>
              <w:rPr>
                <w:rFonts w:ascii="Arial" w:cs="Arial" w:eastAsia="Arial" w:hAnsi="Arial"/>
                <w:sz w:val="16"/>
                <w:szCs w:val="16"/>
                <w:b w:val="1"/>
                <w:bCs w:val="1"/>
                <w:color w:val="auto"/>
                <w:w w:val="91"/>
              </w:rPr>
              <w:t>395 Oyster Point Blvd., Suite 217</w:t>
            </w:r>
          </w:p>
        </w:tc>
        <w:tc>
          <w:tcPr>
            <w:tcW w:w="1220" w:type="dxa"/>
            <w:vAlign w:val="bottom"/>
          </w:tcPr>
          <w:p>
            <w:pPr>
              <w:jc w:val="right"/>
              <w:ind w:right="210"/>
              <w:spacing w:after="0"/>
              <w:rPr>
                <w:sz w:val="20"/>
                <w:szCs w:val="20"/>
                <w:color w:val="auto"/>
              </w:rPr>
            </w:pPr>
            <w:r>
              <w:rPr>
                <w:rFonts w:ascii="Arial" w:cs="Arial" w:eastAsia="Arial" w:hAnsi="Arial"/>
                <w:sz w:val="16"/>
                <w:szCs w:val="16"/>
                <w:b w:val="1"/>
                <w:bCs w:val="1"/>
                <w:color w:val="auto"/>
              </w:rPr>
              <w:t>94080</w:t>
            </w:r>
          </w:p>
        </w:tc>
      </w:tr>
      <w:tr>
        <w:trPr>
          <w:trHeight w:val="210"/>
        </w:trPr>
        <w:tc>
          <w:tcPr>
            <w:tcW w:w="6020" w:type="dxa"/>
            <w:vAlign w:val="bottom"/>
            <w:gridSpan w:val="3"/>
          </w:tcPr>
          <w:p>
            <w:pPr>
              <w:jc w:val="center"/>
              <w:ind w:right="3760"/>
              <w:spacing w:after="0"/>
              <w:rPr>
                <w:sz w:val="20"/>
                <w:szCs w:val="20"/>
                <w:color w:val="auto"/>
              </w:rPr>
            </w:pPr>
            <w:r>
              <w:rPr>
                <w:rFonts w:ascii="Arial" w:cs="Arial" w:eastAsia="Arial" w:hAnsi="Arial"/>
                <w:sz w:val="16"/>
                <w:szCs w:val="16"/>
                <w:b w:val="1"/>
                <w:bCs w:val="1"/>
                <w:color w:val="auto"/>
                <w:w w:val="90"/>
              </w:rPr>
              <w:t>South San Francisco, CA</w:t>
            </w:r>
          </w:p>
        </w:tc>
        <w:tc>
          <w:tcPr>
            <w:tcW w:w="1220" w:type="dxa"/>
            <w:vAlign w:val="bottom"/>
          </w:tcPr>
          <w:p>
            <w:pPr>
              <w:spacing w:after="0"/>
              <w:rPr>
                <w:sz w:val="18"/>
                <w:szCs w:val="18"/>
                <w:color w:val="auto"/>
              </w:rPr>
            </w:pPr>
          </w:p>
        </w:tc>
      </w:tr>
      <w:tr>
        <w:trPr>
          <w:trHeight w:val="206"/>
        </w:trPr>
        <w:tc>
          <w:tcPr>
            <w:tcW w:w="6020" w:type="dxa"/>
            <w:vAlign w:val="bottom"/>
            <w:gridSpan w:val="3"/>
          </w:tcPr>
          <w:p>
            <w:pPr>
              <w:jc w:val="center"/>
              <w:ind w:right="374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220" w:type="dxa"/>
            <w:vAlign w:val="bottom"/>
          </w:tcPr>
          <w:p>
            <w:pPr>
              <w:jc w:val="center"/>
              <w:ind w:left="170"/>
              <w:spacing w:after="0"/>
              <w:rPr>
                <w:sz w:val="20"/>
                <w:szCs w:val="20"/>
                <w:color w:val="auto"/>
              </w:rPr>
            </w:pPr>
            <w:r>
              <w:rPr>
                <w:rFonts w:ascii="Arial" w:cs="Arial" w:eastAsia="Arial" w:hAnsi="Arial"/>
                <w:sz w:val="13"/>
                <w:szCs w:val="13"/>
                <w:b w:val="1"/>
                <w:bCs w:val="1"/>
                <w:color w:val="auto"/>
                <w:w w:val="90"/>
              </w:rPr>
              <w:t>(Zip Code)</w:t>
            </w:r>
          </w:p>
        </w:tc>
      </w:tr>
      <w:tr>
        <w:trPr>
          <w:trHeight w:val="205"/>
        </w:trPr>
        <w:tc>
          <w:tcPr>
            <w:tcW w:w="5160" w:type="dxa"/>
            <w:vAlign w:val="bottom"/>
            <w:gridSpan w:val="2"/>
          </w:tcPr>
          <w:p>
            <w:pPr>
              <w:jc w:val="center"/>
              <w:ind w:left="2665"/>
              <w:spacing w:after="0"/>
              <w:rPr>
                <w:sz w:val="20"/>
                <w:szCs w:val="20"/>
                <w:color w:val="auto"/>
              </w:rPr>
            </w:pPr>
            <w:r>
              <w:rPr>
                <w:rFonts w:ascii="Arial" w:cs="Arial" w:eastAsia="Arial" w:hAnsi="Arial"/>
                <w:sz w:val="16"/>
                <w:szCs w:val="16"/>
                <w:b w:val="1"/>
                <w:bCs w:val="1"/>
                <w:color w:val="auto"/>
                <w:w w:val="93"/>
              </w:rPr>
              <w:t>(650) 484-0899</w:t>
            </w: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6020" w:type="dxa"/>
            <w:vAlign w:val="bottom"/>
            <w:gridSpan w:val="3"/>
          </w:tcPr>
          <w:p>
            <w:pPr>
              <w:jc w:val="center"/>
              <w:ind w:left="1805"/>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220" w:type="dxa"/>
            <w:vAlign w:val="bottom"/>
          </w:tcPr>
          <w:p>
            <w:pPr>
              <w:spacing w:after="0"/>
              <w:rPr>
                <w:sz w:val="18"/>
                <w:szCs w:val="18"/>
                <w:color w:val="auto"/>
              </w:rPr>
            </w:pPr>
          </w:p>
        </w:tc>
      </w:tr>
    </w:tbl>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55" w:lineRule="exact"/>
        <w:rPr>
          <w:sz w:val="24"/>
          <w:szCs w:val="24"/>
          <w:color w:val="auto"/>
        </w:rPr>
      </w:pPr>
    </w:p>
    <w:p>
      <w:pPr>
        <w:jc w:val="center"/>
        <w:ind w:right="40"/>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53975</wp:posOffset>
            </wp:positionV>
            <wp:extent cx="1543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118"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00" w:lineRule="exact"/>
        <w:rPr>
          <w:sz w:val="24"/>
          <w:szCs w:val="24"/>
          <w:color w:val="auto"/>
        </w:rPr>
      </w:pPr>
    </w:p>
    <w:p>
      <w:pPr>
        <w:spacing w:after="0" w:line="354" w:lineRule="exact"/>
        <w:rPr>
          <w:sz w:val="24"/>
          <w:szCs w:val="24"/>
          <w:color w:val="auto"/>
        </w:rPr>
      </w:pPr>
    </w:p>
    <w:tbl>
      <w:tblPr>
        <w:tblLayout w:type="fixed"/>
        <w:tblInd w:w="20" w:type="dxa"/>
        <w:tblCellMar>
          <w:top w:w="0" w:type="dxa"/>
          <w:left w:w="0" w:type="dxa"/>
          <w:bottom w:w="0" w:type="dxa"/>
          <w:right w:w="0" w:type="dxa"/>
        </w:tblCellMar>
      </w:tblPr>
      <w:tr>
        <w:trPr>
          <w:trHeight w:val="17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Title of each class</w:t>
            </w:r>
          </w:p>
        </w:tc>
        <w:tc>
          <w:tcPr>
            <w:tcW w:w="160" w:type="dxa"/>
            <w:vAlign w:val="bottom"/>
          </w:tcPr>
          <w:p>
            <w:pPr>
              <w:spacing w:after="0"/>
              <w:rPr>
                <w:sz w:val="15"/>
                <w:szCs w:val="15"/>
                <w:color w:val="auto"/>
              </w:rPr>
            </w:pPr>
          </w:p>
        </w:tc>
        <w:tc>
          <w:tcPr>
            <w:tcW w:w="3580" w:type="dxa"/>
            <w:vAlign w:val="bottom"/>
            <w:tcBorders>
              <w:bottom w:val="single" w:sz="8" w:color="auto"/>
            </w:tcBorders>
          </w:tcPr>
          <w:p>
            <w:pPr>
              <w:ind w:left="1360"/>
              <w:spacing w:after="0"/>
              <w:rPr>
                <w:sz w:val="20"/>
                <w:szCs w:val="20"/>
                <w:color w:val="auto"/>
              </w:rPr>
            </w:pPr>
            <w:r>
              <w:rPr>
                <w:rFonts w:ascii="Arial" w:cs="Arial" w:eastAsia="Arial" w:hAnsi="Arial"/>
                <w:sz w:val="13"/>
                <w:szCs w:val="13"/>
                <w:b w:val="1"/>
                <w:bCs w:val="1"/>
                <w:color w:val="auto"/>
              </w:rPr>
              <w:t>Trading Symbol</w:t>
            </w:r>
          </w:p>
        </w:tc>
        <w:tc>
          <w:tcPr>
            <w:tcW w:w="160" w:type="dxa"/>
            <w:vAlign w:val="bottom"/>
          </w:tcPr>
          <w:p>
            <w:pPr>
              <w:spacing w:after="0"/>
              <w:rPr>
                <w:sz w:val="15"/>
                <w:szCs w:val="15"/>
                <w:color w:val="auto"/>
              </w:rPr>
            </w:pPr>
          </w:p>
        </w:tc>
        <w:tc>
          <w:tcPr>
            <w:tcW w:w="358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259"/>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1"/>
              </w:rPr>
              <w:t>Common Stock, par value $0.0001 per share</w:t>
            </w:r>
          </w:p>
        </w:tc>
        <w:tc>
          <w:tcPr>
            <w:tcW w:w="160" w:type="dxa"/>
            <w:vAlign w:val="bottom"/>
          </w:tcPr>
          <w:p>
            <w:pPr>
              <w:spacing w:after="0"/>
              <w:rPr>
                <w:sz w:val="22"/>
                <w:szCs w:val="22"/>
                <w:color w:val="auto"/>
              </w:rPr>
            </w:pPr>
          </w:p>
        </w:tc>
        <w:tc>
          <w:tcPr>
            <w:tcW w:w="3580" w:type="dxa"/>
            <w:vAlign w:val="bottom"/>
          </w:tcPr>
          <w:p>
            <w:pPr>
              <w:ind w:left="1480"/>
              <w:spacing w:after="0"/>
              <w:rPr>
                <w:sz w:val="20"/>
                <w:szCs w:val="20"/>
                <w:color w:val="auto"/>
              </w:rPr>
            </w:pPr>
            <w:r>
              <w:rPr>
                <w:rFonts w:ascii="Arial" w:cs="Arial" w:eastAsia="Arial" w:hAnsi="Arial"/>
                <w:sz w:val="16"/>
                <w:szCs w:val="16"/>
                <w:b w:val="1"/>
                <w:bCs w:val="1"/>
                <w:color w:val="auto"/>
              </w:rPr>
              <w:t>DAWN</w:t>
            </w:r>
          </w:p>
        </w:tc>
        <w:tc>
          <w:tcPr>
            <w:tcW w:w="160" w:type="dxa"/>
            <w:vAlign w:val="bottom"/>
          </w:tcPr>
          <w:p>
            <w:pPr>
              <w:spacing w:after="0"/>
              <w:rPr>
                <w:sz w:val="22"/>
                <w:szCs w:val="22"/>
                <w:color w:val="auto"/>
              </w:rPr>
            </w:pPr>
          </w:p>
        </w:tc>
        <w:tc>
          <w:tcPr>
            <w:tcW w:w="3580" w:type="dxa"/>
            <w:vAlign w:val="bottom"/>
          </w:tcPr>
          <w:p>
            <w:pPr>
              <w:ind w:left="720"/>
              <w:spacing w:after="0"/>
              <w:rPr>
                <w:sz w:val="20"/>
                <w:szCs w:val="20"/>
                <w:color w:val="auto"/>
              </w:rPr>
            </w:pPr>
            <w:r>
              <w:rPr>
                <w:rFonts w:ascii="Arial" w:cs="Arial" w:eastAsia="Arial" w:hAnsi="Arial"/>
                <w:sz w:val="16"/>
                <w:szCs w:val="16"/>
                <w:b w:val="1"/>
                <w:bCs w:val="1"/>
                <w:color w:val="auto"/>
              </w:rPr>
              <w:t>Nasdaq Global Select Market</w:t>
            </w:r>
          </w:p>
        </w:tc>
      </w:tr>
    </w:tbl>
    <w:p>
      <w:pPr>
        <w:spacing w:after="0" w:line="77"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4"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6"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296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8"/>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34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2960"/>
              <w:spacing w:after="0"/>
              <w:rPr>
                <w:sz w:val="20"/>
                <w:szCs w:val="20"/>
                <w:color w:val="auto"/>
              </w:rPr>
            </w:pPr>
            <w:r>
              <w:rPr>
                <w:rFonts w:ascii="Arial" w:cs="Arial" w:eastAsia="Arial" w:hAnsi="Arial"/>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8"/>
        </w:trPr>
        <w:tc>
          <w:tcPr>
            <w:tcW w:w="17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300" w:type="dxa"/>
            <w:vAlign w:val="bottom"/>
          </w:tcPr>
          <w:p>
            <w:pPr>
              <w:ind w:left="2960"/>
              <w:spacing w:after="0"/>
              <w:rPr>
                <w:sz w:val="20"/>
                <w:szCs w:val="20"/>
                <w:color w:val="auto"/>
              </w:rPr>
            </w:pPr>
            <w:r>
              <w:rPr>
                <w:rFonts w:ascii="Arial" w:cs="Arial" w:eastAsia="Arial" w:hAnsi="Arial"/>
                <w:sz w:val="16"/>
                <w:szCs w:val="16"/>
                <w:color w:val="auto"/>
              </w:rPr>
              <w:t>Emerging growth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6"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right="2660"/>
        <w:spacing w:after="0" w:line="24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31, the registrant had 61,928,939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412115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6"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4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This Quarterly Report contains forward-looking statements within the meaning of Section 21E of the Securities Exchange Act of 1934, as amended, or the Exchange Act, and section 27A of the Securities Act of 1933, as amended, or the Securities Act. All statements contained in this Quarterly Report other than statements of historical fact, including statements regarding our future results of operations and financial position, business strategy, market size, potential growth opportunities, nonclinical and clinical development activities, efficacy and safety profile of our product candidates, potential therapeutic benefits and economic value of our product candidates, use of net proceeds from our public offerings, our ability to maintain and recognize the benefits of certain designations received by product candidates, the timing and results of nonclinical studies and clinical trials, commercial collaboration with third parties, and our ability to recognize milestone and royalty payments from commercialization agreements, the expected impact of the COVID-19 pandemic on our operations, and the receipt and timing of potential regulatory designations, approvals and commercialization of product candidates, are forward-looking statements.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spacing w:after="0" w:line="17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These forward-looking statements are subject to a number of risks, uncertainties and assumptions, including those described in Item 1A, “Risk Factors” and elsewhere in this Quarterly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6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 except as required by law. You should read this Quarterly Report with the understanding that our actual future results, levels of activity, performance and events and circumstances may be materially different from what we expect.</w:t>
      </w:r>
    </w:p>
    <w:p>
      <w:pPr>
        <w:spacing w:after="0" w:line="191"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Unless the context indicates otherwise, as used in this Quarterly Report on Form 10-Q, the terms “Day One,” “the Company,” “we,” “us,” and “our” refer to Day One Biopharmaceuticals, Inc., a Delaware corporation, and its consolidated subsidiaries taken as a whole, unless otherwise noted. “Day One” and all product candidate names are our common law trademarks.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407035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160" w:type="dxa"/>
            <w:vAlign w:val="bottom"/>
            <w:gridSpan w:val="6"/>
          </w:tcPr>
          <w:p>
            <w:pPr>
              <w:ind w:left="60"/>
              <w:spacing w:after="0"/>
              <w:rPr>
                <w:sz w:val="20"/>
                <w:szCs w:val="20"/>
                <w:color w:val="auto"/>
              </w:rPr>
            </w:pPr>
            <w:r>
              <w:rPr>
                <w:rFonts w:ascii="Arial" w:cs="Arial" w:eastAsia="Arial" w:hAnsi="Arial"/>
                <w:sz w:val="18"/>
                <w:szCs w:val="18"/>
                <w:b w:val="1"/>
                <w:bCs w:val="1"/>
                <w:color w:val="auto"/>
              </w:rPr>
              <w:t>Table of Contents</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w:t>
            </w:r>
          </w:p>
        </w:tc>
        <w:tc>
          <w:tcPr>
            <w:tcW w:w="8900" w:type="dxa"/>
            <w:vAlign w:val="bottom"/>
            <w:gridSpan w:val="1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INFORMATION</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8900" w:type="dxa"/>
            <w:vAlign w:val="bottom"/>
            <w:gridSpan w:val="1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Interim Consolidated Financial Statements (Unaudited)</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900" w:type="dxa"/>
            <w:vAlign w:val="bottom"/>
            <w:gridSpan w:val="1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900" w:type="dxa"/>
            <w:vAlign w:val="bottom"/>
            <w:gridSpan w:val="1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Operations and Comprehensive Loss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900" w:type="dxa"/>
            <w:vAlign w:val="bottom"/>
            <w:gridSpan w:val="15"/>
          </w:tcPr>
          <w:p>
            <w:pPr>
              <w:spacing w:after="0"/>
              <w:rPr>
                <w:rFonts w:ascii="Arial" w:cs="Arial" w:eastAsia="Arial" w:hAnsi="Arial"/>
                <w:sz w:val="18"/>
                <w:szCs w:val="18"/>
                <w:color w:val="0000FF"/>
                <w:w w:val="98"/>
              </w:rPr>
            </w:pPr>
            <w:hyperlink w:anchor="page6">
              <w:r>
                <w:rPr>
                  <w:rFonts w:ascii="Arial" w:cs="Arial" w:eastAsia="Arial" w:hAnsi="Arial"/>
                  <w:sz w:val="18"/>
                  <w:szCs w:val="18"/>
                  <w:color w:val="0000FF"/>
                  <w:w w:val="98"/>
                </w:rPr>
                <w:t>Condensed Consolidated Statements of Convertible Preferred Stock and Stockholders’ Equity/Members’ (Deficit)</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900" w:type="dxa"/>
            <w:vAlign w:val="bottom"/>
            <w:gridSpan w:val="1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900" w:type="dxa"/>
            <w:vAlign w:val="bottom"/>
            <w:gridSpan w:val="15"/>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8900" w:type="dxa"/>
            <w:vAlign w:val="bottom"/>
            <w:gridSpan w:val="15"/>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 Operations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8900" w:type="dxa"/>
            <w:vAlign w:val="bottom"/>
            <w:gridSpan w:val="15"/>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Quantitative and Qualitative Disclosures About Market Risk</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540" w:type="dxa"/>
            <w:vAlign w:val="bottom"/>
            <w:tcBorders>
              <w:left w:val="single" w:sz="8" w:color="0000FF"/>
            </w:tcBorders>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8900" w:type="dxa"/>
            <w:vAlign w:val="bottom"/>
            <w:gridSpan w:val="15"/>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Controls and Procedures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1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gridSpan w:val="3"/>
            <w:vMerge w:val="continue"/>
          </w:tcPr>
          <w:p>
            <w:pPr>
              <w:spacing w:after="0"/>
              <w:rPr>
                <w:sz w:val="21"/>
                <w:szCs w:val="21"/>
                <w:color w:val="auto"/>
              </w:rPr>
            </w:pPr>
          </w:p>
        </w:tc>
        <w:tc>
          <w:tcPr>
            <w:tcW w:w="8900" w:type="dxa"/>
            <w:vAlign w:val="bottom"/>
            <w:gridSpan w:val="15"/>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OTHER INFORMATION</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8900" w:type="dxa"/>
            <w:vAlign w:val="bottom"/>
            <w:gridSpan w:val="15"/>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Legal Proceedings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8900" w:type="dxa"/>
            <w:vAlign w:val="bottom"/>
            <w:gridSpan w:val="15"/>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Risk Factors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8900" w:type="dxa"/>
            <w:vAlign w:val="bottom"/>
            <w:gridSpan w:val="15"/>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Unregistered Sales of Equity Securities and Use of Proceeds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8900" w:type="dxa"/>
            <w:vAlign w:val="bottom"/>
            <w:gridSpan w:val="15"/>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Defaults Upon Senior Securities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560" w:type="dxa"/>
            <w:vAlign w:val="bottom"/>
            <w:gridSpan w:val="8"/>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8900" w:type="dxa"/>
            <w:vAlign w:val="bottom"/>
            <w:gridSpan w:val="15"/>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Mine Safety Disclosures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120" w:type="dxa"/>
            <w:vAlign w:val="bottom"/>
            <w:gridSpan w:val="11"/>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8900" w:type="dxa"/>
            <w:vAlign w:val="bottom"/>
            <w:gridSpan w:val="15"/>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Other Information</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8900" w:type="dxa"/>
            <w:vAlign w:val="bottom"/>
            <w:gridSpan w:val="15"/>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Exhibits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50"/>
        </w:trPr>
        <w:tc>
          <w:tcPr>
            <w:tcW w:w="1120" w:type="dxa"/>
            <w:vAlign w:val="bottom"/>
            <w:gridSpan w:val="3"/>
          </w:tcPr>
          <w:p>
            <w:pPr>
              <w:ind w:left="20"/>
              <w:spacing w:after="0"/>
              <w:rPr>
                <w:rFonts w:ascii="Arial" w:cs="Arial" w:eastAsia="Arial" w:hAnsi="Arial"/>
                <w:sz w:val="18"/>
                <w:szCs w:val="18"/>
                <w:color w:val="0000FF"/>
              </w:rPr>
            </w:pPr>
            <w:hyperlink w:anchor="page90">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83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5540" w:type="dxa"/>
            <w:vAlign w:val="bottom"/>
            <w:gridSpan w:val="12"/>
          </w:tcPr>
          <w:p>
            <w:pPr>
              <w:ind w:left="4460"/>
              <w:spacing w:after="0"/>
              <w:rPr>
                <w:sz w:val="20"/>
                <w:szCs w:val="20"/>
                <w:color w:val="auto"/>
              </w:rPr>
            </w:pPr>
            <w:r>
              <w:rPr>
                <w:rFonts w:ascii="Arial" w:cs="Arial" w:eastAsia="Arial" w:hAnsi="Arial"/>
                <w:sz w:val="18"/>
                <w:szCs w:val="18"/>
                <w:color w:val="auto"/>
              </w:rPr>
              <w:t>3</w:t>
            </w: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PART I-FINANCIAL INFORMATION</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297,160</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43,728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6,151</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303,311</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45,071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right-of-use asset</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Deposits and other long-term assets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303,783</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45,661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Liabilities, redeemable convertible preferred shares, redeemable convertible</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680" w:type="dxa"/>
            <w:vAlign w:val="bottom"/>
          </w:tcPr>
          <w:p>
            <w:pPr>
              <w:ind w:left="160"/>
              <w:spacing w:after="0"/>
              <w:rPr>
                <w:sz w:val="20"/>
                <w:szCs w:val="20"/>
                <w:color w:val="auto"/>
              </w:rPr>
            </w:pPr>
            <w:r>
              <w:rPr>
                <w:rFonts w:ascii="Arial" w:cs="Arial" w:eastAsia="Arial" w:hAnsi="Arial"/>
                <w:sz w:val="18"/>
                <w:szCs w:val="18"/>
                <w:b w:val="1"/>
                <w:bCs w:val="1"/>
                <w:color w:val="auto"/>
              </w:rPr>
              <w:t>noncontrolling interest and stockholders’ equity/members’ (deficit)</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683</w:t>
            </w:r>
          </w:p>
        </w:tc>
        <w:tc>
          <w:tcPr>
            <w:tcW w:w="2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5,161</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6,046</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Operating lease liabilities, long-term</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6,111</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Commitments and contingencies (Note 8)</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Redeemable convertible preferred shares, no par value; no shares authorized,</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issued and outstanding at September 30, 2021; 22,851,257 shares authorized,</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issued and outstanding at December 31, 2020</w:t>
            </w:r>
          </w:p>
        </w:tc>
        <w:tc>
          <w:tcPr>
            <w:tcW w:w="2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Redeemable convertible noncontrolling interest</w:t>
            </w:r>
          </w:p>
        </w:tc>
        <w:tc>
          <w:tcPr>
            <w:tcW w:w="220" w:type="dxa"/>
            <w:vAlign w:val="bottom"/>
          </w:tcPr>
          <w:p>
            <w:pPr>
              <w:spacing w:after="0"/>
              <w:rPr>
                <w:sz w:val="21"/>
                <w:szCs w:val="21"/>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equity/members’ (deficit)</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7680" w:type="dxa"/>
            <w:vAlign w:val="bottom"/>
          </w:tcPr>
          <w:p>
            <w:pPr>
              <w:ind w:left="200"/>
              <w:spacing w:after="0"/>
              <w:rPr>
                <w:sz w:val="20"/>
                <w:szCs w:val="20"/>
                <w:color w:val="auto"/>
              </w:rPr>
            </w:pPr>
            <w:r>
              <w:rPr>
                <w:rFonts w:ascii="Arial" w:cs="Arial" w:eastAsia="Arial" w:hAnsi="Arial"/>
                <w:sz w:val="18"/>
                <w:szCs w:val="18"/>
                <w:color w:val="auto"/>
              </w:rPr>
              <w:t>Preferred stock, 10,000,000 shares authorized, $0.0001 par value, no shares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340"/>
              <w:spacing w:after="0"/>
              <w:rPr>
                <w:sz w:val="20"/>
                <w:szCs w:val="20"/>
                <w:color w:val="auto"/>
              </w:rPr>
            </w:pPr>
            <w:r>
              <w:rPr>
                <w:rFonts w:ascii="Arial" w:cs="Arial" w:eastAsia="Arial" w:hAnsi="Arial"/>
                <w:sz w:val="18"/>
                <w:szCs w:val="18"/>
                <w:color w:val="auto"/>
              </w:rPr>
              <w:t>issued and outstanding at September 30, 2021; No shares authorized,</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340"/>
              <w:spacing w:after="0"/>
              <w:rPr>
                <w:sz w:val="20"/>
                <w:szCs w:val="20"/>
                <w:color w:val="auto"/>
              </w:rPr>
            </w:pPr>
            <w:r>
              <w:rPr>
                <w:rFonts w:ascii="Arial" w:cs="Arial" w:eastAsia="Arial" w:hAnsi="Arial"/>
                <w:sz w:val="18"/>
                <w:szCs w:val="18"/>
                <w:color w:val="auto"/>
              </w:rPr>
              <w:t>issued, and outstanding at December 31, 2020</w:t>
            </w:r>
          </w:p>
        </w:tc>
        <w:tc>
          <w:tcPr>
            <w:tcW w:w="22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shares, no par value; no shares authorized, issued and outstanding at</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September 30, 2021; 28,887,127 shares authorized and 6,035,869 shares at</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December 31st, 2020</w:t>
            </w:r>
          </w:p>
        </w:tc>
        <w:tc>
          <w:tcPr>
            <w:tcW w:w="2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680" w:type="dxa"/>
            <w:vAlign w:val="bottom"/>
          </w:tcPr>
          <w:p>
            <w:pPr>
              <w:ind w:left="200"/>
              <w:spacing w:after="0"/>
              <w:rPr>
                <w:sz w:val="20"/>
                <w:szCs w:val="20"/>
                <w:color w:val="auto"/>
              </w:rPr>
            </w:pPr>
            <w:r>
              <w:rPr>
                <w:rFonts w:ascii="Arial" w:cs="Arial" w:eastAsia="Arial" w:hAnsi="Arial"/>
                <w:sz w:val="18"/>
                <w:szCs w:val="18"/>
                <w:color w:val="auto"/>
              </w:rPr>
              <w:t>Common stock, 500,000,000 shares authorized, $0.0001 par value, 61,928,939 shares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340"/>
              <w:spacing w:after="0"/>
              <w:rPr>
                <w:sz w:val="20"/>
                <w:szCs w:val="20"/>
                <w:color w:val="auto"/>
              </w:rPr>
            </w:pPr>
            <w:r>
              <w:rPr>
                <w:rFonts w:ascii="Arial" w:cs="Arial" w:eastAsia="Arial" w:hAnsi="Arial"/>
                <w:sz w:val="18"/>
                <w:szCs w:val="18"/>
                <w:color w:val="auto"/>
              </w:rPr>
              <w:t>issued and outstanding at September 30, 2021; No shares authorized, issued,</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340"/>
              <w:spacing w:after="0"/>
              <w:rPr>
                <w:sz w:val="20"/>
                <w:szCs w:val="20"/>
                <w:color w:val="auto"/>
              </w:rPr>
            </w:pPr>
            <w:r>
              <w:rPr>
                <w:rFonts w:ascii="Arial" w:cs="Arial" w:eastAsia="Arial" w:hAnsi="Arial"/>
                <w:sz w:val="18"/>
                <w:szCs w:val="18"/>
                <w:color w:val="auto"/>
              </w:rPr>
              <w:t>and outstanding at December 31, 2020</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paid-in-capital</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403,214</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7680" w:type="dxa"/>
            <w:vAlign w:val="bottom"/>
          </w:tcPr>
          <w:p>
            <w:pPr>
              <w:ind w:left="200"/>
              <w:spacing w:after="0"/>
              <w:rPr>
                <w:sz w:val="20"/>
                <w:szCs w:val="20"/>
                <w:color w:val="auto"/>
              </w:rPr>
            </w:pPr>
            <w:r>
              <w:rPr>
                <w:rFonts w:ascii="Arial" w:cs="Arial" w:eastAsia="Arial" w:hAnsi="Arial"/>
                <w:sz w:val="18"/>
                <w:szCs w:val="18"/>
                <w:color w:val="auto"/>
              </w:rPr>
              <w:t>Incentive shares, no par value; no shares authorized, issued and outstanding</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340"/>
              <w:spacing w:after="0"/>
              <w:rPr>
                <w:sz w:val="20"/>
                <w:szCs w:val="20"/>
                <w:color w:val="auto"/>
              </w:rPr>
            </w:pPr>
            <w:r>
              <w:rPr>
                <w:rFonts w:ascii="Arial" w:cs="Arial" w:eastAsia="Arial" w:hAnsi="Arial"/>
                <w:sz w:val="18"/>
                <w:szCs w:val="18"/>
                <w:color w:val="auto"/>
              </w:rPr>
              <w:t>at September 30, 2021; 4,312,540 shares authorized and 4,112,012 shares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340"/>
              <w:spacing w:after="0"/>
              <w:rPr>
                <w:sz w:val="20"/>
                <w:szCs w:val="20"/>
                <w:color w:val="auto"/>
              </w:rPr>
            </w:pPr>
            <w:r>
              <w:rPr>
                <w:rFonts w:ascii="Arial" w:cs="Arial" w:eastAsia="Arial" w:hAnsi="Arial"/>
                <w:sz w:val="18"/>
                <w:szCs w:val="18"/>
                <w:color w:val="auto"/>
              </w:rPr>
              <w:t>issued and outstanding at December 31, 2020</w:t>
            </w:r>
          </w:p>
        </w:tc>
        <w:tc>
          <w:tcPr>
            <w:tcW w:w="22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(105,548 )</w:t>
            </w:r>
          </w:p>
        </w:tc>
        <w:tc>
          <w:tcPr>
            <w:tcW w:w="24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(56,842 )</w:t>
            </w:r>
          </w:p>
        </w:tc>
        <w:tc>
          <w:tcPr>
            <w:tcW w:w="0" w:type="dxa"/>
            <w:vAlign w:val="bottom"/>
          </w:tcPr>
          <w:p>
            <w:pPr>
              <w:spacing w:after="0"/>
              <w:rPr>
                <w:sz w:val="1"/>
                <w:szCs w:val="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Total stockholders’ equity/members’ (deficit)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297,672</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(54,205 )</w:t>
            </w:r>
          </w:p>
        </w:tc>
        <w:tc>
          <w:tcPr>
            <w:tcW w:w="0" w:type="dxa"/>
            <w:vAlign w:val="bottom"/>
          </w:tcPr>
          <w:p>
            <w:pPr>
              <w:spacing w:after="0"/>
              <w:rPr>
                <w:sz w:val="1"/>
                <w:szCs w:val="1"/>
                <w:color w:val="auto"/>
              </w:rPr>
            </w:pPr>
          </w:p>
        </w:tc>
      </w:tr>
      <w:tr>
        <w:trPr>
          <w:trHeight w:val="238"/>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redeemable convertible preferred shares, redeemable</w:t>
            </w:r>
          </w:p>
        </w:tc>
        <w:tc>
          <w:tcPr>
            <w:tcW w:w="220" w:type="dxa"/>
            <w:vAlign w:val="bottom"/>
            <w:tcBorders>
              <w:top w:val="single" w:sz="8" w:color="auto"/>
            </w:tcBorders>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303,783</w:t>
            </w: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45,661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b w:val="1"/>
                <w:bCs w:val="1"/>
                <w:color w:val="auto"/>
              </w:rPr>
              <w:t>convertible noncontrolling interest and Stockholders' equity/members' (deficit)</w:t>
            </w:r>
          </w:p>
        </w:tc>
        <w:tc>
          <w:tcPr>
            <w:tcW w:w="220" w:type="dxa"/>
            <w:vAlign w:val="bottom"/>
            <w:tcBorders>
              <w:bottom w:val="single" w:sz="8" w:color="auto"/>
            </w:tcBorders>
            <w:vMerge w:val="continue"/>
            <w:shd w:val="clear" w:color="auto" w:fill="CFF0FC"/>
          </w:tcPr>
          <w:p>
            <w:pPr>
              <w:spacing w:after="0"/>
              <w:rPr>
                <w:sz w:val="21"/>
                <w:szCs w:val="21"/>
                <w:color w:val="auto"/>
              </w:rPr>
            </w:pPr>
          </w:p>
        </w:tc>
        <w:tc>
          <w:tcPr>
            <w:tcW w:w="138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vMerge w:val="continue"/>
            <w:shd w:val="clear" w:color="auto" w:fill="CFF0FC"/>
          </w:tcPr>
          <w:p>
            <w:pPr>
              <w:spacing w:after="0"/>
              <w:rPr>
                <w:sz w:val="21"/>
                <w:szCs w:val="21"/>
                <w:color w:val="auto"/>
              </w:rPr>
            </w:pPr>
          </w:p>
        </w:tc>
        <w:tc>
          <w:tcPr>
            <w:tcW w:w="13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-5748655</wp:posOffset>
            </wp:positionV>
            <wp:extent cx="1803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-5748655</wp:posOffset>
            </wp:positionV>
            <wp:extent cx="5969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-5082540</wp:posOffset>
            </wp:positionV>
            <wp:extent cx="1803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-5065395</wp:posOffset>
            </wp:positionV>
            <wp:extent cx="1803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-5082540</wp:posOffset>
            </wp:positionV>
            <wp:extent cx="596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-5065395</wp:posOffset>
            </wp:positionV>
            <wp:extent cx="59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-3922395</wp:posOffset>
            </wp:positionV>
            <wp:extent cx="1803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-3922395</wp:posOffset>
            </wp:positionV>
            <wp:extent cx="5969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-3579495</wp:posOffset>
            </wp:positionV>
            <wp:extent cx="1803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-3579495</wp:posOffset>
            </wp:positionV>
            <wp:extent cx="5969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-485140</wp:posOffset>
            </wp:positionV>
            <wp:extent cx="1803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-485140</wp:posOffset>
            </wp:positionV>
            <wp:extent cx="5969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1803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1803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 w:name="page5"/>
    <w:bookmarkEnd w:id="4"/>
    <w:p>
      <w:pPr>
        <w:jc w:val="center"/>
        <w:ind w:right="40"/>
        <w:spacing w:after="0" w:line="281" w:lineRule="auto"/>
        <w:rPr>
          <w:sz w:val="20"/>
          <w:szCs w:val="20"/>
          <w:color w:val="auto"/>
        </w:rPr>
      </w:pPr>
      <w:r>
        <w:rPr>
          <w:rFonts w:ascii="Arial" w:cs="Arial" w:eastAsia="Arial" w:hAnsi="Arial"/>
          <w:sz w:val="18"/>
          <w:szCs w:val="18"/>
          <w:b w:val="1"/>
          <w:bCs w:val="1"/>
          <w:color w:val="auto"/>
        </w:rPr>
        <w:t xml:space="preserve">Condensed Consolidated Statements of Operations and Comprehensive Loss </w:t>
      </w:r>
      <w:r>
        <w:rPr>
          <w:rFonts w:ascii="Arial" w:cs="Arial" w:eastAsia="Arial" w:hAnsi="Arial"/>
          <w:sz w:val="18"/>
          <w:szCs w:val="18"/>
          <w:color w:val="auto"/>
        </w:rPr>
        <w:t>(</w:t>
      </w:r>
      <w:r>
        <w:rPr>
          <w:rFonts w:ascii="Arial" w:cs="Arial" w:eastAsia="Arial" w:hAnsi="Arial"/>
          <w:sz w:val="18"/>
          <w:szCs w:val="18"/>
          <w:b w:val="1"/>
          <w:bCs w:val="1"/>
          <w:color w:val="auto"/>
        </w:rPr>
        <w:t>in thousands, except share and per share amounts)</w:t>
      </w:r>
      <w:r>
        <w:rPr>
          <w:rFonts w:ascii="Arial" w:cs="Arial" w:eastAsia="Arial" w:hAnsi="Arial"/>
          <w:sz w:val="18"/>
          <w:szCs w:val="18"/>
          <w:color w:val="auto"/>
        </w:rPr>
        <w:t xml:space="preserve"> </w:t>
      </w: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24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9,849</w:t>
            </w:r>
          </w:p>
        </w:tc>
        <w:tc>
          <w:tcPr>
            <w:tcW w:w="2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2,537</w:t>
            </w:r>
          </w:p>
        </w:tc>
        <w:tc>
          <w:tcPr>
            <w:tcW w:w="2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32,395</w:t>
            </w:r>
          </w:p>
        </w:tc>
        <w:tc>
          <w:tcPr>
            <w:tcW w:w="2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9,392</w:t>
            </w:r>
          </w:p>
        </w:tc>
        <w:tc>
          <w:tcPr>
            <w:tcW w:w="2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18,373</w:t>
            </w:r>
          </w:p>
        </w:tc>
        <w:tc>
          <w:tcPr>
            <w:tcW w:w="2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00" w:type="dxa"/>
            <w:vAlign w:val="bottom"/>
          </w:tcPr>
          <w:p>
            <w:pPr>
              <w:ind w:left="38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19,241</w:t>
            </w: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50,768</w:t>
            </w:r>
          </w:p>
        </w:tc>
        <w:tc>
          <w:tcPr>
            <w:tcW w:w="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(19,241 )</w:t>
            </w:r>
          </w:p>
        </w:tc>
        <w:tc>
          <w:tcPr>
            <w:tcW w:w="3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(3,561 )</w:t>
            </w: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(50,768 )</w:t>
            </w:r>
          </w:p>
        </w:tc>
        <w:tc>
          <w:tcPr>
            <w:tcW w:w="3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(7,638 )</w:t>
            </w: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(6 )</w:t>
            </w:r>
          </w:p>
        </w:tc>
        <w:tc>
          <w:tcPr>
            <w:tcW w:w="3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(9 )</w:t>
            </w:r>
          </w:p>
        </w:tc>
        <w:tc>
          <w:tcPr>
            <w:tcW w:w="2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(19 )</w:t>
            </w:r>
          </w:p>
        </w:tc>
        <w:tc>
          <w:tcPr>
            <w:tcW w:w="3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63"/>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w:t>
            </w: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(1 )</w:t>
            </w:r>
          </w:p>
        </w:tc>
        <w:tc>
          <w:tcPr>
            <w:tcW w:w="24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(29 )</w:t>
            </w:r>
          </w:p>
        </w:tc>
        <w:tc>
          <w:tcPr>
            <w:tcW w:w="38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50"/>
        </w:trPr>
        <w:tc>
          <w:tcPr>
            <w:tcW w:w="5700" w:type="dxa"/>
            <w:vAlign w:val="bottom"/>
          </w:tcPr>
          <w:p>
            <w:pPr>
              <w:ind w:left="20"/>
              <w:spacing w:after="0"/>
              <w:rPr>
                <w:sz w:val="20"/>
                <w:szCs w:val="20"/>
                <w:color w:val="auto"/>
              </w:rPr>
            </w:pPr>
            <w:r>
              <w:rPr>
                <w:rFonts w:ascii="Arial" w:cs="Arial" w:eastAsia="Arial" w:hAnsi="Arial"/>
                <w:sz w:val="18"/>
                <w:szCs w:val="18"/>
                <w:color w:val="auto"/>
              </w:rPr>
              <w:t>Changes in fair value of derivative tranche liability</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(271 )</w:t>
            </w:r>
          </w:p>
        </w:tc>
        <w:tc>
          <w:tcPr>
            <w:tcW w:w="2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(578 )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loss and comprehensive loss</w:t>
            </w:r>
          </w:p>
        </w:tc>
        <w:tc>
          <w:tcPr>
            <w:tcW w:w="2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(19,240 )</w:t>
            </w:r>
          </w:p>
        </w:tc>
        <w:tc>
          <w:tcPr>
            <w:tcW w:w="38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(3,842 )</w:t>
            </w:r>
          </w:p>
        </w:tc>
        <w:tc>
          <w:tcPr>
            <w:tcW w:w="24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(50,816 )</w:t>
            </w:r>
          </w:p>
        </w:tc>
        <w:tc>
          <w:tcPr>
            <w:tcW w:w="38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(8,243 )</w:t>
            </w:r>
          </w:p>
        </w:tc>
        <w:tc>
          <w:tcPr>
            <w:tcW w:w="0" w:type="dxa"/>
            <w:vAlign w:val="bottom"/>
          </w:tcPr>
          <w:p>
            <w:pPr>
              <w:spacing w:after="0"/>
              <w:rPr>
                <w:sz w:val="1"/>
                <w:szCs w:val="1"/>
                <w:color w:val="auto"/>
              </w:rPr>
            </w:pPr>
          </w:p>
        </w:tc>
      </w:tr>
      <w:tr>
        <w:trPr>
          <w:trHeight w:val="242"/>
        </w:trPr>
        <w:tc>
          <w:tcPr>
            <w:tcW w:w="5700" w:type="dxa"/>
            <w:vAlign w:val="bottom"/>
          </w:tcPr>
          <w:p>
            <w:pPr>
              <w:ind w:left="20"/>
              <w:spacing w:after="0"/>
              <w:rPr>
                <w:sz w:val="20"/>
                <w:szCs w:val="20"/>
                <w:color w:val="auto"/>
              </w:rPr>
            </w:pPr>
            <w:r>
              <w:rPr>
                <w:rFonts w:ascii="Arial" w:cs="Arial" w:eastAsia="Arial" w:hAnsi="Arial"/>
                <w:sz w:val="18"/>
                <w:szCs w:val="18"/>
                <w:color w:val="auto"/>
              </w:rPr>
              <w:t>Net loss attributable to redeemable convertible noncontrolling</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(1,018 )</w:t>
            </w:r>
          </w:p>
        </w:tc>
        <w:tc>
          <w:tcPr>
            <w:tcW w:w="2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(2,109 )</w:t>
            </w:r>
          </w:p>
        </w:tc>
        <w:tc>
          <w:tcPr>
            <w:tcW w:w="3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(2,113 )</w:t>
            </w:r>
          </w:p>
        </w:tc>
        <w:tc>
          <w:tcPr>
            <w:tcW w:w="0" w:type="dxa"/>
            <w:vAlign w:val="bottom"/>
          </w:tcPr>
          <w:p>
            <w:pPr>
              <w:spacing w:after="0"/>
              <w:rPr>
                <w:sz w:val="1"/>
                <w:szCs w:val="1"/>
                <w:color w:val="auto"/>
              </w:rPr>
            </w:pPr>
          </w:p>
        </w:tc>
      </w:tr>
      <w:tr>
        <w:trPr>
          <w:trHeight w:val="249"/>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Exchange of redeemable noncontrolling interest shares –</w:t>
            </w:r>
          </w:p>
        </w:tc>
        <w:tc>
          <w:tcPr>
            <w:tcW w:w="240" w:type="dxa"/>
            <w:vAlign w:val="bottom"/>
            <w:shd w:val="clear" w:color="auto" w:fill="CFF0FC"/>
          </w:tcPr>
          <w:p>
            <w:pPr>
              <w:spacing w:after="0"/>
              <w:rPr>
                <w:sz w:val="21"/>
                <w:szCs w:val="21"/>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(99,994 )</w:t>
            </w:r>
          </w:p>
        </w:tc>
        <w:tc>
          <w:tcPr>
            <w:tcW w:w="380" w:type="dxa"/>
            <w:vAlign w:val="bottom"/>
            <w:shd w:val="clear" w:color="auto" w:fill="CFF0FC"/>
          </w:tcPr>
          <w:p>
            <w:pPr>
              <w:spacing w:after="0"/>
              <w:rPr>
                <w:sz w:val="21"/>
                <w:szCs w:val="21"/>
                <w:color w:val="auto"/>
              </w:rPr>
            </w:pPr>
          </w:p>
        </w:tc>
        <w:tc>
          <w:tcPr>
            <w:tcW w:w="8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deemed dividend</w:t>
            </w:r>
          </w:p>
        </w:tc>
        <w:tc>
          <w:tcPr>
            <w:tcW w:w="240" w:type="dxa"/>
            <w:vAlign w:val="bottom"/>
            <w:shd w:val="clear" w:color="auto" w:fill="CFF0FC"/>
          </w:tcPr>
          <w:p>
            <w:pPr>
              <w:spacing w:after="0"/>
              <w:rPr>
                <w:sz w:val="20"/>
                <w:szCs w:val="20"/>
                <w:color w:val="auto"/>
              </w:rPr>
            </w:pPr>
          </w:p>
        </w:tc>
        <w:tc>
          <w:tcPr>
            <w:tcW w:w="960" w:type="dxa"/>
            <w:vAlign w:val="bottom"/>
            <w:vMerge w:val="continue"/>
            <w:shd w:val="clear" w:color="auto" w:fill="CFF0FC"/>
          </w:tcPr>
          <w:p>
            <w:pPr>
              <w:spacing w:after="0"/>
              <w:rPr>
                <w:sz w:val="20"/>
                <w:szCs w:val="20"/>
                <w:color w:val="auto"/>
              </w:rPr>
            </w:pPr>
          </w:p>
        </w:tc>
        <w:tc>
          <w:tcPr>
            <w:tcW w:w="24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00" w:type="dxa"/>
            <w:vAlign w:val="bottom"/>
            <w:vMerge w:val="continue"/>
            <w:shd w:val="clear" w:color="auto" w:fill="CFF0FC"/>
          </w:tcPr>
          <w:p>
            <w:pPr>
              <w:spacing w:after="0"/>
              <w:rPr>
                <w:sz w:val="20"/>
                <w:szCs w:val="20"/>
                <w:color w:val="auto"/>
              </w:rPr>
            </w:pPr>
          </w:p>
        </w:tc>
        <w:tc>
          <w:tcPr>
            <w:tcW w:w="24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700" w:type="dxa"/>
            <w:vAlign w:val="bottom"/>
          </w:tcPr>
          <w:p>
            <w:pPr>
              <w:ind w:left="20"/>
              <w:spacing w:after="0"/>
              <w:rPr>
                <w:sz w:val="20"/>
                <w:szCs w:val="20"/>
                <w:color w:val="auto"/>
              </w:rPr>
            </w:pPr>
            <w:r>
              <w:rPr>
                <w:rFonts w:ascii="Arial" w:cs="Arial" w:eastAsia="Arial" w:hAnsi="Arial"/>
                <w:sz w:val="18"/>
                <w:szCs w:val="18"/>
                <w:color w:val="auto"/>
              </w:rPr>
              <w:t>Net loss attributable to common share members/common</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(19,240 )</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(2,824 )</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(148,701 )</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(6,130 )</w:t>
            </w:r>
          </w:p>
        </w:tc>
        <w:tc>
          <w:tcPr>
            <w:tcW w:w="0" w:type="dxa"/>
            <w:vAlign w:val="bottom"/>
          </w:tcPr>
          <w:p>
            <w:pPr>
              <w:spacing w:after="0"/>
              <w:rPr>
                <w:sz w:val="1"/>
                <w:szCs w:val="1"/>
                <w:color w:val="auto"/>
              </w:rPr>
            </w:pPr>
          </w:p>
        </w:tc>
      </w:tr>
      <w:tr>
        <w:trPr>
          <w:trHeight w:val="203"/>
        </w:trPr>
        <w:tc>
          <w:tcPr>
            <w:tcW w:w="5700" w:type="dxa"/>
            <w:vAlign w:val="bottom"/>
          </w:tcPr>
          <w:p>
            <w:pPr>
              <w:ind w:left="160"/>
              <w:spacing w:after="0" w:line="203" w:lineRule="exact"/>
              <w:rPr>
                <w:sz w:val="20"/>
                <w:szCs w:val="20"/>
                <w:color w:val="auto"/>
              </w:rPr>
            </w:pPr>
            <w:r>
              <w:rPr>
                <w:rFonts w:ascii="Arial" w:cs="Arial" w:eastAsia="Arial" w:hAnsi="Arial"/>
                <w:sz w:val="18"/>
                <w:szCs w:val="18"/>
                <w:color w:val="auto"/>
              </w:rPr>
              <w:t>stockholders</w:t>
            </w:r>
          </w:p>
        </w:tc>
        <w:tc>
          <w:tcPr>
            <w:tcW w:w="24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(0.33 )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(0.50 )</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(4.98 )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29"/>
        </w:trPr>
        <w:tc>
          <w:tcPr>
            <w:tcW w:w="57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number of common shares used in computing</w:t>
            </w: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57,514,218</w:t>
            </w:r>
          </w:p>
        </w:tc>
        <w:tc>
          <w:tcPr>
            <w:tcW w:w="24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5,601,511</w:t>
            </w: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29,859,883</w:t>
            </w:r>
          </w:p>
        </w:tc>
        <w:tc>
          <w:tcPr>
            <w:tcW w:w="22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4"/>
              </w:rPr>
              <w:t>5,456,733</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160"/>
              <w:spacing w:after="0" w:line="203" w:lineRule="exact"/>
              <w:rPr>
                <w:sz w:val="20"/>
                <w:szCs w:val="20"/>
                <w:color w:val="auto"/>
              </w:rPr>
            </w:pPr>
            <w:r>
              <w:rPr>
                <w:rFonts w:ascii="Arial" w:cs="Arial" w:eastAsia="Arial" w:hAnsi="Arial"/>
                <w:sz w:val="18"/>
                <w:szCs w:val="18"/>
                <w:color w:val="auto"/>
              </w:rPr>
              <w:t>net loss per share, basic and diluted</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-2430780</wp:posOffset>
            </wp:positionV>
            <wp:extent cx="15430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-2430780</wp:posOffset>
            </wp:positionV>
            <wp:extent cx="15430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-2430780</wp:posOffset>
            </wp:positionV>
            <wp:extent cx="13716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-2430780</wp:posOffset>
            </wp:positionV>
            <wp:extent cx="5969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-2087880</wp:posOffset>
            </wp:positionV>
            <wp:extent cx="15430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-2087880</wp:posOffset>
            </wp:positionV>
            <wp:extent cx="15430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-2087880</wp:posOffset>
            </wp:positionV>
            <wp:extent cx="13716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-2087880</wp:posOffset>
            </wp:positionV>
            <wp:extent cx="5969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-810895</wp:posOffset>
            </wp:positionV>
            <wp:extent cx="15430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-810895</wp:posOffset>
            </wp:positionV>
            <wp:extent cx="15430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-810895</wp:posOffset>
            </wp:positionV>
            <wp:extent cx="13716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-810895</wp:posOffset>
            </wp:positionV>
            <wp:extent cx="5969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-334010</wp:posOffset>
            </wp:positionV>
            <wp:extent cx="1543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-316230</wp:posOffset>
            </wp:positionV>
            <wp:extent cx="1543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-334010</wp:posOffset>
            </wp:positionV>
            <wp:extent cx="1543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-316230</wp:posOffset>
            </wp:positionV>
            <wp:extent cx="1543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-334010</wp:posOffset>
            </wp:positionV>
            <wp:extent cx="137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-316230</wp:posOffset>
            </wp:positionV>
            <wp:extent cx="137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-334010</wp:posOffset>
            </wp:positionV>
            <wp:extent cx="596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-316230</wp:posOffset>
            </wp:positionV>
            <wp:extent cx="596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 Shares, Redeemable Noncontrolling Interest and</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Stockholders’ Equity/ Members’ (Deficit)</w:t>
      </w:r>
    </w:p>
    <w:p>
      <w:pPr>
        <w:spacing w:after="0" w:line="23"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(in thousands, except share amounts)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920" w:type="dxa"/>
            <w:vAlign w:val="bottom"/>
          </w:tcPr>
          <w:p>
            <w:pPr>
              <w:spacing w:after="0"/>
              <w:rPr>
                <w:sz w:val="11"/>
                <w:szCs w:val="11"/>
                <w:color w:val="auto"/>
              </w:rPr>
            </w:pPr>
          </w:p>
        </w:tc>
        <w:tc>
          <w:tcPr>
            <w:tcW w:w="1420" w:type="dxa"/>
            <w:vAlign w:val="bottom"/>
            <w:gridSpan w:val="4"/>
          </w:tcPr>
          <w:p>
            <w:pPr>
              <w:jc w:val="right"/>
              <w:ind w:right="106"/>
              <w:spacing w:after="0"/>
              <w:rPr>
                <w:sz w:val="20"/>
                <w:szCs w:val="20"/>
                <w:color w:val="auto"/>
              </w:rPr>
            </w:pPr>
            <w:r>
              <w:rPr>
                <w:rFonts w:ascii="Arial" w:cs="Arial" w:eastAsia="Arial" w:hAnsi="Arial"/>
                <w:sz w:val="11"/>
                <w:szCs w:val="11"/>
                <w:b w:val="1"/>
                <w:bCs w:val="1"/>
                <w:color w:val="auto"/>
                <w:w w:val="96"/>
              </w:rPr>
              <w:t>Redeemable Convertible</w:t>
            </w:r>
          </w:p>
        </w:tc>
        <w:tc>
          <w:tcPr>
            <w:tcW w:w="120" w:type="dxa"/>
            <w:vAlign w:val="bottom"/>
          </w:tcPr>
          <w:p>
            <w:pPr>
              <w:spacing w:after="0"/>
              <w:rPr>
                <w:sz w:val="11"/>
                <w:szCs w:val="11"/>
                <w:color w:val="auto"/>
              </w:rPr>
            </w:pPr>
          </w:p>
        </w:tc>
        <w:tc>
          <w:tcPr>
            <w:tcW w:w="900" w:type="dxa"/>
            <w:vAlign w:val="bottom"/>
            <w:gridSpan w:val="3"/>
          </w:tcPr>
          <w:p>
            <w:pPr>
              <w:jc w:val="center"/>
              <w:spacing w:after="0"/>
              <w:rPr>
                <w:sz w:val="20"/>
                <w:szCs w:val="20"/>
                <w:color w:val="auto"/>
              </w:rPr>
            </w:pPr>
            <w:r>
              <w:rPr>
                <w:rFonts w:ascii="Arial" w:cs="Arial" w:eastAsia="Arial" w:hAnsi="Arial"/>
                <w:sz w:val="11"/>
                <w:szCs w:val="11"/>
                <w:b w:val="1"/>
                <w:bCs w:val="1"/>
                <w:color w:val="auto"/>
                <w:w w:val="89"/>
              </w:rPr>
              <w:t>Redeemable</w:t>
            </w:r>
          </w:p>
        </w:tc>
        <w:tc>
          <w:tcPr>
            <w:tcW w:w="1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b w:val="1"/>
                <w:bCs w:val="1"/>
                <w:color w:val="auto"/>
                <w:w w:val="89"/>
              </w:rPr>
              <w:t>Additional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1420" w:type="dxa"/>
            <w:vAlign w:val="bottom"/>
            <w:gridSpan w:val="4"/>
          </w:tcPr>
          <w:p>
            <w:pPr>
              <w:jc w:val="right"/>
              <w:ind w:right="306"/>
              <w:spacing w:after="0"/>
              <w:rPr>
                <w:sz w:val="20"/>
                <w:szCs w:val="20"/>
                <w:color w:val="auto"/>
              </w:rPr>
            </w:pPr>
            <w:r>
              <w:rPr>
                <w:rFonts w:ascii="Arial" w:cs="Arial" w:eastAsia="Arial" w:hAnsi="Arial"/>
                <w:sz w:val="11"/>
                <w:szCs w:val="11"/>
                <w:b w:val="1"/>
                <w:bCs w:val="1"/>
                <w:color w:val="auto"/>
              </w:rPr>
              <w:t>Preferred Shares</w:t>
            </w:r>
          </w:p>
        </w:tc>
        <w:tc>
          <w:tcPr>
            <w:tcW w:w="120" w:type="dxa"/>
            <w:vAlign w:val="bottom"/>
          </w:tcPr>
          <w:p>
            <w:pPr>
              <w:spacing w:after="0"/>
              <w:rPr>
                <w:sz w:val="13"/>
                <w:szCs w:val="13"/>
                <w:color w:val="auto"/>
              </w:rPr>
            </w:pPr>
          </w:p>
        </w:tc>
        <w:tc>
          <w:tcPr>
            <w:tcW w:w="900" w:type="dxa"/>
            <w:vAlign w:val="bottom"/>
            <w:gridSpan w:val="3"/>
          </w:tcPr>
          <w:p>
            <w:pPr>
              <w:jc w:val="center"/>
              <w:spacing w:after="0"/>
              <w:rPr>
                <w:sz w:val="20"/>
                <w:szCs w:val="20"/>
                <w:color w:val="auto"/>
              </w:rPr>
            </w:pPr>
            <w:r>
              <w:rPr>
                <w:rFonts w:ascii="Arial" w:cs="Arial" w:eastAsia="Arial" w:hAnsi="Arial"/>
                <w:sz w:val="11"/>
                <w:szCs w:val="11"/>
                <w:b w:val="1"/>
                <w:bCs w:val="1"/>
                <w:color w:val="auto"/>
                <w:w w:val="89"/>
              </w:rPr>
              <w:t>Noncontrolling</w:t>
            </w:r>
          </w:p>
        </w:tc>
        <w:tc>
          <w:tcPr>
            <w:tcW w:w="1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4"/>
          </w:tcPr>
          <w:p>
            <w:pPr>
              <w:jc w:val="right"/>
              <w:ind w:right="147"/>
              <w:spacing w:after="0"/>
              <w:rPr>
                <w:sz w:val="20"/>
                <w:szCs w:val="20"/>
                <w:color w:val="auto"/>
              </w:rPr>
            </w:pPr>
            <w:r>
              <w:rPr>
                <w:rFonts w:ascii="Arial" w:cs="Arial" w:eastAsia="Arial" w:hAnsi="Arial"/>
                <w:sz w:val="11"/>
                <w:szCs w:val="11"/>
                <w:b w:val="1"/>
                <w:bCs w:val="1"/>
                <w:color w:val="auto"/>
                <w:w w:val="96"/>
              </w:rPr>
              <w:t>Common Stock</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5"/>
          </w:tcPr>
          <w:p>
            <w:pPr>
              <w:jc w:val="right"/>
              <w:ind w:right="380"/>
              <w:spacing w:after="0"/>
              <w:rPr>
                <w:sz w:val="20"/>
                <w:szCs w:val="20"/>
                <w:color w:val="auto"/>
              </w:rPr>
            </w:pPr>
            <w:r>
              <w:rPr>
                <w:rFonts w:ascii="Arial" w:cs="Arial" w:eastAsia="Arial" w:hAnsi="Arial"/>
                <w:sz w:val="11"/>
                <w:szCs w:val="11"/>
                <w:b w:val="1"/>
                <w:bCs w:val="1"/>
                <w:color w:val="auto"/>
              </w:rPr>
              <w:t>Common Shares</w:t>
            </w:r>
          </w:p>
        </w:tc>
        <w:tc>
          <w:tcPr>
            <w:tcW w:w="220" w:type="dxa"/>
            <w:vAlign w:val="bottom"/>
          </w:tcPr>
          <w:p>
            <w:pPr>
              <w:spacing w:after="0"/>
              <w:rPr>
                <w:sz w:val="13"/>
                <w:szCs w:val="13"/>
                <w:color w:val="auto"/>
              </w:rPr>
            </w:pPr>
          </w:p>
        </w:tc>
        <w:tc>
          <w:tcPr>
            <w:tcW w:w="900" w:type="dxa"/>
            <w:vAlign w:val="bottom"/>
            <w:gridSpan w:val="5"/>
          </w:tcPr>
          <w:p>
            <w:pPr>
              <w:jc w:val="right"/>
              <w:ind w:right="66"/>
              <w:spacing w:after="0"/>
              <w:rPr>
                <w:sz w:val="20"/>
                <w:szCs w:val="20"/>
                <w:color w:val="auto"/>
              </w:rPr>
            </w:pPr>
            <w:r>
              <w:rPr>
                <w:rFonts w:ascii="Arial" w:cs="Arial" w:eastAsia="Arial" w:hAnsi="Arial"/>
                <w:sz w:val="11"/>
                <w:szCs w:val="11"/>
                <w:b w:val="1"/>
                <w:bCs w:val="1"/>
                <w:color w:val="auto"/>
                <w:w w:val="86"/>
              </w:rPr>
              <w:t>Incentive Shares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Accumulated</w:t>
            </w:r>
          </w:p>
        </w:tc>
        <w:tc>
          <w:tcPr>
            <w:tcW w:w="98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3"/>
              </w:rPr>
              <w:t>Equity/Members'</w:t>
            </w: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147"/>
              <w:spacing w:after="0"/>
              <w:rPr>
                <w:sz w:val="20"/>
                <w:szCs w:val="20"/>
                <w:color w:val="auto"/>
              </w:rPr>
            </w:pPr>
            <w:r>
              <w:rPr>
                <w:rFonts w:ascii="Arial" w:cs="Arial" w:eastAsia="Arial" w:hAnsi="Arial"/>
                <w:sz w:val="11"/>
                <w:szCs w:val="11"/>
                <w:b w:val="1"/>
                <w:bCs w:val="1"/>
                <w:color w:val="auto"/>
                <w:w w:val="85"/>
              </w:rPr>
              <w:t>Interest</w:t>
            </w:r>
          </w:p>
        </w:tc>
        <w:tc>
          <w:tcPr>
            <w:tcW w:w="180" w:type="dxa"/>
            <w:vAlign w:val="bottom"/>
          </w:tcPr>
          <w:p>
            <w:pPr>
              <w:spacing w:after="0"/>
              <w:rPr>
                <w:sz w:val="12"/>
                <w:szCs w:val="12"/>
                <w:color w:val="auto"/>
              </w:rPr>
            </w:pPr>
          </w:p>
        </w:tc>
        <w:tc>
          <w:tcPr>
            <w:tcW w:w="660" w:type="dxa"/>
            <w:vAlign w:val="bottom"/>
            <w:tcBorders>
              <w:top w:val="single" w:sz="8" w:color="auto"/>
            </w:tcBorders>
            <w:gridSpan w:val="3"/>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17"/>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1"/>
                <w:szCs w:val="11"/>
                <w:b w:val="1"/>
                <w:bCs w:val="1"/>
                <w:color w:val="auto"/>
              </w:rPr>
              <w:t>Shares</w:t>
            </w: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86"/>
              </w:rPr>
              <w:t>Amount</w:t>
            </w:r>
          </w:p>
        </w:tc>
        <w:tc>
          <w:tcPr>
            <w:tcW w:w="100" w:type="dxa"/>
            <w:vAlign w:val="bottom"/>
          </w:tcPr>
          <w:p>
            <w:pPr>
              <w:spacing w:after="0"/>
              <w:rPr>
                <w:sz w:val="12"/>
                <w:szCs w:val="12"/>
                <w:color w:val="auto"/>
              </w:rPr>
            </w:pPr>
          </w:p>
        </w:tc>
        <w:tc>
          <w:tcPr>
            <w:tcW w:w="740" w:type="dxa"/>
            <w:vAlign w:val="bottom"/>
            <w:tcBorders>
              <w:top w:val="single" w:sz="8" w:color="auto"/>
            </w:tcBorders>
            <w:gridSpan w:val="4"/>
          </w:tcPr>
          <w:p>
            <w:pPr>
              <w:jc w:val="right"/>
              <w:ind w:right="280"/>
              <w:spacing w:after="0"/>
              <w:rPr>
                <w:sz w:val="20"/>
                <w:szCs w:val="20"/>
                <w:color w:val="auto"/>
              </w:rPr>
            </w:pPr>
            <w:r>
              <w:rPr>
                <w:rFonts w:ascii="Arial" w:cs="Arial" w:eastAsia="Arial" w:hAnsi="Arial"/>
                <w:sz w:val="11"/>
                <w:szCs w:val="11"/>
                <w:b w:val="1"/>
                <w:bCs w:val="1"/>
                <w:color w:val="auto"/>
              </w:rPr>
              <w:t>Shares</w:t>
            </w: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w w:val="86"/>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Deficit</w:t>
            </w:r>
          </w:p>
        </w:tc>
        <w:tc>
          <w:tcPr>
            <w:tcW w:w="100" w:type="dxa"/>
            <w:vAlign w:val="bottom"/>
          </w:tcPr>
          <w:p>
            <w:pPr>
              <w:spacing w:after="0"/>
              <w:rPr>
                <w:sz w:val="12"/>
                <w:szCs w:val="12"/>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22"/>
        </w:trPr>
        <w:tc>
          <w:tcPr>
            <w:tcW w:w="1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192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22,851,257</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91,964</w:t>
            </w:r>
          </w:p>
        </w:tc>
        <w:tc>
          <w:tcPr>
            <w:tcW w:w="320" w:type="dxa"/>
            <w:vAlign w:val="bottom"/>
            <w:tcBorders>
              <w:bottom w:val="single" w:sz="8" w:color="CFF0FC"/>
            </w:tcBorders>
            <w:gridSpan w:val="2"/>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5,702</w:t>
            </w:r>
          </w:p>
        </w:tc>
        <w:tc>
          <w:tcPr>
            <w:tcW w:w="180" w:type="dxa"/>
            <w:vAlign w:val="bottom"/>
            <w:tcBorders>
              <w:left w:val="single" w:sz="8" w:color="CFF0FC"/>
              <w:bottom w:val="single" w:sz="8" w:color="CFF0FC"/>
              <w:right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right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FF0FC"/>
              <w:right w:val="single" w:sz="8" w:color="CFF0FC"/>
            </w:tcBorders>
            <w:gridSpan w:val="2"/>
            <w:shd w:val="clear" w:color="auto" w:fill="CFF0FC"/>
          </w:tcPr>
          <w:p>
            <w:pPr>
              <w:jc w:val="right"/>
              <w:ind w:right="267"/>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gridSpan w:val="2"/>
            <w:shd w:val="clear" w:color="auto" w:fill="CFF0FC"/>
          </w:tcPr>
          <w:p>
            <w:pPr>
              <w:jc w:val="right"/>
              <w:ind w:right="71"/>
              <w:spacing w:after="0"/>
              <w:rPr>
                <w:sz w:val="20"/>
                <w:szCs w:val="20"/>
                <w:color w:val="auto"/>
              </w:rPr>
            </w:pPr>
            <w:r>
              <w:rPr>
                <w:rFonts w:ascii="Arial" w:cs="Arial" w:eastAsia="Arial" w:hAnsi="Arial"/>
                <w:sz w:val="8"/>
                <w:szCs w:val="8"/>
                <w:color w:val="auto"/>
                <w:w w:val="74"/>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6,035,869</w:t>
            </w:r>
          </w:p>
        </w:tc>
        <w:tc>
          <w:tcPr>
            <w:tcW w:w="140" w:type="dxa"/>
            <w:vAlign w:val="bottom"/>
            <w:tcBorders>
              <w:left w:val="single" w:sz="8" w:color="CFF0FC"/>
              <w:bottom w:val="single" w:sz="8" w:color="CFF0FC"/>
              <w:right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2,000</w:t>
            </w:r>
          </w:p>
        </w:tc>
        <w:tc>
          <w:tcPr>
            <w:tcW w:w="10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right w:val="single" w:sz="8" w:color="CFF0FC"/>
            </w:tcBorders>
            <w:shd w:val="clear" w:color="auto" w:fill="CFF0FC"/>
          </w:tcPr>
          <w:p>
            <w:pPr>
              <w:spacing w:after="0"/>
              <w:rPr>
                <w:sz w:val="13"/>
                <w:szCs w:val="13"/>
                <w:color w:val="auto"/>
              </w:rPr>
            </w:pP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w w:val="81"/>
              </w:rPr>
              <w:t>4,112,012</w:t>
            </w:r>
          </w:p>
        </w:tc>
        <w:tc>
          <w:tcPr>
            <w:tcW w:w="10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637</w:t>
            </w:r>
          </w:p>
        </w:tc>
        <w:tc>
          <w:tcPr>
            <w:tcW w:w="140" w:type="dxa"/>
            <w:vAlign w:val="bottom"/>
            <w:tcBorders>
              <w:left w:val="single" w:sz="8" w:color="CFF0FC"/>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(56,842 )</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(54,205 )</w:t>
            </w:r>
          </w:p>
        </w:tc>
        <w:tc>
          <w:tcPr>
            <w:tcW w:w="0" w:type="dxa"/>
            <w:vAlign w:val="bottom"/>
          </w:tcPr>
          <w:p>
            <w:pPr>
              <w:spacing w:after="0"/>
              <w:rPr>
                <w:sz w:val="1"/>
                <w:szCs w:val="1"/>
                <w:color w:val="auto"/>
              </w:rPr>
            </w:pPr>
          </w:p>
        </w:tc>
      </w:tr>
      <w:tr>
        <w:trPr>
          <w:trHeight w:val="132"/>
        </w:trPr>
        <w:tc>
          <w:tcPr>
            <w:tcW w:w="1920" w:type="dxa"/>
            <w:vAlign w:val="bottom"/>
            <w:tcBorders>
              <w:top w:val="single" w:sz="8" w:color="CFF0FC"/>
            </w:tcBorders>
          </w:tcPr>
          <w:p>
            <w:pPr>
              <w:ind w:left="20"/>
              <w:spacing w:after="0"/>
              <w:rPr>
                <w:sz w:val="20"/>
                <w:szCs w:val="20"/>
                <w:color w:val="auto"/>
              </w:rPr>
            </w:pPr>
            <w:r>
              <w:rPr>
                <w:rFonts w:ascii="Arial" w:cs="Arial" w:eastAsia="Arial" w:hAnsi="Arial"/>
                <w:sz w:val="11"/>
                <w:szCs w:val="11"/>
                <w:color w:val="auto"/>
              </w:rPr>
              <w:t>Issuance of Series B redeemable</w:t>
            </w: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Borders>
              <w:top w:val="single" w:sz="8" w:color="CFF0FC"/>
              <w:right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100"/>
              <w:spacing w:after="0"/>
              <w:rPr>
                <w:sz w:val="20"/>
                <w:szCs w:val="20"/>
                <w:color w:val="auto"/>
              </w:rPr>
            </w:pPr>
            <w:r>
              <w:rPr>
                <w:rFonts w:ascii="Arial" w:cs="Arial" w:eastAsia="Arial" w:hAnsi="Arial"/>
                <w:sz w:val="11"/>
                <w:szCs w:val="11"/>
                <w:color w:val="auto"/>
              </w:rPr>
              <w:t>convertible preferred shares for</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920" w:type="dxa"/>
            <w:vAlign w:val="bottom"/>
          </w:tcPr>
          <w:p>
            <w:pPr>
              <w:ind w:left="100"/>
              <w:spacing w:after="0"/>
              <w:rPr>
                <w:sz w:val="20"/>
                <w:szCs w:val="20"/>
                <w:color w:val="auto"/>
              </w:rPr>
            </w:pPr>
            <w:r>
              <w:rPr>
                <w:rFonts w:ascii="Arial" w:cs="Arial" w:eastAsia="Arial" w:hAnsi="Arial"/>
                <w:sz w:val="11"/>
                <w:szCs w:val="11"/>
                <w:color w:val="auto"/>
              </w:rPr>
              <w:t>cash, net of issuance costs of $243</w:t>
            </w:r>
          </w:p>
        </w:tc>
        <w:tc>
          <w:tcPr>
            <w:tcW w:w="700" w:type="dxa"/>
            <w:vAlign w:val="bottom"/>
          </w:tcPr>
          <w:p>
            <w:pPr>
              <w:jc w:val="right"/>
              <w:spacing w:after="0"/>
              <w:rPr>
                <w:sz w:val="20"/>
                <w:szCs w:val="20"/>
                <w:color w:val="auto"/>
              </w:rPr>
            </w:pPr>
            <w:r>
              <w:rPr>
                <w:rFonts w:ascii="Arial" w:cs="Arial" w:eastAsia="Arial" w:hAnsi="Arial"/>
                <w:sz w:val="11"/>
                <w:szCs w:val="11"/>
                <w:color w:val="auto"/>
              </w:rPr>
              <w:t>9,638,141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129,757</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gridSpan w:val="2"/>
          </w:tcPr>
          <w:p>
            <w:pPr>
              <w:jc w:val="right"/>
              <w:ind w:right="71"/>
              <w:spacing w:after="0"/>
              <w:rPr>
                <w:sz w:val="20"/>
                <w:szCs w:val="20"/>
                <w:color w:val="auto"/>
              </w:rPr>
            </w:pPr>
            <w:r>
              <w:rPr>
                <w:rFonts w:ascii="Arial" w:cs="Arial" w:eastAsia="Arial" w:hAnsi="Arial"/>
                <w:sz w:val="8"/>
                <w:szCs w:val="8"/>
                <w:color w:val="auto"/>
                <w:w w:val="74"/>
              </w:rPr>
              <w:t>—</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gridSpan w:val="2"/>
          </w:tcPr>
          <w:p>
            <w:pPr>
              <w:jc w:val="right"/>
              <w:ind w:right="51"/>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9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2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Share-based compensation expenses</w:t>
            </w:r>
          </w:p>
        </w:tc>
        <w:tc>
          <w:tcPr>
            <w:tcW w:w="8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left w:val="single" w:sz="8" w:color="CFF0FC"/>
              <w:bottom w:val="single" w:sz="8" w:color="CFF0FC"/>
              <w:right w:val="single" w:sz="8" w:color="auto"/>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right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right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gridSpan w:val="2"/>
            <w:shd w:val="clear" w:color="auto" w:fill="CFF0FC"/>
          </w:tcPr>
          <w:p>
            <w:pPr>
              <w:jc w:val="right"/>
              <w:ind w:right="71"/>
              <w:spacing w:after="0"/>
              <w:rPr>
                <w:sz w:val="20"/>
                <w:szCs w:val="20"/>
                <w:color w:val="auto"/>
              </w:rPr>
            </w:pPr>
            <w:r>
              <w:rPr>
                <w:rFonts w:ascii="Arial" w:cs="Arial" w:eastAsia="Arial" w:hAnsi="Arial"/>
                <w:sz w:val="8"/>
                <w:szCs w:val="8"/>
                <w:color w:val="auto"/>
                <w:w w:val="74"/>
              </w:rPr>
              <w:t>—</w:t>
            </w:r>
          </w:p>
        </w:tc>
        <w:tc>
          <w:tcPr>
            <w:tcW w:w="82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right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538</w:t>
            </w:r>
          </w:p>
        </w:tc>
        <w:tc>
          <w:tcPr>
            <w:tcW w:w="140" w:type="dxa"/>
            <w:vAlign w:val="bottom"/>
            <w:tcBorders>
              <w:left w:val="single" w:sz="8" w:color="CFF0FC"/>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right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538</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20" w:type="dxa"/>
            <w:vAlign w:val="bottom"/>
          </w:tcPr>
          <w:p>
            <w:pPr>
              <w:ind w:left="20"/>
              <w:spacing w:after="0"/>
              <w:rPr>
                <w:sz w:val="20"/>
                <w:szCs w:val="20"/>
                <w:color w:val="auto"/>
              </w:rPr>
            </w:pPr>
            <w:r>
              <w:rPr>
                <w:rFonts w:ascii="Arial" w:cs="Arial" w:eastAsia="Arial" w:hAnsi="Arial"/>
                <w:sz w:val="11"/>
                <w:szCs w:val="11"/>
                <w:color w:val="auto"/>
              </w:rPr>
              <w:t>Issuance of incentive shares</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gridSpan w:val="2"/>
          </w:tcPr>
          <w:p>
            <w:pPr>
              <w:jc w:val="right"/>
              <w:ind w:right="71"/>
              <w:spacing w:after="0"/>
              <w:rPr>
                <w:sz w:val="20"/>
                <w:szCs w:val="20"/>
                <w:color w:val="auto"/>
              </w:rPr>
            </w:pPr>
            <w:r>
              <w:rPr>
                <w:rFonts w:ascii="Arial" w:cs="Arial" w:eastAsia="Arial" w:hAnsi="Arial"/>
                <w:sz w:val="8"/>
                <w:szCs w:val="8"/>
                <w:color w:val="auto"/>
                <w:w w:val="74"/>
              </w:rPr>
              <w:t>—</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874,335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gridSpan w:val="2"/>
          </w:tcPr>
          <w:p>
            <w:pPr>
              <w:jc w:val="right"/>
              <w:ind w:right="51"/>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9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Net loss attributable to redeemable</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tcBorders>
              <w:left w:val="single" w:sz="8" w:color="CFF0FC"/>
              <w:right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tcBorders>
              <w:left w:val="single" w:sz="8" w:color="CFF0FC"/>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920" w:type="dxa"/>
            <w:vAlign w:val="bottom"/>
            <w:tcBorders>
              <w:bottom w:val="single" w:sz="8" w:color="CFF0FC"/>
              <w:right w:val="single" w:sz="8" w:color="CFF0FC"/>
            </w:tcBorders>
            <w:shd w:val="clear" w:color="auto" w:fill="CFF0FC"/>
          </w:tcPr>
          <w:p>
            <w:pPr>
              <w:ind w:left="100"/>
              <w:spacing w:after="0"/>
              <w:rPr>
                <w:sz w:val="20"/>
                <w:szCs w:val="20"/>
                <w:color w:val="auto"/>
              </w:rPr>
            </w:pPr>
            <w:r>
              <w:rPr>
                <w:rFonts w:ascii="Arial" w:cs="Arial" w:eastAsia="Arial" w:hAnsi="Arial"/>
                <w:sz w:val="11"/>
                <w:szCs w:val="11"/>
                <w:color w:val="auto"/>
              </w:rPr>
              <w:t>noncontrolling interest</w:t>
            </w:r>
          </w:p>
        </w:tc>
        <w:tc>
          <w:tcPr>
            <w:tcW w:w="8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(919 )</w:t>
            </w:r>
          </w:p>
        </w:tc>
        <w:tc>
          <w:tcPr>
            <w:tcW w:w="180" w:type="dxa"/>
            <w:vAlign w:val="bottom"/>
            <w:tcBorders>
              <w:left w:val="single" w:sz="8" w:color="CFF0FC"/>
              <w:bottom w:val="single" w:sz="8" w:color="CFF0FC"/>
              <w:right w:val="single" w:sz="8" w:color="auto"/>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right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right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gridSpan w:val="2"/>
            <w:shd w:val="clear" w:color="auto" w:fill="CFF0FC"/>
          </w:tcPr>
          <w:p>
            <w:pPr>
              <w:jc w:val="right"/>
              <w:ind w:right="71"/>
              <w:spacing w:after="0"/>
              <w:rPr>
                <w:sz w:val="20"/>
                <w:szCs w:val="20"/>
                <w:color w:val="auto"/>
              </w:rPr>
            </w:pPr>
            <w:r>
              <w:rPr>
                <w:rFonts w:ascii="Arial" w:cs="Arial" w:eastAsia="Arial" w:hAnsi="Arial"/>
                <w:sz w:val="8"/>
                <w:szCs w:val="8"/>
                <w:color w:val="auto"/>
                <w:w w:val="74"/>
              </w:rPr>
              <w:t>—</w:t>
            </w:r>
          </w:p>
        </w:tc>
        <w:tc>
          <w:tcPr>
            <w:tcW w:w="82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right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gridSpan w:val="2"/>
            <w:shd w:val="clear" w:color="auto" w:fill="CFF0FC"/>
          </w:tcPr>
          <w:p>
            <w:pPr>
              <w:jc w:val="right"/>
              <w:ind w:right="51"/>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right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1920" w:type="dxa"/>
            <w:vAlign w:val="bottom"/>
          </w:tcPr>
          <w:p>
            <w:pPr>
              <w:ind w:left="20"/>
              <w:spacing w:after="0"/>
              <w:rPr>
                <w:sz w:val="20"/>
                <w:szCs w:val="20"/>
                <w:color w:val="auto"/>
              </w:rPr>
            </w:pPr>
            <w:r>
              <w:rPr>
                <w:rFonts w:ascii="Arial" w:cs="Arial" w:eastAsia="Arial" w:hAnsi="Arial"/>
                <w:sz w:val="11"/>
                <w:szCs w:val="11"/>
                <w:color w:val="auto"/>
              </w:rPr>
              <w:t>Net loss attributable to Day One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100"/>
              <w:spacing w:after="0"/>
              <w:rPr>
                <w:sz w:val="20"/>
                <w:szCs w:val="20"/>
                <w:color w:val="auto"/>
              </w:rPr>
            </w:pPr>
            <w:r>
              <w:rPr>
                <w:rFonts w:ascii="Arial" w:cs="Arial" w:eastAsia="Arial" w:hAnsi="Arial"/>
                <w:sz w:val="11"/>
                <w:szCs w:val="11"/>
                <w:color w:val="auto"/>
              </w:rPr>
              <w:t>Biopharmaceuticals Holding</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8"/>
                <w:szCs w:val="8"/>
                <w:color w:val="auto"/>
                <w:w w:val="74"/>
              </w:rPr>
              <w:t>—</w:t>
            </w:r>
          </w:p>
        </w:tc>
        <w:tc>
          <w:tcPr>
            <w:tcW w:w="100" w:type="dxa"/>
            <w:vAlign w:val="bottom"/>
            <w:vMerge w:val="restart"/>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(15,182 )</w:t>
            </w:r>
          </w:p>
        </w:tc>
        <w:tc>
          <w:tcPr>
            <w:tcW w:w="100" w:type="dxa"/>
            <w:vAlign w:val="bottom"/>
          </w:tcPr>
          <w:p>
            <w:pPr>
              <w:spacing w:after="0"/>
              <w:rPr>
                <w:sz w:val="11"/>
                <w:szCs w:val="11"/>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(15,182 )</w:t>
            </w:r>
          </w:p>
        </w:tc>
        <w:tc>
          <w:tcPr>
            <w:tcW w:w="0" w:type="dxa"/>
            <w:vAlign w:val="bottom"/>
          </w:tcPr>
          <w:p>
            <w:pPr>
              <w:spacing w:after="0"/>
              <w:rPr>
                <w:sz w:val="1"/>
                <w:szCs w:val="1"/>
                <w:color w:val="auto"/>
              </w:rPr>
            </w:pPr>
          </w:p>
        </w:tc>
      </w:tr>
      <w:tr>
        <w:trPr>
          <w:trHeight w:val="140"/>
        </w:trPr>
        <w:tc>
          <w:tcPr>
            <w:tcW w:w="1920" w:type="dxa"/>
            <w:vAlign w:val="bottom"/>
          </w:tcPr>
          <w:p>
            <w:pPr>
              <w:ind w:left="100"/>
              <w:spacing w:after="0"/>
              <w:rPr>
                <w:sz w:val="20"/>
                <w:szCs w:val="20"/>
                <w:color w:val="auto"/>
              </w:rPr>
            </w:pPr>
            <w:r>
              <w:rPr>
                <w:rFonts w:ascii="Arial" w:cs="Arial" w:eastAsia="Arial" w:hAnsi="Arial"/>
                <w:sz w:val="11"/>
                <w:szCs w:val="11"/>
                <w:color w:val="auto"/>
              </w:rPr>
              <w:t>Company, LLC members</w:t>
            </w:r>
          </w:p>
        </w:tc>
        <w:tc>
          <w:tcPr>
            <w:tcW w:w="7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92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at March 31, 2021</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32,489,398</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221,721</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4,783</w:t>
            </w:r>
          </w:p>
        </w:tc>
        <w:tc>
          <w:tcPr>
            <w:tcW w:w="180" w:type="dxa"/>
            <w:vAlign w:val="bottom"/>
            <w:tcBorders>
              <w:left w:val="single" w:sz="8" w:color="CFF0FC"/>
              <w:bottom w:val="single" w:sz="8" w:color="CFF0FC"/>
              <w:right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right w:val="single" w:sz="8" w:color="CFF0FC"/>
            </w:tcBorders>
            <w:shd w:val="clear" w:color="auto" w:fill="CFF0FC"/>
          </w:tcPr>
          <w:p>
            <w:pPr>
              <w:jc w:val="right"/>
              <w:ind w:right="267"/>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4"/>
              </w:rPr>
              <w:t>—</w:t>
            </w:r>
          </w:p>
        </w:tc>
        <w:tc>
          <w:tcPr>
            <w:tcW w:w="1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6,035,869</w:t>
            </w:r>
          </w:p>
        </w:tc>
        <w:tc>
          <w:tcPr>
            <w:tcW w:w="140" w:type="dxa"/>
            <w:vAlign w:val="bottom"/>
            <w:tcBorders>
              <w:left w:val="single" w:sz="8" w:color="CFF0FC"/>
              <w:bottom w:val="single" w:sz="8" w:color="CFF0FC"/>
              <w:right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2,000</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right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w w:val="81"/>
              </w:rPr>
              <w:t>4,986,352</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1,175</w:t>
            </w:r>
          </w:p>
        </w:tc>
        <w:tc>
          <w:tcPr>
            <w:tcW w:w="140" w:type="dxa"/>
            <w:vAlign w:val="bottom"/>
            <w:tcBorders>
              <w:left w:val="single" w:sz="8" w:color="CFF0FC"/>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(72,024 )</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(68,849 )</w:t>
            </w:r>
          </w:p>
        </w:tc>
        <w:tc>
          <w:tcPr>
            <w:tcW w:w="0" w:type="dxa"/>
            <w:vAlign w:val="bottom"/>
          </w:tcPr>
          <w:p>
            <w:pPr>
              <w:spacing w:after="0"/>
              <w:rPr>
                <w:sz w:val="1"/>
                <w:szCs w:val="1"/>
                <w:color w:val="auto"/>
              </w:rPr>
            </w:pPr>
          </w:p>
        </w:tc>
      </w:tr>
      <w:tr>
        <w:trPr>
          <w:trHeight w:val="120"/>
        </w:trPr>
        <w:tc>
          <w:tcPr>
            <w:tcW w:w="1920" w:type="dxa"/>
            <w:vAlign w:val="bottom"/>
            <w:tcBorders>
              <w:top w:val="single" w:sz="8" w:color="CFF0FC"/>
            </w:tcBorders>
          </w:tcPr>
          <w:p>
            <w:pPr>
              <w:ind w:left="20"/>
              <w:spacing w:after="0" w:line="121" w:lineRule="exact"/>
              <w:rPr>
                <w:sz w:val="20"/>
                <w:szCs w:val="20"/>
                <w:color w:val="auto"/>
              </w:rPr>
            </w:pPr>
            <w:r>
              <w:rPr>
                <w:rFonts w:ascii="Arial" w:cs="Arial" w:eastAsia="Arial" w:hAnsi="Arial"/>
                <w:sz w:val="11"/>
                <w:szCs w:val="11"/>
                <w:color w:val="auto"/>
              </w:rPr>
              <w:t>Issuance of incentive shares</w:t>
            </w:r>
          </w:p>
        </w:tc>
        <w:tc>
          <w:tcPr>
            <w:tcW w:w="70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rPr>
              <w:t>—</w:t>
            </w:r>
          </w:p>
        </w:tc>
        <w:tc>
          <w:tcPr>
            <w:tcW w:w="180" w:type="dxa"/>
            <w:vAlign w:val="bottom"/>
            <w:tcBorders>
              <w:top w:val="single" w:sz="8" w:color="CFF0FC"/>
              <w:right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FF0FC"/>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w w:val="74"/>
              </w:rPr>
              <w:t>—</w:t>
            </w:r>
          </w:p>
        </w:tc>
        <w:tc>
          <w:tcPr>
            <w:tcW w:w="100" w:type="dxa"/>
            <w:vAlign w:val="bottom"/>
            <w:tcBorders>
              <w:top w:val="single" w:sz="8" w:color="CFF0FC"/>
            </w:tcBorders>
          </w:tcPr>
          <w:p>
            <w:pPr>
              <w:spacing w:after="0"/>
              <w:rPr>
                <w:sz w:val="10"/>
                <w:szCs w:val="10"/>
                <w:color w:val="auto"/>
              </w:rPr>
            </w:pPr>
          </w:p>
        </w:tc>
        <w:tc>
          <w:tcPr>
            <w:tcW w:w="6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rPr>
              <w:t>—</w:t>
            </w:r>
          </w:p>
        </w:tc>
        <w:tc>
          <w:tcPr>
            <w:tcW w:w="140" w:type="dxa"/>
            <w:vAlign w:val="bottom"/>
            <w:tcBorders>
              <w:top w:val="single" w:sz="8" w:color="CFF0FC"/>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2"/>
          </w:tcPr>
          <w:p>
            <w:pPr>
              <w:jc w:val="right"/>
              <w:spacing w:after="0" w:line="121" w:lineRule="exact"/>
              <w:rPr>
                <w:sz w:val="20"/>
                <w:szCs w:val="20"/>
                <w:color w:val="auto"/>
              </w:rPr>
            </w:pPr>
            <w:r>
              <w:rPr>
                <w:rFonts w:ascii="Arial" w:cs="Arial" w:eastAsia="Arial" w:hAnsi="Arial"/>
                <w:sz w:val="11"/>
                <w:szCs w:val="11"/>
                <w:color w:val="auto"/>
                <w:w w:val="81"/>
              </w:rPr>
              <w:t>2,085,460</w:t>
            </w:r>
          </w:p>
        </w:tc>
        <w:tc>
          <w:tcPr>
            <w:tcW w:w="100" w:type="dxa"/>
            <w:vAlign w:val="bottom"/>
            <w:tcBorders>
              <w:top w:val="single" w:sz="8" w:color="CFF0FC"/>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w w:val="90"/>
              </w:rPr>
              <w:t>—</w:t>
            </w:r>
          </w:p>
        </w:tc>
        <w:tc>
          <w:tcPr>
            <w:tcW w:w="14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9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2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Cancellations of incentive shares</w:t>
            </w:r>
          </w:p>
        </w:tc>
        <w:tc>
          <w:tcPr>
            <w:tcW w:w="8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left w:val="single" w:sz="8" w:color="CFF0FC"/>
              <w:bottom w:val="single" w:sz="8" w:color="CFF0FC"/>
              <w:right w:val="single" w:sz="8" w:color="auto"/>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right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right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gridSpan w:val="2"/>
            <w:shd w:val="clear" w:color="auto" w:fill="CFF0FC"/>
          </w:tcPr>
          <w:p>
            <w:pPr>
              <w:jc w:val="right"/>
              <w:ind w:right="71"/>
              <w:spacing w:after="0"/>
              <w:rPr>
                <w:sz w:val="20"/>
                <w:szCs w:val="20"/>
                <w:color w:val="auto"/>
              </w:rPr>
            </w:pPr>
            <w:r>
              <w:rPr>
                <w:rFonts w:ascii="Arial" w:cs="Arial" w:eastAsia="Arial" w:hAnsi="Arial"/>
                <w:sz w:val="8"/>
                <w:szCs w:val="8"/>
                <w:color w:val="auto"/>
                <w:w w:val="74"/>
              </w:rPr>
              <w:t>—</w:t>
            </w:r>
          </w:p>
        </w:tc>
        <w:tc>
          <w:tcPr>
            <w:tcW w:w="82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right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1"/>
                <w:szCs w:val="11"/>
                <w:color w:val="auto"/>
                <w:w w:val="91"/>
              </w:rPr>
              <w:t>(265,596 )</w:t>
            </w:r>
          </w:p>
        </w:tc>
        <w:tc>
          <w:tcPr>
            <w:tcW w:w="6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gridSpan w:val="2"/>
            <w:shd w:val="clear" w:color="auto" w:fill="CFF0FC"/>
          </w:tcPr>
          <w:p>
            <w:pPr>
              <w:jc w:val="right"/>
              <w:ind w:right="51"/>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right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1920" w:type="dxa"/>
            <w:vAlign w:val="bottom"/>
          </w:tcPr>
          <w:p>
            <w:pPr>
              <w:ind w:left="20"/>
              <w:spacing w:after="0"/>
              <w:rPr>
                <w:sz w:val="20"/>
                <w:szCs w:val="20"/>
                <w:color w:val="auto"/>
              </w:rPr>
            </w:pPr>
            <w:r>
              <w:rPr>
                <w:rFonts w:ascii="Arial" w:cs="Arial" w:eastAsia="Arial" w:hAnsi="Arial"/>
                <w:sz w:val="11"/>
                <w:szCs w:val="11"/>
                <w:color w:val="auto"/>
              </w:rPr>
              <w:t>Net loss attributable to Day One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100"/>
              <w:spacing w:after="0"/>
              <w:rPr>
                <w:sz w:val="20"/>
                <w:szCs w:val="20"/>
                <w:color w:val="auto"/>
              </w:rPr>
            </w:pPr>
            <w:r>
              <w:rPr>
                <w:rFonts w:ascii="Arial" w:cs="Arial" w:eastAsia="Arial" w:hAnsi="Arial"/>
                <w:sz w:val="11"/>
                <w:szCs w:val="11"/>
                <w:color w:val="auto"/>
              </w:rPr>
              <w:t>Biopharmaceuticals Holding</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920" w:type="dxa"/>
            <w:vAlign w:val="bottom"/>
          </w:tcPr>
          <w:p>
            <w:pPr>
              <w:ind w:left="100"/>
              <w:spacing w:after="0"/>
              <w:rPr>
                <w:sz w:val="20"/>
                <w:szCs w:val="20"/>
                <w:color w:val="auto"/>
              </w:rPr>
            </w:pPr>
            <w:r>
              <w:rPr>
                <w:rFonts w:ascii="Arial" w:cs="Arial" w:eastAsia="Arial" w:hAnsi="Arial"/>
                <w:sz w:val="11"/>
                <w:szCs w:val="11"/>
                <w:color w:val="auto"/>
              </w:rPr>
              <w:t>Company, LLC members</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(1,191 )</w:t>
            </w:r>
          </w:p>
        </w:tc>
        <w:tc>
          <w:tcPr>
            <w:tcW w:w="1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gridSpan w:val="2"/>
          </w:tcPr>
          <w:p>
            <w:pPr>
              <w:jc w:val="right"/>
              <w:ind w:right="71"/>
              <w:spacing w:after="0"/>
              <w:rPr>
                <w:sz w:val="20"/>
                <w:szCs w:val="20"/>
                <w:color w:val="auto"/>
              </w:rPr>
            </w:pPr>
            <w:r>
              <w:rPr>
                <w:rFonts w:ascii="Arial" w:cs="Arial" w:eastAsia="Arial" w:hAnsi="Arial"/>
                <w:sz w:val="8"/>
                <w:szCs w:val="8"/>
                <w:color w:val="auto"/>
                <w:w w:val="74"/>
              </w:rPr>
              <w:t>—</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gridSpan w:val="2"/>
          </w:tcPr>
          <w:p>
            <w:pPr>
              <w:jc w:val="right"/>
              <w:ind w:right="51"/>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9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Conversion of redeemable</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tcBorders>
              <w:left w:val="single" w:sz="8" w:color="CFF0FC"/>
              <w:right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tcBorders>
              <w:left w:val="single" w:sz="8" w:color="CFF0FC"/>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1"/>
                <w:szCs w:val="11"/>
                <w:color w:val="auto"/>
              </w:rPr>
              <w:t>convertible preferred, common,</w:t>
            </w: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tcBorders>
              <w:left w:val="single" w:sz="8" w:color="CFF0FC"/>
              <w:right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tcBorders>
              <w:left w:val="single" w:sz="8" w:color="CFF0FC"/>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1"/>
                <w:szCs w:val="11"/>
                <w:color w:val="auto"/>
              </w:rPr>
              <w:t>and incentive shares into common</w:t>
            </w: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tcBorders>
              <w:left w:val="single" w:sz="8" w:color="CFF0FC"/>
              <w:right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tcBorders>
              <w:left w:val="single" w:sz="8" w:color="CFF0FC"/>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920" w:type="dxa"/>
            <w:vAlign w:val="bottom"/>
            <w:tcBorders>
              <w:bottom w:val="single" w:sz="8" w:color="CFF0FC"/>
              <w:right w:val="single" w:sz="8" w:color="CFF0FC"/>
            </w:tcBorders>
            <w:shd w:val="clear" w:color="auto" w:fill="CFF0FC"/>
          </w:tcPr>
          <w:p>
            <w:pPr>
              <w:ind w:left="100"/>
              <w:spacing w:after="0"/>
              <w:rPr>
                <w:sz w:val="20"/>
                <w:szCs w:val="20"/>
                <w:color w:val="auto"/>
              </w:rPr>
            </w:pPr>
            <w:r>
              <w:rPr>
                <w:rFonts w:ascii="Arial" w:cs="Arial" w:eastAsia="Arial" w:hAnsi="Arial"/>
                <w:sz w:val="11"/>
                <w:szCs w:val="11"/>
                <w:color w:val="auto"/>
              </w:rPr>
              <w:t>stock</w:t>
            </w:r>
          </w:p>
        </w:tc>
        <w:tc>
          <w:tcPr>
            <w:tcW w:w="8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(32,489,398 )</w:t>
            </w:r>
          </w:p>
        </w:tc>
        <w:tc>
          <w:tcPr>
            <w:tcW w:w="10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ind w:right="6"/>
              <w:spacing w:after="0"/>
              <w:rPr>
                <w:sz w:val="20"/>
                <w:szCs w:val="20"/>
                <w:color w:val="auto"/>
              </w:rPr>
            </w:pPr>
            <w:r>
              <w:rPr>
                <w:rFonts w:ascii="Arial" w:cs="Arial" w:eastAsia="Arial" w:hAnsi="Arial"/>
                <w:sz w:val="11"/>
                <w:szCs w:val="11"/>
                <w:color w:val="auto"/>
              </w:rPr>
              <w:t>(221,721 )</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left w:val="single" w:sz="8" w:color="CFF0FC"/>
              <w:bottom w:val="single" w:sz="8" w:color="CFF0FC"/>
              <w:right w:val="single" w:sz="8" w:color="auto"/>
            </w:tcBorders>
            <w:shd w:val="clear" w:color="auto" w:fill="CFF0FC"/>
          </w:tcPr>
          <w:p>
            <w:pPr>
              <w:spacing w:after="0"/>
              <w:rPr>
                <w:sz w:val="12"/>
                <w:szCs w:val="12"/>
                <w:color w:val="auto"/>
              </w:rPr>
            </w:pPr>
          </w:p>
        </w:tc>
        <w:tc>
          <w:tcPr>
            <w:tcW w:w="66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1"/>
                <w:szCs w:val="11"/>
                <w:color w:val="auto"/>
              </w:rPr>
              <w:t>43,958,557</w:t>
            </w:r>
          </w:p>
        </w:tc>
        <w:tc>
          <w:tcPr>
            <w:tcW w:w="1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right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4</w:t>
            </w:r>
          </w:p>
        </w:tc>
        <w:tc>
          <w:tcPr>
            <w:tcW w:w="1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(6,035,869 )</w:t>
            </w:r>
          </w:p>
        </w:tc>
        <w:tc>
          <w:tcPr>
            <w:tcW w:w="4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(2,000 )</w:t>
            </w:r>
          </w:p>
        </w:tc>
        <w:tc>
          <w:tcPr>
            <w:tcW w:w="740" w:type="dxa"/>
            <w:vAlign w:val="bottom"/>
            <w:tcBorders>
              <w:bottom w:val="single" w:sz="8" w:color="CFF0FC"/>
            </w:tcBorders>
            <w:gridSpan w:val="4"/>
            <w:shd w:val="clear" w:color="auto" w:fill="CFF0FC"/>
          </w:tcPr>
          <w:p>
            <w:pPr>
              <w:jc w:val="right"/>
              <w:ind w:right="40"/>
              <w:spacing w:after="0"/>
              <w:rPr>
                <w:sz w:val="20"/>
                <w:szCs w:val="20"/>
                <w:color w:val="auto"/>
              </w:rPr>
            </w:pPr>
            <w:r>
              <w:rPr>
                <w:rFonts w:ascii="Arial" w:cs="Arial" w:eastAsia="Arial" w:hAnsi="Arial"/>
                <w:sz w:val="11"/>
                <w:szCs w:val="11"/>
                <w:color w:val="auto"/>
              </w:rPr>
              <w:t>(6,806,216 )</w:t>
            </w:r>
          </w:p>
        </w:tc>
        <w:tc>
          <w:tcPr>
            <w:tcW w:w="6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1"/>
                <w:szCs w:val="11"/>
                <w:color w:val="auto"/>
              </w:rPr>
              <w:t>(1,175 )</w:t>
            </w:r>
          </w:p>
        </w:tc>
        <w:tc>
          <w:tcPr>
            <w:tcW w:w="8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224,892</w:t>
            </w:r>
          </w:p>
        </w:tc>
        <w:tc>
          <w:tcPr>
            <w:tcW w:w="100" w:type="dxa"/>
            <w:vAlign w:val="bottom"/>
            <w:tcBorders>
              <w:bottom w:val="single" w:sz="8" w:color="CFF0FC"/>
              <w:right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221,721</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920" w:type="dxa"/>
            <w:vAlign w:val="bottom"/>
          </w:tcPr>
          <w:p>
            <w:pPr>
              <w:ind w:left="20"/>
              <w:spacing w:after="0"/>
              <w:rPr>
                <w:sz w:val="20"/>
                <w:szCs w:val="20"/>
                <w:color w:val="auto"/>
              </w:rPr>
            </w:pPr>
            <w:r>
              <w:rPr>
                <w:rFonts w:ascii="Arial" w:cs="Arial" w:eastAsia="Arial" w:hAnsi="Arial"/>
                <w:sz w:val="11"/>
                <w:szCs w:val="11"/>
                <w:color w:val="auto"/>
              </w:rPr>
              <w:t>Conversion of redeemable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100"/>
              <w:spacing w:after="0"/>
              <w:rPr>
                <w:sz w:val="20"/>
                <w:szCs w:val="20"/>
                <w:color w:val="auto"/>
              </w:rPr>
            </w:pPr>
            <w:r>
              <w:rPr>
                <w:rFonts w:ascii="Arial" w:cs="Arial" w:eastAsia="Arial" w:hAnsi="Arial"/>
                <w:sz w:val="11"/>
                <w:szCs w:val="11"/>
                <w:color w:val="auto"/>
              </w:rPr>
              <w:t>noncontrolling interest to common</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920" w:type="dxa"/>
            <w:vAlign w:val="bottom"/>
          </w:tcPr>
          <w:p>
            <w:pPr>
              <w:ind w:left="100"/>
              <w:spacing w:after="0"/>
              <w:rPr>
                <w:sz w:val="20"/>
                <w:szCs w:val="20"/>
                <w:color w:val="auto"/>
              </w:rPr>
            </w:pPr>
            <w:r>
              <w:rPr>
                <w:rFonts w:ascii="Arial" w:cs="Arial" w:eastAsia="Arial" w:hAnsi="Arial"/>
                <w:sz w:val="11"/>
                <w:szCs w:val="11"/>
                <w:color w:val="auto"/>
              </w:rPr>
              <w:t>stock</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(3,592 )</w:t>
            </w:r>
          </w:p>
        </w:tc>
        <w:tc>
          <w:tcPr>
            <w:tcW w:w="180" w:type="dxa"/>
            <w:vAlign w:val="bottom"/>
            <w:tcBorders>
              <w:right w:val="single" w:sz="8" w:color="auto"/>
            </w:tcBorders>
          </w:tcPr>
          <w:p>
            <w:pPr>
              <w:spacing w:after="0"/>
              <w:rPr>
                <w:sz w:val="11"/>
                <w:szCs w:val="11"/>
                <w:color w:val="auto"/>
              </w:rPr>
            </w:pPr>
          </w:p>
        </w:tc>
        <w:tc>
          <w:tcPr>
            <w:tcW w:w="660" w:type="dxa"/>
            <w:vAlign w:val="bottom"/>
            <w:gridSpan w:val="3"/>
          </w:tcPr>
          <w:p>
            <w:pPr>
              <w:jc w:val="right"/>
              <w:spacing w:after="0"/>
              <w:rPr>
                <w:sz w:val="20"/>
                <w:szCs w:val="20"/>
                <w:color w:val="auto"/>
              </w:rPr>
            </w:pPr>
            <w:r>
              <w:rPr>
                <w:rFonts w:ascii="Arial" w:cs="Arial" w:eastAsia="Arial" w:hAnsi="Arial"/>
                <w:sz w:val="11"/>
                <w:szCs w:val="11"/>
                <w:color w:val="auto"/>
              </w:rPr>
              <w:t>6,470,382</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1</w:t>
            </w:r>
          </w:p>
        </w:tc>
        <w:tc>
          <w:tcPr>
            <w:tcW w:w="100" w:type="dxa"/>
            <w:vAlign w:val="bottom"/>
          </w:tcPr>
          <w:p>
            <w:pPr>
              <w:spacing w:after="0"/>
              <w:rPr>
                <w:sz w:val="11"/>
                <w:szCs w:val="1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gridSpan w:val="2"/>
          </w:tcPr>
          <w:p>
            <w:pPr>
              <w:jc w:val="right"/>
              <w:ind w:right="51"/>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3,592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3,592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9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Common stock issued in IPO, net of</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tcBorders>
              <w:left w:val="single" w:sz="8" w:color="CFF0FC"/>
              <w:right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tcBorders>
              <w:left w:val="single" w:sz="8" w:color="CFF0FC"/>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920" w:type="dxa"/>
            <w:vAlign w:val="bottom"/>
            <w:tcBorders>
              <w:bottom w:val="single" w:sz="8" w:color="CFF0FC"/>
              <w:right w:val="single" w:sz="8" w:color="CFF0FC"/>
            </w:tcBorders>
            <w:shd w:val="clear" w:color="auto" w:fill="CFF0FC"/>
          </w:tcPr>
          <w:p>
            <w:pPr>
              <w:ind w:left="100"/>
              <w:spacing w:after="0"/>
              <w:rPr>
                <w:sz w:val="20"/>
                <w:szCs w:val="20"/>
                <w:color w:val="auto"/>
              </w:rPr>
            </w:pPr>
            <w:r>
              <w:rPr>
                <w:rFonts w:ascii="Arial" w:cs="Arial" w:eastAsia="Arial" w:hAnsi="Arial"/>
                <w:sz w:val="11"/>
                <w:szCs w:val="11"/>
                <w:color w:val="auto"/>
              </w:rPr>
              <w:t>issuance costs of $16,995</w:t>
            </w:r>
          </w:p>
        </w:tc>
        <w:tc>
          <w:tcPr>
            <w:tcW w:w="8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left w:val="single" w:sz="8" w:color="CFF0FC"/>
              <w:bottom w:val="single" w:sz="8" w:color="CFF0FC"/>
              <w:right w:val="single" w:sz="8" w:color="auto"/>
            </w:tcBorders>
            <w:shd w:val="clear" w:color="auto" w:fill="CFF0FC"/>
          </w:tcPr>
          <w:p>
            <w:pPr>
              <w:spacing w:after="0"/>
              <w:rPr>
                <w:sz w:val="12"/>
                <w:szCs w:val="12"/>
                <w:color w:val="auto"/>
              </w:rPr>
            </w:pPr>
          </w:p>
        </w:tc>
        <w:tc>
          <w:tcPr>
            <w:tcW w:w="66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1"/>
                <w:szCs w:val="11"/>
                <w:color w:val="auto"/>
              </w:rPr>
              <w:t>11,500,000</w:t>
            </w:r>
          </w:p>
        </w:tc>
        <w:tc>
          <w:tcPr>
            <w:tcW w:w="1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right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1</w:t>
            </w:r>
          </w:p>
        </w:tc>
        <w:tc>
          <w:tcPr>
            <w:tcW w:w="1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right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gridSpan w:val="2"/>
            <w:shd w:val="clear" w:color="auto" w:fill="CFF0FC"/>
          </w:tcPr>
          <w:p>
            <w:pPr>
              <w:jc w:val="right"/>
              <w:ind w:right="51"/>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167,044</w:t>
            </w:r>
          </w:p>
        </w:tc>
        <w:tc>
          <w:tcPr>
            <w:tcW w:w="100" w:type="dxa"/>
            <w:vAlign w:val="bottom"/>
            <w:tcBorders>
              <w:bottom w:val="single" w:sz="8" w:color="CFF0FC"/>
              <w:right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167,045</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20"/>
              <w:spacing w:after="0"/>
              <w:rPr>
                <w:sz w:val="20"/>
                <w:szCs w:val="20"/>
                <w:color w:val="auto"/>
              </w:rPr>
            </w:pPr>
            <w:r>
              <w:rPr>
                <w:rFonts w:ascii="Arial" w:cs="Arial" w:eastAsia="Arial" w:hAnsi="Arial"/>
                <w:sz w:val="11"/>
                <w:szCs w:val="11"/>
                <w:color w:val="auto"/>
              </w:rPr>
              <w:t>Share-based compensation expenses</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gridSpan w:val="2"/>
          </w:tcPr>
          <w:p>
            <w:pPr>
              <w:jc w:val="right"/>
              <w:ind w:right="71"/>
              <w:spacing w:after="0"/>
              <w:rPr>
                <w:sz w:val="20"/>
                <w:szCs w:val="20"/>
                <w:color w:val="auto"/>
              </w:rPr>
            </w:pPr>
            <w:r>
              <w:rPr>
                <w:rFonts w:ascii="Arial" w:cs="Arial" w:eastAsia="Arial" w:hAnsi="Arial"/>
                <w:sz w:val="8"/>
                <w:szCs w:val="8"/>
                <w:color w:val="auto"/>
                <w:w w:val="74"/>
              </w:rPr>
              <w:t>—</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gridSpan w:val="2"/>
          </w:tcPr>
          <w:p>
            <w:pPr>
              <w:jc w:val="right"/>
              <w:ind w:right="51"/>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2,537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2,537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9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Net loss attributable to common</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vMerge w:val="restart"/>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left w:val="single" w:sz="8" w:color="CFF0FC"/>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380" w:type="dxa"/>
            <w:vAlign w:val="bottom"/>
            <w:tcBorders>
              <w:right w:val="single" w:sz="8" w:color="CFF0FC"/>
            </w:tcBorders>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8"/>
                <w:szCs w:val="8"/>
                <w:color w:val="auto"/>
                <w:w w:val="74"/>
              </w:rPr>
              <w:t>—</w:t>
            </w:r>
          </w:p>
        </w:tc>
        <w:tc>
          <w:tcPr>
            <w:tcW w:w="100" w:type="dxa"/>
            <w:vAlign w:val="bottom"/>
            <w:vMerge w:val="restart"/>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left w:val="single" w:sz="8" w:color="CFF0FC"/>
              <w:right w:val="single" w:sz="8" w:color="CFF0FC"/>
            </w:tcBorders>
            <w:vMerge w:val="restart"/>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Borders>
              <w:left w:val="single" w:sz="8" w:color="CFF0FC"/>
            </w:tcBorders>
            <w:vMerge w:val="restart"/>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1"/>
                <w:szCs w:val="11"/>
                <w:color w:val="auto"/>
              </w:rPr>
              <w:t>(14,284 )</w:t>
            </w:r>
          </w:p>
        </w:tc>
        <w:tc>
          <w:tcPr>
            <w:tcW w:w="10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(14,284 )</w:t>
            </w:r>
          </w:p>
        </w:tc>
        <w:tc>
          <w:tcPr>
            <w:tcW w:w="0" w:type="dxa"/>
            <w:vAlign w:val="bottom"/>
          </w:tcPr>
          <w:p>
            <w:pPr>
              <w:spacing w:after="0"/>
              <w:rPr>
                <w:sz w:val="1"/>
                <w:szCs w:val="1"/>
                <w:color w:val="auto"/>
              </w:rPr>
            </w:pPr>
          </w:p>
        </w:tc>
      </w:tr>
      <w:tr>
        <w:trPr>
          <w:trHeight w:val="140"/>
        </w:trPr>
        <w:tc>
          <w:tcPr>
            <w:tcW w:w="19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members/stockholders</w:t>
            </w:r>
          </w:p>
        </w:tc>
        <w:tc>
          <w:tcPr>
            <w:tcW w:w="700" w:type="dxa"/>
            <w:vAlign w:val="bottom"/>
            <w:vMerge w:val="continue"/>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180" w:type="dxa"/>
            <w:vAlign w:val="bottom"/>
            <w:tcBorders>
              <w:left w:val="single" w:sz="8" w:color="CFF0FC"/>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3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tcBorders>
              <w:right w:val="single" w:sz="8" w:color="CFF0FC"/>
            </w:tcBorders>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140" w:type="dxa"/>
            <w:vAlign w:val="bottom"/>
            <w:tcBorders>
              <w:left w:val="single" w:sz="8" w:color="CFF0FC"/>
              <w:right w:val="single" w:sz="8" w:color="CFF0FC"/>
            </w:tcBorders>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40" w:type="dxa"/>
            <w:vAlign w:val="bottom"/>
            <w:vMerge w:val="continue"/>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vMerge w:val="continue"/>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140" w:type="dxa"/>
            <w:vAlign w:val="bottom"/>
            <w:tcBorders>
              <w:left w:val="single" w:sz="8" w:color="CFF0FC"/>
            </w:tcBorders>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20" w:type="dxa"/>
            <w:vAlign w:val="bottom"/>
            <w:tcBorders>
              <w:right w:val="single" w:sz="8" w:color="auto"/>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left w:val="single" w:sz="8" w:color="CFF0FC"/>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920" w:type="dxa"/>
            <w:vAlign w:val="bottom"/>
          </w:tcPr>
          <w:p>
            <w:pPr>
              <w:ind w:left="20"/>
              <w:spacing w:after="0"/>
              <w:rPr>
                <w:sz w:val="20"/>
                <w:szCs w:val="20"/>
                <w:color w:val="auto"/>
              </w:rPr>
            </w:pPr>
            <w:r>
              <w:rPr>
                <w:rFonts w:ascii="Arial" w:cs="Arial" w:eastAsia="Arial" w:hAnsi="Arial"/>
                <w:sz w:val="11"/>
                <w:szCs w:val="11"/>
                <w:b w:val="1"/>
                <w:bCs w:val="1"/>
                <w:color w:val="auto"/>
              </w:rPr>
              <w:t>Balance at June 30, 2021</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jc w:val="center"/>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60" w:type="dxa"/>
            <w:vAlign w:val="bottom"/>
            <w:gridSpan w:val="3"/>
          </w:tcPr>
          <w:p>
            <w:pPr>
              <w:jc w:val="right"/>
              <w:spacing w:after="0"/>
              <w:rPr>
                <w:sz w:val="20"/>
                <w:szCs w:val="20"/>
                <w:color w:val="auto"/>
              </w:rPr>
            </w:pPr>
            <w:r>
              <w:rPr>
                <w:rFonts w:ascii="Arial" w:cs="Arial" w:eastAsia="Arial" w:hAnsi="Arial"/>
                <w:sz w:val="11"/>
                <w:szCs w:val="11"/>
                <w:color w:val="auto"/>
              </w:rPr>
              <w:t>61,928,939</w:t>
            </w:r>
          </w:p>
        </w:tc>
        <w:tc>
          <w:tcPr>
            <w:tcW w:w="120" w:type="dxa"/>
            <w:vAlign w:val="bottom"/>
          </w:tcPr>
          <w:p>
            <w:pPr>
              <w:spacing w:after="0"/>
              <w:rPr>
                <w:sz w:val="11"/>
                <w:szCs w:val="11"/>
                <w:color w:val="auto"/>
              </w:rPr>
            </w:pPr>
          </w:p>
        </w:tc>
        <w:tc>
          <w:tcPr>
            <w:tcW w:w="380" w:type="dxa"/>
            <w:vAlign w:val="bottom"/>
          </w:tcPr>
          <w:p>
            <w:pPr>
              <w:jc w:val="right"/>
              <w:ind w:right="267"/>
              <w:spacing w:after="0"/>
              <w:rPr>
                <w:sz w:val="20"/>
                <w:szCs w:val="20"/>
                <w:color w:val="auto"/>
              </w:rPr>
            </w:pPr>
            <w:r>
              <w:rPr>
                <w:rFonts w:ascii="Arial" w:cs="Arial" w:eastAsia="Arial" w:hAnsi="Arial"/>
                <w:sz w:val="10"/>
                <w:szCs w:val="10"/>
                <w:color w:val="auto"/>
                <w:w w:val="71"/>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6</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398,065</w:t>
            </w:r>
          </w:p>
        </w:tc>
        <w:tc>
          <w:tcPr>
            <w:tcW w:w="1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3"/>
          </w:tcPr>
          <w:p>
            <w:pPr>
              <w:jc w:val="right"/>
              <w:spacing w:after="0"/>
              <w:rPr>
                <w:sz w:val="20"/>
                <w:szCs w:val="20"/>
                <w:color w:val="auto"/>
              </w:rPr>
            </w:pPr>
            <w:r>
              <w:rPr>
                <w:rFonts w:ascii="Arial" w:cs="Arial" w:eastAsia="Arial" w:hAnsi="Arial"/>
                <w:sz w:val="11"/>
                <w:szCs w:val="11"/>
                <w:color w:val="auto"/>
              </w:rPr>
              <w:t>(86,308 ) $</w:t>
            </w:r>
          </w:p>
        </w:tc>
        <w:tc>
          <w:tcPr>
            <w:tcW w:w="820" w:type="dxa"/>
            <w:vAlign w:val="bottom"/>
          </w:tcPr>
          <w:p>
            <w:pPr>
              <w:jc w:val="right"/>
              <w:spacing w:after="0"/>
              <w:rPr>
                <w:sz w:val="20"/>
                <w:szCs w:val="20"/>
                <w:color w:val="auto"/>
              </w:rPr>
            </w:pPr>
            <w:r>
              <w:rPr>
                <w:rFonts w:ascii="Arial" w:cs="Arial" w:eastAsia="Arial" w:hAnsi="Arial"/>
                <w:sz w:val="11"/>
                <w:szCs w:val="11"/>
                <w:color w:val="auto"/>
              </w:rPr>
              <w:t>311,763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920" w:type="dxa"/>
            <w:vAlign w:val="bottom"/>
            <w:tcBorders>
              <w:bottom w:val="single" w:sz="8" w:color="CFF0FC"/>
              <w:right w:val="single" w:sz="8" w:color="CFF0FC"/>
            </w:tcBorders>
            <w:shd w:val="clear" w:color="auto" w:fill="CFF0FC"/>
          </w:tcPr>
          <w:p>
            <w:pPr>
              <w:ind w:left="20"/>
              <w:spacing w:after="0" w:line="121" w:lineRule="exact"/>
              <w:rPr>
                <w:sz w:val="20"/>
                <w:szCs w:val="20"/>
                <w:color w:val="auto"/>
              </w:rPr>
            </w:pPr>
            <w:r>
              <w:rPr>
                <w:rFonts w:ascii="Arial" w:cs="Arial" w:eastAsia="Arial" w:hAnsi="Arial"/>
                <w:sz w:val="11"/>
                <w:szCs w:val="11"/>
                <w:color w:val="auto"/>
              </w:rPr>
              <w:t>Share-based compensation expenses</w:t>
            </w:r>
          </w:p>
        </w:tc>
        <w:tc>
          <w:tcPr>
            <w:tcW w:w="820" w:type="dxa"/>
            <w:vAlign w:val="bottom"/>
            <w:tcBorders>
              <w:bottom w:val="single" w:sz="8" w:color="CFF0FC"/>
            </w:tcBorders>
            <w:gridSpan w:val="2"/>
            <w:shd w:val="clear" w:color="auto" w:fill="CFF0FC"/>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CFF0FC"/>
            </w:tcBorders>
            <w:shd w:val="clear" w:color="auto" w:fill="CFF0FC"/>
          </w:tcPr>
          <w:p>
            <w:pPr>
              <w:jc w:val="right"/>
              <w:spacing w:after="0" w:line="121"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shd w:val="clear" w:color="auto" w:fill="CFF0FC"/>
          </w:tcPr>
          <w:p>
            <w:pPr>
              <w:jc w:val="right"/>
              <w:spacing w:after="0" w:line="121" w:lineRule="exact"/>
              <w:rPr>
                <w:sz w:val="20"/>
                <w:szCs w:val="20"/>
                <w:color w:val="auto"/>
              </w:rPr>
            </w:pPr>
            <w:r>
              <w:rPr>
                <w:rFonts w:ascii="Arial" w:cs="Arial" w:eastAsia="Arial" w:hAnsi="Arial"/>
                <w:sz w:val="11"/>
                <w:szCs w:val="11"/>
                <w:color w:val="auto"/>
              </w:rPr>
              <w:t>—</w:t>
            </w:r>
          </w:p>
        </w:tc>
        <w:tc>
          <w:tcPr>
            <w:tcW w:w="180" w:type="dxa"/>
            <w:vAlign w:val="bottom"/>
            <w:tcBorders>
              <w:left w:val="single" w:sz="8" w:color="CFF0FC"/>
              <w:bottom w:val="single" w:sz="8" w:color="CFF0FC"/>
              <w:right w:val="single" w:sz="8" w:color="auto"/>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right w:val="single" w:sz="8" w:color="CFF0FC"/>
            </w:tcBorders>
            <w:shd w:val="clear" w:color="auto" w:fill="CFF0FC"/>
          </w:tcPr>
          <w:p>
            <w:pPr>
              <w:spacing w:after="0"/>
              <w:rPr>
                <w:sz w:val="10"/>
                <w:szCs w:val="10"/>
                <w:color w:val="auto"/>
              </w:rPr>
            </w:pPr>
          </w:p>
        </w:tc>
        <w:tc>
          <w:tcPr>
            <w:tcW w:w="320" w:type="dxa"/>
            <w:vAlign w:val="bottom"/>
            <w:tcBorders>
              <w:bottom w:val="single" w:sz="8" w:color="CFF0FC"/>
            </w:tcBorders>
            <w:shd w:val="clear" w:color="auto" w:fill="CFF0FC"/>
          </w:tcPr>
          <w:p>
            <w:pPr>
              <w:jc w:val="right"/>
              <w:spacing w:after="0" w:line="121"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right w:val="single" w:sz="8" w:color="CFF0FC"/>
            </w:tcBorders>
            <w:shd w:val="clear" w:color="auto" w:fill="CFF0FC"/>
          </w:tcPr>
          <w:p>
            <w:pPr>
              <w:spacing w:after="0"/>
              <w:rPr>
                <w:sz w:val="10"/>
                <w:szCs w:val="10"/>
                <w:color w:val="auto"/>
              </w:rPr>
            </w:pPr>
          </w:p>
        </w:tc>
        <w:tc>
          <w:tcPr>
            <w:tcW w:w="200" w:type="dxa"/>
            <w:vAlign w:val="bottom"/>
            <w:tcBorders>
              <w:bottom w:val="single" w:sz="8" w:color="CFF0FC"/>
            </w:tcBorders>
            <w:gridSpan w:val="2"/>
            <w:shd w:val="clear" w:color="auto" w:fill="CFF0FC"/>
          </w:tcPr>
          <w:p>
            <w:pPr>
              <w:jc w:val="right"/>
              <w:ind w:right="71"/>
              <w:spacing w:after="0"/>
              <w:rPr>
                <w:sz w:val="20"/>
                <w:szCs w:val="20"/>
                <w:color w:val="auto"/>
              </w:rPr>
            </w:pPr>
            <w:r>
              <w:rPr>
                <w:rFonts w:ascii="Arial" w:cs="Arial" w:eastAsia="Arial" w:hAnsi="Arial"/>
                <w:sz w:val="8"/>
                <w:szCs w:val="8"/>
                <w:color w:val="auto"/>
                <w:w w:val="74"/>
              </w:rPr>
              <w:t>—</w:t>
            </w:r>
          </w:p>
        </w:tc>
        <w:tc>
          <w:tcPr>
            <w:tcW w:w="820" w:type="dxa"/>
            <w:vAlign w:val="bottom"/>
            <w:tcBorders>
              <w:bottom w:val="single" w:sz="8" w:color="CFF0FC"/>
              <w:right w:val="single" w:sz="8" w:color="CFF0FC"/>
            </w:tcBorders>
            <w:gridSpan w:val="2"/>
            <w:shd w:val="clear" w:color="auto" w:fill="CFF0FC"/>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gridSpan w:val="2"/>
            <w:shd w:val="clear" w:color="auto" w:fill="CFF0FC"/>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220" w:type="dxa"/>
            <w:vAlign w:val="bottom"/>
            <w:tcBorders>
              <w:bottom w:val="single" w:sz="8" w:color="CFF0FC"/>
              <w:right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gridSpan w:val="2"/>
            <w:shd w:val="clear" w:color="auto" w:fill="CFF0FC"/>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gridSpan w:val="2"/>
            <w:shd w:val="clear" w:color="auto" w:fill="CFF0FC"/>
          </w:tcPr>
          <w:p>
            <w:pPr>
              <w:jc w:val="right"/>
              <w:ind w:right="51"/>
              <w:spacing w:after="0" w:line="121" w:lineRule="exact"/>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jc w:val="right"/>
              <w:spacing w:after="0" w:line="121" w:lineRule="exact"/>
              <w:rPr>
                <w:sz w:val="20"/>
                <w:szCs w:val="20"/>
                <w:color w:val="auto"/>
              </w:rPr>
            </w:pPr>
            <w:r>
              <w:rPr>
                <w:rFonts w:ascii="Arial" w:cs="Arial" w:eastAsia="Arial" w:hAnsi="Arial"/>
                <w:sz w:val="11"/>
                <w:szCs w:val="11"/>
                <w:color w:val="auto"/>
              </w:rPr>
              <w:t>5,149</w:t>
            </w:r>
          </w:p>
        </w:tc>
        <w:tc>
          <w:tcPr>
            <w:tcW w:w="100" w:type="dxa"/>
            <w:vAlign w:val="bottom"/>
            <w:tcBorders>
              <w:bottom w:val="single" w:sz="8" w:color="CFF0FC"/>
              <w:right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gridSpan w:val="2"/>
            <w:shd w:val="clear" w:color="auto" w:fill="CFF0FC"/>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jc w:val="right"/>
              <w:spacing w:after="0" w:line="121" w:lineRule="exact"/>
              <w:rPr>
                <w:sz w:val="20"/>
                <w:szCs w:val="20"/>
                <w:color w:val="auto"/>
              </w:rPr>
            </w:pPr>
            <w:r>
              <w:rPr>
                <w:rFonts w:ascii="Arial" w:cs="Arial" w:eastAsia="Arial" w:hAnsi="Arial"/>
                <w:sz w:val="11"/>
                <w:szCs w:val="11"/>
                <w:color w:val="auto"/>
              </w:rPr>
              <w:t>5,149</w:t>
            </w:r>
          </w:p>
        </w:tc>
        <w:tc>
          <w:tcPr>
            <w:tcW w:w="6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920" w:type="dxa"/>
            <w:vAlign w:val="bottom"/>
          </w:tcPr>
          <w:p>
            <w:pPr>
              <w:ind w:left="20"/>
              <w:spacing w:after="0"/>
              <w:rPr>
                <w:sz w:val="20"/>
                <w:szCs w:val="20"/>
                <w:color w:val="auto"/>
              </w:rPr>
            </w:pPr>
            <w:r>
              <w:rPr>
                <w:rFonts w:ascii="Arial" w:cs="Arial" w:eastAsia="Arial" w:hAnsi="Arial"/>
                <w:sz w:val="11"/>
                <w:szCs w:val="11"/>
                <w:color w:val="auto"/>
              </w:rPr>
              <w:t>Net loss attributable to common</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8"/>
                <w:szCs w:val="8"/>
                <w:color w:val="auto"/>
                <w:w w:val="74"/>
              </w:rPr>
              <w:t>—</w:t>
            </w:r>
          </w:p>
        </w:tc>
        <w:tc>
          <w:tcPr>
            <w:tcW w:w="100" w:type="dxa"/>
            <w:vAlign w:val="bottom"/>
            <w:vMerge w:val="restart"/>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(19,240 )</w:t>
            </w:r>
          </w:p>
        </w:tc>
        <w:tc>
          <w:tcPr>
            <w:tcW w:w="10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(19,240 )</w:t>
            </w:r>
          </w:p>
        </w:tc>
        <w:tc>
          <w:tcPr>
            <w:tcW w:w="0" w:type="dxa"/>
            <w:vAlign w:val="bottom"/>
          </w:tcPr>
          <w:p>
            <w:pPr>
              <w:spacing w:after="0"/>
              <w:rPr>
                <w:sz w:val="1"/>
                <w:szCs w:val="1"/>
                <w:color w:val="auto"/>
              </w:rPr>
            </w:pPr>
          </w:p>
        </w:tc>
      </w:tr>
      <w:tr>
        <w:trPr>
          <w:trHeight w:val="140"/>
        </w:trPr>
        <w:tc>
          <w:tcPr>
            <w:tcW w:w="1920" w:type="dxa"/>
            <w:vAlign w:val="bottom"/>
          </w:tcPr>
          <w:p>
            <w:pPr>
              <w:ind w:left="20"/>
              <w:spacing w:after="0"/>
              <w:rPr>
                <w:sz w:val="20"/>
                <w:szCs w:val="20"/>
                <w:color w:val="auto"/>
              </w:rPr>
            </w:pPr>
            <w:r>
              <w:rPr>
                <w:rFonts w:ascii="Arial" w:cs="Arial" w:eastAsia="Arial" w:hAnsi="Arial"/>
                <w:sz w:val="11"/>
                <w:szCs w:val="11"/>
                <w:color w:val="auto"/>
              </w:rPr>
              <w:t>members/stockholders</w:t>
            </w:r>
          </w:p>
        </w:tc>
        <w:tc>
          <w:tcPr>
            <w:tcW w:w="7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92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at September 30, 2021</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w w:val="97"/>
              </w:rPr>
              <w:t>$</w:t>
            </w:r>
          </w:p>
        </w:tc>
        <w:tc>
          <w:tcPr>
            <w:tcW w:w="1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left w:val="single" w:sz="8" w:color="CFF0FC"/>
              <w:bottom w:val="single" w:sz="8" w:color="CFF0FC"/>
              <w:right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1"/>
                <w:szCs w:val="11"/>
                <w:color w:val="auto"/>
              </w:rPr>
              <w:t>61,928,939</w:t>
            </w:r>
          </w:p>
        </w:tc>
        <w:tc>
          <w:tcPr>
            <w:tcW w:w="1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right w:val="single" w:sz="8" w:color="CFF0FC"/>
            </w:tcBorders>
            <w:shd w:val="clear" w:color="auto" w:fill="CFF0FC"/>
          </w:tcPr>
          <w:p>
            <w:pPr>
              <w:jc w:val="right"/>
              <w:ind w:right="267"/>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6</w:t>
            </w:r>
          </w:p>
        </w:tc>
        <w:tc>
          <w:tcPr>
            <w:tcW w:w="10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left w:val="single" w:sz="8" w:color="CFF0FC"/>
              <w:bottom w:val="single" w:sz="8" w:color="CFF0FC"/>
              <w:right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right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Borders>
              <w:left w:val="single" w:sz="8" w:color="CFF0FC"/>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403,214</w:t>
            </w:r>
          </w:p>
        </w:tc>
        <w:tc>
          <w:tcPr>
            <w:tcW w:w="100" w:type="dxa"/>
            <w:vAlign w:val="bottom"/>
            <w:tcBorders>
              <w:bottom w:val="single" w:sz="8" w:color="CFF0FC"/>
              <w:right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1"/>
                <w:szCs w:val="11"/>
                <w:color w:val="auto"/>
              </w:rPr>
              <w:t>(105,548 ) $</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297,672</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920" w:type="dxa"/>
            <w:vAlign w:val="bottom"/>
          </w:tcPr>
          <w:p>
            <w:pPr>
              <w:spacing w:after="0"/>
              <w:rPr>
                <w:sz w:val="24"/>
                <w:szCs w:val="24"/>
                <w:color w:val="auto"/>
              </w:rPr>
            </w:pPr>
          </w:p>
        </w:tc>
        <w:tc>
          <w:tcPr>
            <w:tcW w:w="1420" w:type="dxa"/>
            <w:vAlign w:val="bottom"/>
            <w:gridSpan w:val="4"/>
          </w:tcPr>
          <w:p>
            <w:pPr>
              <w:jc w:val="center"/>
              <w:ind w:left="266"/>
              <w:spacing w:after="0"/>
              <w:rPr>
                <w:sz w:val="20"/>
                <w:szCs w:val="20"/>
                <w:color w:val="auto"/>
              </w:rPr>
            </w:pPr>
            <w:r>
              <w:rPr>
                <w:rFonts w:ascii="Arial" w:cs="Arial" w:eastAsia="Arial" w:hAnsi="Arial"/>
                <w:sz w:val="11"/>
                <w:szCs w:val="11"/>
                <w:b w:val="1"/>
                <w:bCs w:val="1"/>
                <w:color w:val="auto"/>
                <w:w w:val="89"/>
              </w:rPr>
              <w:t>Redeemable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420" w:type="dxa"/>
            <w:vAlign w:val="bottom"/>
            <w:gridSpan w:val="4"/>
          </w:tcPr>
          <w:p>
            <w:pPr>
              <w:jc w:val="center"/>
              <w:ind w:left="266"/>
              <w:spacing w:after="0"/>
              <w:rPr>
                <w:sz w:val="20"/>
                <w:szCs w:val="20"/>
                <w:color w:val="auto"/>
              </w:rPr>
            </w:pPr>
            <w:r>
              <w:rPr>
                <w:rFonts w:ascii="Arial" w:cs="Arial" w:eastAsia="Arial" w:hAnsi="Arial"/>
                <w:sz w:val="11"/>
                <w:szCs w:val="11"/>
                <w:b w:val="1"/>
                <w:bCs w:val="1"/>
                <w:color w:val="auto"/>
                <w:w w:val="89"/>
              </w:rPr>
              <w:t>Convertible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5"/>
          </w:tcPr>
          <w:p>
            <w:pPr>
              <w:jc w:val="center"/>
              <w:ind w:right="426"/>
              <w:spacing w:after="0"/>
              <w:rPr>
                <w:sz w:val="20"/>
                <w:szCs w:val="20"/>
                <w:color w:val="auto"/>
              </w:rPr>
            </w:pPr>
            <w:r>
              <w:rPr>
                <w:rFonts w:ascii="Arial" w:cs="Arial" w:eastAsia="Arial" w:hAnsi="Arial"/>
                <w:sz w:val="11"/>
                <w:szCs w:val="11"/>
                <w:b w:val="1"/>
                <w:bCs w:val="1"/>
                <w:color w:val="auto"/>
                <w:w w:val="86"/>
              </w:rPr>
              <w:t>Redeemable</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1420" w:type="dxa"/>
            <w:vAlign w:val="bottom"/>
            <w:gridSpan w:val="4"/>
          </w:tcPr>
          <w:p>
            <w:pPr>
              <w:jc w:val="center"/>
              <w:ind w:left="226"/>
              <w:spacing w:after="0"/>
              <w:rPr>
                <w:sz w:val="20"/>
                <w:szCs w:val="20"/>
                <w:color w:val="auto"/>
              </w:rPr>
            </w:pPr>
            <w:r>
              <w:rPr>
                <w:rFonts w:ascii="Arial" w:cs="Arial" w:eastAsia="Arial" w:hAnsi="Arial"/>
                <w:sz w:val="11"/>
                <w:szCs w:val="11"/>
                <w:b w:val="1"/>
                <w:bCs w:val="1"/>
                <w:color w:val="auto"/>
                <w:w w:val="87"/>
              </w:rPr>
              <w:t>Preferred Shares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5"/>
          </w:tcPr>
          <w:p>
            <w:pPr>
              <w:jc w:val="center"/>
              <w:ind w:right="466"/>
              <w:spacing w:after="0"/>
              <w:rPr>
                <w:sz w:val="20"/>
                <w:szCs w:val="20"/>
                <w:color w:val="auto"/>
              </w:rPr>
            </w:pPr>
            <w:r>
              <w:rPr>
                <w:rFonts w:ascii="Arial" w:cs="Arial" w:eastAsia="Arial" w:hAnsi="Arial"/>
                <w:sz w:val="11"/>
                <w:szCs w:val="11"/>
                <w:b w:val="1"/>
                <w:bCs w:val="1"/>
                <w:color w:val="auto"/>
                <w:w w:val="86"/>
              </w:rPr>
              <w:t>Noncontrolling</w:t>
            </w:r>
          </w:p>
        </w:tc>
        <w:tc>
          <w:tcPr>
            <w:tcW w:w="120" w:type="dxa"/>
            <w:vAlign w:val="bottom"/>
          </w:tcPr>
          <w:p>
            <w:pPr>
              <w:spacing w:after="0"/>
              <w:rPr>
                <w:sz w:val="13"/>
                <w:szCs w:val="13"/>
                <w:color w:val="auto"/>
              </w:rPr>
            </w:pPr>
          </w:p>
        </w:tc>
        <w:tc>
          <w:tcPr>
            <w:tcW w:w="1400" w:type="dxa"/>
            <w:vAlign w:val="bottom"/>
            <w:gridSpan w:val="5"/>
          </w:tcPr>
          <w:p>
            <w:pPr>
              <w:jc w:val="right"/>
              <w:ind w:right="600"/>
              <w:spacing w:after="0"/>
              <w:rPr>
                <w:sz w:val="20"/>
                <w:szCs w:val="20"/>
                <w:color w:val="auto"/>
              </w:rPr>
            </w:pPr>
            <w:r>
              <w:rPr>
                <w:rFonts w:ascii="Arial" w:cs="Arial" w:eastAsia="Arial" w:hAnsi="Arial"/>
                <w:sz w:val="11"/>
                <w:szCs w:val="11"/>
                <w:b w:val="1"/>
                <w:bCs w:val="1"/>
                <w:color w:val="auto"/>
                <w:w w:val="89"/>
              </w:rPr>
              <w:t>Common Shares</w:t>
            </w:r>
          </w:p>
        </w:tc>
        <w:tc>
          <w:tcPr>
            <w:tcW w:w="40" w:type="dxa"/>
            <w:vAlign w:val="bottom"/>
          </w:tcPr>
          <w:p>
            <w:pPr>
              <w:spacing w:after="0"/>
              <w:rPr>
                <w:sz w:val="13"/>
                <w:szCs w:val="13"/>
                <w:color w:val="auto"/>
              </w:rPr>
            </w:pPr>
          </w:p>
        </w:tc>
        <w:tc>
          <w:tcPr>
            <w:tcW w:w="1280" w:type="dxa"/>
            <w:vAlign w:val="bottom"/>
            <w:gridSpan w:val="6"/>
          </w:tcPr>
          <w:p>
            <w:pPr>
              <w:jc w:val="right"/>
              <w:ind w:right="100"/>
              <w:spacing w:after="0"/>
              <w:rPr>
                <w:sz w:val="20"/>
                <w:szCs w:val="20"/>
                <w:color w:val="auto"/>
              </w:rPr>
            </w:pPr>
            <w:r>
              <w:rPr>
                <w:rFonts w:ascii="Arial" w:cs="Arial" w:eastAsia="Arial" w:hAnsi="Arial"/>
                <w:sz w:val="11"/>
                <w:szCs w:val="11"/>
                <w:b w:val="1"/>
                <w:bCs w:val="1"/>
                <w:color w:val="auto"/>
              </w:rPr>
              <w:t>Incentive Shares</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66"/>
              <w:spacing w:after="0"/>
              <w:rPr>
                <w:sz w:val="20"/>
                <w:szCs w:val="20"/>
                <w:color w:val="auto"/>
              </w:rPr>
            </w:pPr>
            <w:r>
              <w:rPr>
                <w:rFonts w:ascii="Arial" w:cs="Arial" w:eastAsia="Arial" w:hAnsi="Arial"/>
                <w:sz w:val="11"/>
                <w:szCs w:val="11"/>
                <w:b w:val="1"/>
                <w:bCs w:val="1"/>
                <w:color w:val="auto"/>
                <w:w w:val="92"/>
              </w:rPr>
              <w:t>Paid-In</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Accumulated</w:t>
            </w:r>
          </w:p>
        </w:tc>
        <w:tc>
          <w:tcPr>
            <w:tcW w:w="98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3"/>
              </w:rPr>
              <w:t>Equity/Members'</w:t>
            </w: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166"/>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600" w:type="dxa"/>
            <w:vAlign w:val="bottom"/>
            <w:tcBorders>
              <w:top w:val="single" w:sz="8" w:color="auto"/>
            </w:tcBorders>
          </w:tcPr>
          <w:p>
            <w:pPr>
              <w:jc w:val="center"/>
              <w:ind w:left="187"/>
              <w:spacing w:after="0"/>
              <w:rPr>
                <w:sz w:val="20"/>
                <w:szCs w:val="20"/>
                <w:color w:val="auto"/>
              </w:rPr>
            </w:pPr>
            <w:r>
              <w:rPr>
                <w:rFonts w:ascii="Arial" w:cs="Arial" w:eastAsia="Arial" w:hAnsi="Arial"/>
                <w:sz w:val="11"/>
                <w:szCs w:val="11"/>
                <w:b w:val="1"/>
                <w:bCs w:val="1"/>
                <w:color w:val="auto"/>
                <w:w w:val="90"/>
              </w:rPr>
              <w:t>Interest</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tcBorders>
            <w:gridSpan w:val="3"/>
          </w:tcPr>
          <w:p>
            <w:pPr>
              <w:jc w:val="right"/>
              <w:ind w:right="207"/>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Shares</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4"/>
          </w:tcPr>
          <w:p>
            <w:pPr>
              <w:jc w:val="right"/>
              <w:ind w:right="146"/>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86"/>
              <w:spacing w:after="0"/>
              <w:rPr>
                <w:sz w:val="20"/>
                <w:szCs w:val="20"/>
                <w:color w:val="auto"/>
              </w:rPr>
            </w:pPr>
            <w:r>
              <w:rPr>
                <w:rFonts w:ascii="Arial" w:cs="Arial" w:eastAsia="Arial" w:hAnsi="Arial"/>
                <w:sz w:val="11"/>
                <w:szCs w:val="11"/>
                <w:b w:val="1"/>
                <w:bCs w:val="1"/>
                <w:color w:val="auto"/>
                <w:w w:val="87"/>
              </w:rPr>
              <w:t>Capital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Deficit</w:t>
            </w:r>
          </w:p>
        </w:tc>
        <w:tc>
          <w:tcPr>
            <w:tcW w:w="100" w:type="dxa"/>
            <w:vAlign w:val="bottom"/>
          </w:tcPr>
          <w:p>
            <w:pPr>
              <w:spacing w:after="0"/>
              <w:rPr>
                <w:sz w:val="12"/>
                <w:szCs w:val="12"/>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22"/>
        </w:trPr>
        <w:tc>
          <w:tcPr>
            <w:tcW w:w="19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192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at December 31, 2019</w:t>
            </w:r>
          </w:p>
        </w:tc>
        <w:tc>
          <w:tcPr>
            <w:tcW w:w="8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12,502,752</w:t>
            </w:r>
          </w:p>
        </w:tc>
        <w:tc>
          <w:tcPr>
            <w:tcW w:w="10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w w:val="83"/>
              </w:rPr>
              <w:t>30,504</w:t>
            </w:r>
          </w:p>
        </w:tc>
        <w:tc>
          <w:tcPr>
            <w:tcW w:w="700" w:type="dxa"/>
            <w:vAlign w:val="bottom"/>
            <w:tcBorders>
              <w:bottom w:val="single" w:sz="8" w:color="CFF0FC"/>
            </w:tcBorders>
            <w:gridSpan w:val="2"/>
            <w:shd w:val="clear" w:color="auto" w:fill="CFF0FC"/>
          </w:tcPr>
          <w:p>
            <w:pPr>
              <w:jc w:val="right"/>
              <w:ind w:right="487"/>
              <w:spacing w:after="0"/>
              <w:rPr>
                <w:sz w:val="20"/>
                <w:szCs w:val="20"/>
                <w:color w:val="auto"/>
              </w:rPr>
            </w:pPr>
            <w:r>
              <w:rPr>
                <w:rFonts w:ascii="Arial" w:cs="Arial" w:eastAsia="Arial" w:hAnsi="Arial"/>
                <w:sz w:val="11"/>
                <w:szCs w:val="11"/>
                <w:color w:val="auto"/>
              </w:rPr>
              <w:t>$</w:t>
            </w:r>
          </w:p>
        </w:tc>
        <w:tc>
          <w:tcPr>
            <w:tcW w:w="340" w:type="dxa"/>
            <w:vAlign w:val="bottom"/>
            <w:tcBorders>
              <w:left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5,487</w:t>
            </w:r>
          </w:p>
        </w:tc>
        <w:tc>
          <w:tcPr>
            <w:tcW w:w="180" w:type="dxa"/>
            <w:vAlign w:val="bottom"/>
            <w:tcBorders>
              <w:bottom w:val="single" w:sz="8" w:color="CFF0FC"/>
              <w:right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CFF0FC"/>
              <w:right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w w:val="93"/>
              </w:rPr>
              <w:t>6,035,869</w:t>
            </w: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2,000</w:t>
            </w:r>
          </w:p>
        </w:tc>
        <w:tc>
          <w:tcPr>
            <w:tcW w:w="140" w:type="dxa"/>
            <w:vAlign w:val="bottom"/>
            <w:tcBorders>
              <w:left w:val="single" w:sz="8" w:color="CFF0FC"/>
              <w:bottom w:val="single" w:sz="8" w:color="CFF0FC"/>
              <w:right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right w:val="single" w:sz="8" w:color="CFF0FC"/>
            </w:tcBorders>
            <w:gridSpan w:val="3"/>
            <w:shd w:val="clear" w:color="auto" w:fill="CFF0FC"/>
          </w:tcPr>
          <w:p>
            <w:pPr>
              <w:jc w:val="right"/>
              <w:spacing w:after="0"/>
              <w:rPr>
                <w:sz w:val="20"/>
                <w:szCs w:val="20"/>
                <w:color w:val="auto"/>
              </w:rPr>
            </w:pPr>
            <w:r>
              <w:rPr>
                <w:rFonts w:ascii="Arial" w:cs="Arial" w:eastAsia="Arial" w:hAnsi="Arial"/>
                <w:sz w:val="11"/>
                <w:szCs w:val="11"/>
                <w:color w:val="auto"/>
              </w:rPr>
              <w:t>1,488,421</w:t>
            </w:r>
          </w:p>
        </w:tc>
        <w:tc>
          <w:tcPr>
            <w:tcW w:w="420" w:type="dxa"/>
            <w:vAlign w:val="bottom"/>
            <w:tcBorders>
              <w:bottom w:val="single" w:sz="8" w:color="CFF0FC"/>
            </w:tcBorders>
            <w:gridSpan w:val="2"/>
            <w:shd w:val="clear" w:color="auto" w:fill="CFF0FC"/>
          </w:tcPr>
          <w:p>
            <w:pPr>
              <w:jc w:val="right"/>
              <w:ind w:right="187"/>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111</w:t>
            </w:r>
          </w:p>
        </w:tc>
        <w:tc>
          <w:tcPr>
            <w:tcW w:w="220" w:type="dxa"/>
            <w:vAlign w:val="bottom"/>
            <w:tcBorders>
              <w:bottom w:val="single" w:sz="8" w:color="CFF0FC"/>
            </w:tcBorders>
            <w:gridSpan w:val="2"/>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(12,784 )</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(10,673 )</w:t>
            </w:r>
          </w:p>
        </w:tc>
        <w:tc>
          <w:tcPr>
            <w:tcW w:w="0" w:type="dxa"/>
            <w:vAlign w:val="bottom"/>
          </w:tcPr>
          <w:p>
            <w:pPr>
              <w:spacing w:after="0"/>
              <w:rPr>
                <w:sz w:val="1"/>
                <w:szCs w:val="1"/>
                <w:color w:val="auto"/>
              </w:rPr>
            </w:pPr>
          </w:p>
        </w:tc>
      </w:tr>
      <w:tr>
        <w:trPr>
          <w:trHeight w:val="134"/>
        </w:trPr>
        <w:tc>
          <w:tcPr>
            <w:tcW w:w="1920" w:type="dxa"/>
            <w:vAlign w:val="bottom"/>
            <w:tcBorders>
              <w:top w:val="single" w:sz="8" w:color="CFF0FC"/>
            </w:tcBorders>
          </w:tcPr>
          <w:p>
            <w:pPr>
              <w:ind w:left="20"/>
              <w:spacing w:after="0"/>
              <w:rPr>
                <w:sz w:val="20"/>
                <w:szCs w:val="20"/>
                <w:color w:val="auto"/>
              </w:rPr>
            </w:pPr>
            <w:r>
              <w:rPr>
                <w:rFonts w:ascii="Arial" w:cs="Arial" w:eastAsia="Arial" w:hAnsi="Arial"/>
                <w:sz w:val="11"/>
                <w:szCs w:val="11"/>
                <w:color w:val="auto"/>
              </w:rPr>
              <w:t>Issuance of incentive shares</w:t>
            </w: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top w:val="single" w:sz="8" w:color="CFF0FC"/>
              <w:right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top w:val="single" w:sz="8" w:color="CFF0FC"/>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color w:val="auto"/>
              </w:rPr>
              <w:t>528,211</w:t>
            </w:r>
          </w:p>
        </w:tc>
        <w:tc>
          <w:tcPr>
            <w:tcW w:w="12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9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2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Cancellations of incentive shares</w:t>
            </w:r>
          </w:p>
        </w:tc>
        <w:tc>
          <w:tcPr>
            <w:tcW w:w="8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left w:val="single" w:sz="8" w:color="CFF0FC"/>
              <w:bottom w:val="single" w:sz="8" w:color="CFF0FC"/>
              <w:right w:val="single" w:sz="8" w:color="CFF0FC"/>
            </w:tcBorders>
            <w:shd w:val="clear" w:color="auto" w:fill="CFF0FC"/>
          </w:tcPr>
          <w:p>
            <w:pPr>
              <w:spacing w:after="0"/>
              <w:rPr>
                <w:sz w:val="12"/>
                <w:szCs w:val="12"/>
                <w:color w:val="auto"/>
              </w:rPr>
            </w:pPr>
          </w:p>
        </w:tc>
        <w:tc>
          <w:tcPr>
            <w:tcW w:w="340" w:type="dxa"/>
            <w:vAlign w:val="bottom"/>
            <w:tcBorders>
              <w:bottom w:val="single" w:sz="8" w:color="CFF0FC"/>
              <w:right w:val="single" w:sz="8" w:color="auto"/>
            </w:tcBorders>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gridSpan w:val="4"/>
            <w:shd w:val="clear" w:color="auto" w:fill="CFF0FC"/>
          </w:tcPr>
          <w:p>
            <w:pPr>
              <w:jc w:val="right"/>
              <w:ind w:right="26"/>
              <w:spacing w:after="0"/>
              <w:rPr>
                <w:sz w:val="20"/>
                <w:szCs w:val="20"/>
                <w:color w:val="auto"/>
              </w:rPr>
            </w:pPr>
            <w:r>
              <w:rPr>
                <w:rFonts w:ascii="Arial" w:cs="Arial" w:eastAsia="Arial" w:hAnsi="Arial"/>
                <w:sz w:val="11"/>
                <w:szCs w:val="11"/>
                <w:color w:val="auto"/>
              </w:rPr>
              <w:t>(477,582 )</w:t>
            </w:r>
          </w:p>
        </w:tc>
        <w:tc>
          <w:tcPr>
            <w:tcW w:w="3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left w:val="single" w:sz="8" w:color="CFF0FC"/>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right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920" w:type="dxa"/>
            <w:vAlign w:val="bottom"/>
          </w:tcPr>
          <w:p>
            <w:pPr>
              <w:ind w:left="20"/>
              <w:spacing w:after="0"/>
              <w:rPr>
                <w:sz w:val="20"/>
                <w:szCs w:val="20"/>
                <w:color w:val="auto"/>
              </w:rPr>
            </w:pPr>
            <w:r>
              <w:rPr>
                <w:rFonts w:ascii="Arial" w:cs="Arial" w:eastAsia="Arial" w:hAnsi="Arial"/>
                <w:sz w:val="11"/>
                <w:szCs w:val="11"/>
                <w:color w:val="auto"/>
              </w:rPr>
              <w:t>Share-based compensation expense</w:t>
            </w: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Borders>
              <w:right w:val="single" w:sz="8" w:color="auto"/>
            </w:tcBorders>
            <w:gridSpan w:val="2"/>
          </w:tcPr>
          <w:p>
            <w:pPr>
              <w:jc w:val="right"/>
              <w:ind w:right="126"/>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59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9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Net loss attributable to redeemable</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tcBorders>
              <w:left w:val="single" w:sz="8" w:color="CFF0FC"/>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tcBorders>
              <w:left w:val="single" w:sz="8" w:color="CFF0FC"/>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920" w:type="dxa"/>
            <w:vAlign w:val="bottom"/>
            <w:tcBorders>
              <w:bottom w:val="single" w:sz="8" w:color="CFF0FC"/>
              <w:right w:val="single" w:sz="8" w:color="CFF0FC"/>
            </w:tcBorders>
            <w:shd w:val="clear" w:color="auto" w:fill="CFF0FC"/>
          </w:tcPr>
          <w:p>
            <w:pPr>
              <w:ind w:left="100"/>
              <w:spacing w:after="0"/>
              <w:rPr>
                <w:sz w:val="20"/>
                <w:szCs w:val="20"/>
                <w:color w:val="auto"/>
              </w:rPr>
            </w:pPr>
            <w:r>
              <w:rPr>
                <w:rFonts w:ascii="Arial" w:cs="Arial" w:eastAsia="Arial" w:hAnsi="Arial"/>
                <w:sz w:val="11"/>
                <w:szCs w:val="11"/>
                <w:color w:val="auto"/>
              </w:rPr>
              <w:t>convertible noncontrolling interest</w:t>
            </w:r>
          </w:p>
        </w:tc>
        <w:tc>
          <w:tcPr>
            <w:tcW w:w="8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left w:val="single" w:sz="8" w:color="CFF0FC"/>
              <w:bottom w:val="single" w:sz="8" w:color="CFF0FC"/>
              <w:right w:val="single" w:sz="8" w:color="auto"/>
            </w:tcBorders>
            <w:gridSpan w:val="3"/>
            <w:shd w:val="clear" w:color="auto" w:fill="CFF0FC"/>
          </w:tcPr>
          <w:p>
            <w:pPr>
              <w:jc w:val="right"/>
              <w:ind w:right="66"/>
              <w:spacing w:after="0"/>
              <w:rPr>
                <w:sz w:val="20"/>
                <w:szCs w:val="20"/>
                <w:color w:val="auto"/>
              </w:rPr>
            </w:pPr>
            <w:r>
              <w:rPr>
                <w:rFonts w:ascii="Arial" w:cs="Arial" w:eastAsia="Arial" w:hAnsi="Arial"/>
                <w:sz w:val="11"/>
                <w:szCs w:val="11"/>
                <w:color w:val="auto"/>
              </w:rPr>
              <w:t>(457 )</w:t>
            </w:r>
          </w:p>
        </w:tc>
        <w:tc>
          <w:tcPr>
            <w:tcW w:w="3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left w:val="single" w:sz="8" w:color="CFF0FC"/>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right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1920" w:type="dxa"/>
            <w:vAlign w:val="bottom"/>
          </w:tcPr>
          <w:p>
            <w:pPr>
              <w:ind w:left="20"/>
              <w:spacing w:after="0"/>
              <w:rPr>
                <w:sz w:val="20"/>
                <w:szCs w:val="20"/>
                <w:color w:val="auto"/>
              </w:rPr>
            </w:pPr>
            <w:r>
              <w:rPr>
                <w:rFonts w:ascii="Arial" w:cs="Arial" w:eastAsia="Arial" w:hAnsi="Arial"/>
                <w:sz w:val="11"/>
                <w:szCs w:val="11"/>
                <w:color w:val="auto"/>
              </w:rPr>
              <w:t>Net loss attributable to Day One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100"/>
              <w:spacing w:after="0"/>
              <w:rPr>
                <w:sz w:val="20"/>
                <w:szCs w:val="20"/>
                <w:color w:val="auto"/>
              </w:rPr>
            </w:pPr>
            <w:r>
              <w:rPr>
                <w:rFonts w:ascii="Arial" w:cs="Arial" w:eastAsia="Arial" w:hAnsi="Arial"/>
                <w:sz w:val="11"/>
                <w:szCs w:val="11"/>
                <w:color w:val="auto"/>
              </w:rPr>
              <w:t>Biopharmaceuticals Holding</w:t>
            </w: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80" w:type="dxa"/>
            <w:vAlign w:val="bottom"/>
            <w:vMerge w:val="restart"/>
          </w:tcPr>
          <w:p>
            <w:pPr>
              <w:spacing w:after="0"/>
              <w:rPr>
                <w:sz w:val="11"/>
                <w:szCs w:val="11"/>
                <w:color w:val="auto"/>
              </w:rPr>
            </w:pPr>
          </w:p>
        </w:tc>
        <w:tc>
          <w:tcPr>
            <w:tcW w:w="3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(1,535 )</w:t>
            </w:r>
          </w:p>
        </w:tc>
        <w:tc>
          <w:tcPr>
            <w:tcW w:w="100" w:type="dxa"/>
            <w:vAlign w:val="bottom"/>
          </w:tcPr>
          <w:p>
            <w:pPr>
              <w:spacing w:after="0"/>
              <w:rPr>
                <w:sz w:val="11"/>
                <w:szCs w:val="11"/>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(1,535 )</w:t>
            </w:r>
          </w:p>
        </w:tc>
        <w:tc>
          <w:tcPr>
            <w:tcW w:w="0" w:type="dxa"/>
            <w:vAlign w:val="bottom"/>
          </w:tcPr>
          <w:p>
            <w:pPr>
              <w:spacing w:after="0"/>
              <w:rPr>
                <w:sz w:val="1"/>
                <w:szCs w:val="1"/>
                <w:color w:val="auto"/>
              </w:rPr>
            </w:pPr>
          </w:p>
        </w:tc>
      </w:tr>
      <w:tr>
        <w:trPr>
          <w:trHeight w:val="140"/>
        </w:trPr>
        <w:tc>
          <w:tcPr>
            <w:tcW w:w="1920" w:type="dxa"/>
            <w:vAlign w:val="bottom"/>
          </w:tcPr>
          <w:p>
            <w:pPr>
              <w:ind w:left="100"/>
              <w:spacing w:after="0"/>
              <w:rPr>
                <w:sz w:val="20"/>
                <w:szCs w:val="20"/>
                <w:color w:val="auto"/>
              </w:rPr>
            </w:pPr>
            <w:r>
              <w:rPr>
                <w:rFonts w:ascii="Arial" w:cs="Arial" w:eastAsia="Arial" w:hAnsi="Arial"/>
                <w:sz w:val="11"/>
                <w:szCs w:val="11"/>
                <w:color w:val="auto"/>
              </w:rPr>
              <w:t>Company, LLC members</w:t>
            </w: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92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at March 31, 2020</w:t>
            </w:r>
          </w:p>
        </w:tc>
        <w:tc>
          <w:tcPr>
            <w:tcW w:w="8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12,502,752</w:t>
            </w:r>
          </w:p>
        </w:tc>
        <w:tc>
          <w:tcPr>
            <w:tcW w:w="1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w w:val="83"/>
              </w:rPr>
              <w:t>30,504</w:t>
            </w:r>
          </w:p>
        </w:tc>
        <w:tc>
          <w:tcPr>
            <w:tcW w:w="1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ind w:right="487"/>
              <w:spacing w:after="0"/>
              <w:rPr>
                <w:sz w:val="20"/>
                <w:szCs w:val="20"/>
                <w:color w:val="auto"/>
              </w:rPr>
            </w:pPr>
            <w:r>
              <w:rPr>
                <w:rFonts w:ascii="Arial" w:cs="Arial" w:eastAsia="Arial" w:hAnsi="Arial"/>
                <w:sz w:val="10"/>
                <w:szCs w:val="10"/>
                <w:color w:val="auto"/>
                <w:w w:val="71"/>
              </w:rPr>
              <w:t>$</w:t>
            </w:r>
          </w:p>
        </w:tc>
        <w:tc>
          <w:tcPr>
            <w:tcW w:w="340" w:type="dxa"/>
            <w:vAlign w:val="bottom"/>
            <w:tcBorders>
              <w:left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5,030</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CFF0FC"/>
              <w:right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w w:val="93"/>
              </w:rPr>
              <w:t>6,035,869</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2,000</w:t>
            </w:r>
          </w:p>
        </w:tc>
        <w:tc>
          <w:tcPr>
            <w:tcW w:w="140" w:type="dxa"/>
            <w:vAlign w:val="bottom"/>
            <w:tcBorders>
              <w:left w:val="single" w:sz="8" w:color="CFF0FC"/>
              <w:bottom w:val="single" w:sz="8" w:color="CFF0FC"/>
              <w:right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right w:val="single" w:sz="8" w:color="CFF0FC"/>
            </w:tcBorders>
            <w:gridSpan w:val="3"/>
            <w:shd w:val="clear" w:color="auto" w:fill="CFF0FC"/>
          </w:tcPr>
          <w:p>
            <w:pPr>
              <w:jc w:val="right"/>
              <w:spacing w:after="0"/>
              <w:rPr>
                <w:sz w:val="20"/>
                <w:szCs w:val="20"/>
                <w:color w:val="auto"/>
              </w:rPr>
            </w:pPr>
            <w:r>
              <w:rPr>
                <w:rFonts w:ascii="Arial" w:cs="Arial" w:eastAsia="Arial" w:hAnsi="Arial"/>
                <w:sz w:val="11"/>
                <w:szCs w:val="11"/>
                <w:color w:val="auto"/>
              </w:rPr>
              <w:t>1,539,050</w:t>
            </w: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jc w:val="right"/>
              <w:ind w:right="187"/>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170</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left w:val="single" w:sz="8" w:color="CFF0FC"/>
              <w:bottom w:val="single" w:sz="8" w:color="CFF0FC"/>
            </w:tcBorders>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(14,319 )</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(12,149 )</w:t>
            </w:r>
          </w:p>
        </w:tc>
        <w:tc>
          <w:tcPr>
            <w:tcW w:w="0" w:type="dxa"/>
            <w:vAlign w:val="bottom"/>
          </w:tcPr>
          <w:p>
            <w:pPr>
              <w:spacing w:after="0"/>
              <w:rPr>
                <w:sz w:val="1"/>
                <w:szCs w:val="1"/>
                <w:color w:val="auto"/>
              </w:rPr>
            </w:pPr>
          </w:p>
        </w:tc>
      </w:tr>
      <w:tr>
        <w:trPr>
          <w:trHeight w:val="121"/>
        </w:trPr>
        <w:tc>
          <w:tcPr>
            <w:tcW w:w="1920" w:type="dxa"/>
            <w:vAlign w:val="bottom"/>
            <w:tcBorders>
              <w:top w:val="single" w:sz="8" w:color="CFF0FC"/>
            </w:tcBorders>
          </w:tcPr>
          <w:p>
            <w:pPr>
              <w:ind w:left="20"/>
              <w:spacing w:after="0" w:line="121" w:lineRule="exact"/>
              <w:rPr>
                <w:sz w:val="20"/>
                <w:szCs w:val="20"/>
                <w:color w:val="auto"/>
              </w:rPr>
            </w:pPr>
            <w:r>
              <w:rPr>
                <w:rFonts w:ascii="Arial" w:cs="Arial" w:eastAsia="Arial" w:hAnsi="Arial"/>
                <w:sz w:val="11"/>
                <w:szCs w:val="11"/>
                <w:color w:val="auto"/>
              </w:rPr>
              <w:t>Issuance of incentive shares</w:t>
            </w:r>
          </w:p>
        </w:tc>
        <w:tc>
          <w:tcPr>
            <w:tcW w:w="820" w:type="dxa"/>
            <w:vAlign w:val="bottom"/>
            <w:tcBorders>
              <w:top w:val="single" w:sz="8" w:color="auto"/>
            </w:tcBorders>
            <w:gridSpan w:val="2"/>
          </w:tcPr>
          <w:p>
            <w:pPr>
              <w:jc w:val="right"/>
              <w:ind w:right="20"/>
              <w:spacing w:after="0" w:line="121"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rPr>
              <w:t>—</w:t>
            </w:r>
          </w:p>
        </w:tc>
        <w:tc>
          <w:tcPr>
            <w:tcW w:w="180" w:type="dxa"/>
            <w:vAlign w:val="bottom"/>
            <w:tcBorders>
              <w:top w:val="single" w:sz="8" w:color="CFF0FC"/>
              <w:right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rPr>
              <w:t>—</w:t>
            </w:r>
          </w:p>
        </w:tc>
        <w:tc>
          <w:tcPr>
            <w:tcW w:w="140" w:type="dxa"/>
            <w:vAlign w:val="bottom"/>
            <w:tcBorders>
              <w:top w:val="single" w:sz="8" w:color="CFF0FC"/>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jc w:val="right"/>
              <w:spacing w:after="0" w:line="121" w:lineRule="exact"/>
              <w:rPr>
                <w:sz w:val="20"/>
                <w:szCs w:val="20"/>
                <w:color w:val="auto"/>
              </w:rPr>
            </w:pPr>
            <w:r>
              <w:rPr>
                <w:rFonts w:ascii="Arial" w:cs="Arial" w:eastAsia="Arial" w:hAnsi="Arial"/>
                <w:sz w:val="11"/>
                <w:szCs w:val="11"/>
                <w:color w:val="auto"/>
              </w:rPr>
              <w:t>21,419</w:t>
            </w:r>
          </w:p>
        </w:tc>
        <w:tc>
          <w:tcPr>
            <w:tcW w:w="120" w:type="dxa"/>
            <w:vAlign w:val="bottom"/>
            <w:tcBorders>
              <w:top w:val="single" w:sz="8" w:color="CFF0FC"/>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9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2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Share-based compensation expenses</w:t>
            </w:r>
          </w:p>
        </w:tc>
        <w:tc>
          <w:tcPr>
            <w:tcW w:w="8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left w:val="single" w:sz="8" w:color="CFF0FC"/>
              <w:bottom w:val="single" w:sz="8" w:color="CFF0FC"/>
              <w:right w:val="single" w:sz="8" w:color="CFF0FC"/>
            </w:tcBorders>
            <w:shd w:val="clear" w:color="auto" w:fill="CFF0FC"/>
          </w:tcPr>
          <w:p>
            <w:pPr>
              <w:spacing w:after="0"/>
              <w:rPr>
                <w:sz w:val="12"/>
                <w:szCs w:val="12"/>
                <w:color w:val="auto"/>
              </w:rPr>
            </w:pPr>
          </w:p>
        </w:tc>
        <w:tc>
          <w:tcPr>
            <w:tcW w:w="340" w:type="dxa"/>
            <w:vAlign w:val="bottom"/>
            <w:tcBorders>
              <w:bottom w:val="single" w:sz="8" w:color="CFF0FC"/>
              <w:right w:val="single" w:sz="8" w:color="auto"/>
            </w:tcBorders>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57</w:t>
            </w: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left w:val="single" w:sz="8" w:color="CFF0FC"/>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right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57</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920" w:type="dxa"/>
            <w:vAlign w:val="bottom"/>
          </w:tcPr>
          <w:p>
            <w:pPr>
              <w:ind w:left="20"/>
              <w:spacing w:after="0"/>
              <w:rPr>
                <w:sz w:val="20"/>
                <w:szCs w:val="20"/>
                <w:color w:val="auto"/>
              </w:rPr>
            </w:pPr>
            <w:r>
              <w:rPr>
                <w:rFonts w:ascii="Arial" w:cs="Arial" w:eastAsia="Arial" w:hAnsi="Arial"/>
                <w:sz w:val="11"/>
                <w:szCs w:val="11"/>
                <w:color w:val="auto"/>
              </w:rPr>
              <w:t>Net loss attributable to</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920" w:type="dxa"/>
            <w:vAlign w:val="bottom"/>
          </w:tcPr>
          <w:p>
            <w:pPr>
              <w:ind w:left="100"/>
              <w:spacing w:after="0"/>
              <w:rPr>
                <w:sz w:val="20"/>
                <w:szCs w:val="20"/>
                <w:color w:val="auto"/>
              </w:rPr>
            </w:pPr>
            <w:r>
              <w:rPr>
                <w:rFonts w:ascii="Arial" w:cs="Arial" w:eastAsia="Arial" w:hAnsi="Arial"/>
                <w:sz w:val="11"/>
                <w:szCs w:val="11"/>
                <w:color w:val="auto"/>
              </w:rPr>
              <w:t>noncontrolling interests</w:t>
            </w: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Borders>
              <w:right w:val="single" w:sz="8" w:color="auto"/>
            </w:tcBorders>
            <w:gridSpan w:val="3"/>
          </w:tcPr>
          <w:p>
            <w:pPr>
              <w:jc w:val="right"/>
              <w:ind w:right="66"/>
              <w:spacing w:after="0"/>
              <w:rPr>
                <w:sz w:val="20"/>
                <w:szCs w:val="20"/>
                <w:color w:val="auto"/>
              </w:rPr>
            </w:pPr>
            <w:r>
              <w:rPr>
                <w:rFonts w:ascii="Arial" w:cs="Arial" w:eastAsia="Arial" w:hAnsi="Arial"/>
                <w:sz w:val="11"/>
                <w:szCs w:val="11"/>
                <w:color w:val="auto"/>
              </w:rPr>
              <w:t>(649 )</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19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Net loss attributable to common</w:t>
            </w:r>
          </w:p>
        </w:tc>
        <w:tc>
          <w:tcPr>
            <w:tcW w:w="8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tcBorders>
              <w:left w:val="single" w:sz="8" w:color="CFF0FC"/>
              <w:right w:val="single" w:sz="8" w:color="CFF0FC"/>
            </w:tcBorders>
            <w:shd w:val="clear" w:color="auto" w:fill="CFF0FC"/>
          </w:tcPr>
          <w:p>
            <w:pPr>
              <w:spacing w:after="0"/>
              <w:rPr>
                <w:sz w:val="12"/>
                <w:szCs w:val="12"/>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FF0FC"/>
            </w:tcBorders>
            <w:vMerge w:val="restart"/>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left w:val="single" w:sz="8" w:color="CFF0FC"/>
              <w:right w:val="single" w:sz="8" w:color="CFF0FC"/>
            </w:tcBorders>
            <w:vMerge w:val="restart"/>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1"/>
                <w:szCs w:val="11"/>
                <w:color w:val="auto"/>
              </w:rPr>
              <w:t>(1,760 )</w:t>
            </w:r>
          </w:p>
        </w:tc>
        <w:tc>
          <w:tcPr>
            <w:tcW w:w="10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(1,760 )</w:t>
            </w:r>
          </w:p>
        </w:tc>
        <w:tc>
          <w:tcPr>
            <w:tcW w:w="0" w:type="dxa"/>
            <w:vAlign w:val="bottom"/>
          </w:tcPr>
          <w:p>
            <w:pPr>
              <w:spacing w:after="0"/>
              <w:rPr>
                <w:sz w:val="1"/>
                <w:szCs w:val="1"/>
                <w:color w:val="auto"/>
              </w:rPr>
            </w:pPr>
          </w:p>
        </w:tc>
      </w:tr>
      <w:tr>
        <w:trPr>
          <w:trHeight w:val="140"/>
        </w:trPr>
        <w:tc>
          <w:tcPr>
            <w:tcW w:w="192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1"/>
                <w:szCs w:val="11"/>
                <w:color w:val="auto"/>
              </w:rPr>
              <w:t>members/ stockholders</w:t>
            </w:r>
          </w:p>
        </w:tc>
        <w:tc>
          <w:tcPr>
            <w:tcW w:w="82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tcBorders>
              <w:left w:val="single" w:sz="8" w:color="CFF0FC"/>
              <w:right w:val="single" w:sz="8" w:color="CFF0FC"/>
            </w:tcBorders>
            <w:shd w:val="clear" w:color="auto" w:fill="CFF0FC"/>
          </w:tcPr>
          <w:p>
            <w:pPr>
              <w:spacing w:after="0"/>
              <w:rPr>
                <w:sz w:val="12"/>
                <w:szCs w:val="12"/>
                <w:color w:val="auto"/>
              </w:rPr>
            </w:pPr>
          </w:p>
        </w:tc>
        <w:tc>
          <w:tcPr>
            <w:tcW w:w="160" w:type="dxa"/>
            <w:vAlign w:val="bottom"/>
            <w:vMerge w:val="continue"/>
            <w:shd w:val="clear" w:color="auto" w:fill="CFF0FC"/>
          </w:tcPr>
          <w:p>
            <w:pPr>
              <w:spacing w:after="0"/>
              <w:rPr>
                <w:sz w:val="12"/>
                <w:szCs w:val="12"/>
                <w:color w:val="auto"/>
              </w:rPr>
            </w:pPr>
          </w:p>
        </w:tc>
        <w:tc>
          <w:tcPr>
            <w:tcW w:w="180" w:type="dxa"/>
            <w:vAlign w:val="bottom"/>
            <w:tcBorders>
              <w:right w:val="single" w:sz="8" w:color="CFF0FC"/>
            </w:tcBorders>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tcBorders>
              <w:right w:val="single" w:sz="8" w:color="CFF0FC"/>
            </w:tcBorders>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140" w:type="dxa"/>
            <w:vAlign w:val="bottom"/>
            <w:tcBorders>
              <w:left w:val="single" w:sz="8" w:color="CFF0FC"/>
              <w:right w:val="single" w:sz="8" w:color="CFF0FC"/>
            </w:tcBorders>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tcBorders>
              <w:right w:val="single" w:sz="8" w:color="CFF0FC"/>
            </w:tcBorders>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20" w:type="dxa"/>
            <w:vAlign w:val="bottom"/>
            <w:tcBorders>
              <w:right w:val="single" w:sz="8" w:color="CFF0FC"/>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920" w:type="dxa"/>
            <w:vAlign w:val="bottom"/>
          </w:tcPr>
          <w:p>
            <w:pPr>
              <w:ind w:left="20"/>
              <w:spacing w:after="0"/>
              <w:rPr>
                <w:sz w:val="20"/>
                <w:szCs w:val="20"/>
                <w:color w:val="auto"/>
              </w:rPr>
            </w:pPr>
            <w:r>
              <w:rPr>
                <w:rFonts w:ascii="Arial" w:cs="Arial" w:eastAsia="Arial" w:hAnsi="Arial"/>
                <w:sz w:val="11"/>
                <w:szCs w:val="11"/>
                <w:b w:val="1"/>
                <w:bCs w:val="1"/>
                <w:color w:val="auto"/>
              </w:rPr>
              <w:t>Balance at June 30, 2020</w:t>
            </w: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12,502,752</w:t>
            </w:r>
          </w:p>
        </w:tc>
        <w:tc>
          <w:tcPr>
            <w:tcW w:w="100" w:type="dxa"/>
            <w:vAlign w:val="bottom"/>
          </w:tcPr>
          <w:p>
            <w:pPr>
              <w:spacing w:after="0"/>
              <w:rPr>
                <w:sz w:val="11"/>
                <w:szCs w:val="11"/>
                <w:color w:val="auto"/>
              </w:rPr>
            </w:pPr>
          </w:p>
        </w:tc>
        <w:tc>
          <w:tcPr>
            <w:tcW w:w="500" w:type="dxa"/>
            <w:vAlign w:val="bottom"/>
          </w:tcPr>
          <w:p>
            <w:pPr>
              <w:ind w:left="20"/>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w w:val="83"/>
              </w:rPr>
              <w:t>30,504</w:t>
            </w:r>
          </w:p>
        </w:tc>
        <w:tc>
          <w:tcPr>
            <w:tcW w:w="100" w:type="dxa"/>
            <w:vAlign w:val="bottom"/>
          </w:tcPr>
          <w:p>
            <w:pPr>
              <w:spacing w:after="0"/>
              <w:rPr>
                <w:sz w:val="11"/>
                <w:szCs w:val="11"/>
                <w:color w:val="auto"/>
              </w:rPr>
            </w:pPr>
          </w:p>
        </w:tc>
        <w:tc>
          <w:tcPr>
            <w:tcW w:w="600" w:type="dxa"/>
            <w:vAlign w:val="bottom"/>
          </w:tcPr>
          <w:p>
            <w:pPr>
              <w:jc w:val="right"/>
              <w:ind w:right="487"/>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4,381</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w w:val="93"/>
              </w:rPr>
              <w:t>6,035,869</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2,000</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right"/>
              <w:spacing w:after="0"/>
              <w:rPr>
                <w:sz w:val="20"/>
                <w:szCs w:val="20"/>
                <w:color w:val="auto"/>
              </w:rPr>
            </w:pPr>
            <w:r>
              <w:rPr>
                <w:rFonts w:ascii="Arial" w:cs="Arial" w:eastAsia="Arial" w:hAnsi="Arial"/>
                <w:sz w:val="11"/>
                <w:szCs w:val="11"/>
                <w:color w:val="auto"/>
              </w:rPr>
              <w:t>1,560,469</w:t>
            </w:r>
          </w:p>
        </w:tc>
        <w:tc>
          <w:tcPr>
            <w:tcW w:w="120" w:type="dxa"/>
            <w:vAlign w:val="bottom"/>
          </w:tcPr>
          <w:p>
            <w:pPr>
              <w:spacing w:after="0"/>
              <w:rPr>
                <w:sz w:val="11"/>
                <w:szCs w:val="11"/>
                <w:color w:val="auto"/>
              </w:rPr>
            </w:pPr>
          </w:p>
        </w:tc>
        <w:tc>
          <w:tcPr>
            <w:tcW w:w="300" w:type="dxa"/>
            <w:vAlign w:val="bottom"/>
          </w:tcPr>
          <w:p>
            <w:pPr>
              <w:jc w:val="right"/>
              <w:ind w:right="187"/>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227</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(16,079 )</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(13,852 )</w:t>
            </w:r>
          </w:p>
        </w:tc>
        <w:tc>
          <w:tcPr>
            <w:tcW w:w="0" w:type="dxa"/>
            <w:vAlign w:val="bottom"/>
          </w:tcPr>
          <w:p>
            <w:pPr>
              <w:spacing w:after="0"/>
              <w:rPr>
                <w:sz w:val="1"/>
                <w:szCs w:val="1"/>
                <w:color w:val="auto"/>
              </w:rPr>
            </w:pPr>
          </w:p>
        </w:tc>
      </w:tr>
      <w:tr>
        <w:trPr>
          <w:trHeight w:val="22"/>
        </w:trPr>
        <w:tc>
          <w:tcPr>
            <w:tcW w:w="19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920" w:type="dxa"/>
            <w:vAlign w:val="bottom"/>
            <w:tcBorders>
              <w:bottom w:val="single" w:sz="8" w:color="CFF0FC"/>
              <w:right w:val="single" w:sz="8" w:color="CFF0FC"/>
            </w:tcBorders>
            <w:shd w:val="clear" w:color="auto" w:fill="CFF0FC"/>
          </w:tcPr>
          <w:p>
            <w:pPr>
              <w:ind w:left="20"/>
              <w:spacing w:after="0" w:line="121" w:lineRule="exact"/>
              <w:rPr>
                <w:sz w:val="20"/>
                <w:szCs w:val="20"/>
                <w:color w:val="auto"/>
              </w:rPr>
            </w:pPr>
            <w:r>
              <w:rPr>
                <w:rFonts w:ascii="Arial" w:cs="Arial" w:eastAsia="Arial" w:hAnsi="Arial"/>
                <w:sz w:val="11"/>
                <w:szCs w:val="11"/>
                <w:color w:val="auto"/>
              </w:rPr>
              <w:t>Issuance of incentive shares</w:t>
            </w:r>
          </w:p>
        </w:tc>
        <w:tc>
          <w:tcPr>
            <w:tcW w:w="820" w:type="dxa"/>
            <w:vAlign w:val="bottom"/>
            <w:tcBorders>
              <w:bottom w:val="single" w:sz="8" w:color="CFF0FC"/>
            </w:tcBorders>
            <w:gridSpan w:val="2"/>
            <w:shd w:val="clear" w:color="auto" w:fill="CFF0FC"/>
          </w:tcPr>
          <w:p>
            <w:pPr>
              <w:jc w:val="right"/>
              <w:ind w:right="20"/>
              <w:spacing w:after="0" w:line="121" w:lineRule="exact"/>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CFF0FC"/>
            </w:tcBorders>
            <w:shd w:val="clear" w:color="auto" w:fill="CFF0FC"/>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left w:val="single" w:sz="8" w:color="CFF0FC"/>
              <w:bottom w:val="single" w:sz="8" w:color="CFF0FC"/>
              <w:right w:val="single" w:sz="8" w:color="CFF0FC"/>
            </w:tcBorders>
            <w:shd w:val="clear" w:color="auto" w:fill="CFF0FC"/>
          </w:tcPr>
          <w:p>
            <w:pPr>
              <w:spacing w:after="0"/>
              <w:rPr>
                <w:sz w:val="10"/>
                <w:szCs w:val="10"/>
                <w:color w:val="auto"/>
              </w:rPr>
            </w:pPr>
          </w:p>
        </w:tc>
        <w:tc>
          <w:tcPr>
            <w:tcW w:w="340" w:type="dxa"/>
            <w:vAlign w:val="bottom"/>
            <w:tcBorders>
              <w:bottom w:val="single" w:sz="8" w:color="CFF0FC"/>
              <w:right w:val="single" w:sz="8" w:color="auto"/>
            </w:tcBorders>
            <w:gridSpan w:val="2"/>
            <w:shd w:val="clear" w:color="auto" w:fill="CFF0FC"/>
          </w:tcPr>
          <w:p>
            <w:pPr>
              <w:jc w:val="right"/>
              <w:ind w:right="126"/>
              <w:spacing w:after="0" w:line="121" w:lineRule="exact"/>
              <w:rPr>
                <w:sz w:val="20"/>
                <w:szCs w:val="20"/>
                <w:color w:val="auto"/>
              </w:rPr>
            </w:pPr>
            <w:r>
              <w:rPr>
                <w:rFonts w:ascii="Arial" w:cs="Arial" w:eastAsia="Arial" w:hAnsi="Arial"/>
                <w:sz w:val="11"/>
                <w:szCs w:val="11"/>
                <w:color w:val="auto"/>
              </w:rPr>
              <w:t>—</w:t>
            </w:r>
          </w:p>
        </w:tc>
        <w:tc>
          <w:tcPr>
            <w:tcW w:w="3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right w:val="single" w:sz="8" w:color="CFF0FC"/>
            </w:tcBorders>
            <w:shd w:val="clear" w:color="auto" w:fill="CFF0FC"/>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right w:val="single" w:sz="8" w:color="CFF0FC"/>
            </w:tcBorders>
            <w:gridSpan w:val="2"/>
            <w:shd w:val="clear" w:color="auto" w:fill="CFF0FC"/>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right w:val="single" w:sz="8" w:color="CFF0FC"/>
            </w:tcBorders>
            <w:shd w:val="clear" w:color="auto" w:fill="CFF0FC"/>
          </w:tcPr>
          <w:p>
            <w:pPr>
              <w:jc w:val="right"/>
              <w:spacing w:after="0" w:line="121"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CFF0FC"/>
            </w:tcBorders>
            <w:shd w:val="clear" w:color="auto" w:fill="CFF0FC"/>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left w:val="single" w:sz="8" w:color="CFF0FC"/>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Borders>
              <w:bottom w:val="single" w:sz="8" w:color="CFF0FC"/>
              <w:right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CFF0FC"/>
            </w:tcBorders>
            <w:gridSpan w:val="2"/>
            <w:shd w:val="clear" w:color="auto" w:fill="CFF0FC"/>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880" w:type="dxa"/>
            <w:vAlign w:val="bottom"/>
            <w:tcBorders>
              <w:bottom w:val="single" w:sz="8" w:color="CFF0FC"/>
            </w:tcBorders>
            <w:gridSpan w:val="2"/>
            <w:shd w:val="clear" w:color="auto" w:fill="CFF0FC"/>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920" w:type="dxa"/>
            <w:vAlign w:val="bottom"/>
          </w:tcPr>
          <w:p>
            <w:pPr>
              <w:ind w:left="20"/>
              <w:spacing w:after="0"/>
              <w:rPr>
                <w:sz w:val="20"/>
                <w:szCs w:val="20"/>
                <w:color w:val="auto"/>
              </w:rPr>
            </w:pPr>
            <w:r>
              <w:rPr>
                <w:rFonts w:ascii="Arial" w:cs="Arial" w:eastAsia="Arial" w:hAnsi="Arial"/>
                <w:sz w:val="11"/>
                <w:szCs w:val="11"/>
                <w:color w:val="auto"/>
              </w:rPr>
              <w:t>Share-based compensation expenses</w:t>
            </w: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Borders>
              <w:right w:val="single" w:sz="8" w:color="auto"/>
            </w:tcBorders>
            <w:gridSpan w:val="2"/>
          </w:tcPr>
          <w:p>
            <w:pPr>
              <w:jc w:val="right"/>
              <w:ind w:right="126"/>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60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9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Net loss attributable to</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tcBorders>
              <w:left w:val="single" w:sz="8" w:color="CFF0FC"/>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tcBorders>
              <w:left w:val="single" w:sz="8" w:color="CFF0FC"/>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920" w:type="dxa"/>
            <w:vAlign w:val="bottom"/>
            <w:tcBorders>
              <w:bottom w:val="single" w:sz="8" w:color="CFF0FC"/>
              <w:right w:val="single" w:sz="8" w:color="CFF0FC"/>
            </w:tcBorders>
            <w:shd w:val="clear" w:color="auto" w:fill="CFF0FC"/>
          </w:tcPr>
          <w:p>
            <w:pPr>
              <w:ind w:left="100"/>
              <w:spacing w:after="0"/>
              <w:rPr>
                <w:sz w:val="20"/>
                <w:szCs w:val="20"/>
                <w:color w:val="auto"/>
              </w:rPr>
            </w:pPr>
            <w:r>
              <w:rPr>
                <w:rFonts w:ascii="Arial" w:cs="Arial" w:eastAsia="Arial" w:hAnsi="Arial"/>
                <w:sz w:val="11"/>
                <w:szCs w:val="11"/>
                <w:color w:val="auto"/>
              </w:rPr>
              <w:t>noncontrolling interests</w:t>
            </w:r>
          </w:p>
        </w:tc>
        <w:tc>
          <w:tcPr>
            <w:tcW w:w="8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left w:val="single" w:sz="8" w:color="CFF0FC"/>
              <w:bottom w:val="single" w:sz="8" w:color="CFF0FC"/>
              <w:right w:val="single" w:sz="8" w:color="auto"/>
            </w:tcBorders>
            <w:gridSpan w:val="3"/>
            <w:shd w:val="clear" w:color="auto" w:fill="CFF0FC"/>
          </w:tcPr>
          <w:p>
            <w:pPr>
              <w:jc w:val="right"/>
              <w:ind w:right="66"/>
              <w:spacing w:after="0"/>
              <w:rPr>
                <w:sz w:val="20"/>
                <w:szCs w:val="20"/>
                <w:color w:val="auto"/>
              </w:rPr>
            </w:pPr>
            <w:r>
              <w:rPr>
                <w:rFonts w:ascii="Arial" w:cs="Arial" w:eastAsia="Arial" w:hAnsi="Arial"/>
                <w:sz w:val="11"/>
                <w:szCs w:val="11"/>
                <w:color w:val="auto"/>
              </w:rPr>
              <w:t>(1,018 )</w:t>
            </w:r>
          </w:p>
        </w:tc>
        <w:tc>
          <w:tcPr>
            <w:tcW w:w="3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left w:val="single" w:sz="8" w:color="CFF0FC"/>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right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1920" w:type="dxa"/>
            <w:vAlign w:val="bottom"/>
          </w:tcPr>
          <w:p>
            <w:pPr>
              <w:ind w:left="20"/>
              <w:spacing w:after="0"/>
              <w:rPr>
                <w:sz w:val="20"/>
                <w:szCs w:val="20"/>
                <w:color w:val="auto"/>
              </w:rPr>
            </w:pPr>
            <w:r>
              <w:rPr>
                <w:rFonts w:ascii="Arial" w:cs="Arial" w:eastAsia="Arial" w:hAnsi="Arial"/>
                <w:sz w:val="11"/>
                <w:szCs w:val="11"/>
                <w:color w:val="auto"/>
              </w:rPr>
              <w:t>Net loss attributable to common</w:t>
            </w: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80" w:type="dxa"/>
            <w:vAlign w:val="bottom"/>
            <w:vMerge w:val="restart"/>
          </w:tcPr>
          <w:p>
            <w:pPr>
              <w:spacing w:after="0"/>
              <w:rPr>
                <w:sz w:val="12"/>
                <w:szCs w:val="12"/>
                <w:color w:val="auto"/>
              </w:rPr>
            </w:pPr>
          </w:p>
        </w:tc>
        <w:tc>
          <w:tcPr>
            <w:tcW w:w="3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(2,824 )</w:t>
            </w:r>
          </w:p>
        </w:tc>
        <w:tc>
          <w:tcPr>
            <w:tcW w:w="10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(2,824 )</w:t>
            </w:r>
          </w:p>
        </w:tc>
        <w:tc>
          <w:tcPr>
            <w:tcW w:w="0" w:type="dxa"/>
            <w:vAlign w:val="bottom"/>
          </w:tcPr>
          <w:p>
            <w:pPr>
              <w:spacing w:after="0"/>
              <w:rPr>
                <w:sz w:val="1"/>
                <w:szCs w:val="1"/>
                <w:color w:val="auto"/>
              </w:rPr>
            </w:pPr>
          </w:p>
        </w:tc>
      </w:tr>
      <w:tr>
        <w:trPr>
          <w:trHeight w:val="140"/>
        </w:trPr>
        <w:tc>
          <w:tcPr>
            <w:tcW w:w="1920" w:type="dxa"/>
            <w:vAlign w:val="bottom"/>
          </w:tcPr>
          <w:p>
            <w:pPr>
              <w:ind w:left="100"/>
              <w:spacing w:after="0"/>
              <w:rPr>
                <w:sz w:val="20"/>
                <w:szCs w:val="20"/>
                <w:color w:val="auto"/>
              </w:rPr>
            </w:pPr>
            <w:r>
              <w:rPr>
                <w:rFonts w:ascii="Arial" w:cs="Arial" w:eastAsia="Arial" w:hAnsi="Arial"/>
                <w:sz w:val="11"/>
                <w:szCs w:val="11"/>
                <w:color w:val="auto"/>
              </w:rPr>
              <w:t>members/ stockholders</w:t>
            </w: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92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at September 30, 2020</w:t>
            </w:r>
          </w:p>
        </w:tc>
        <w:tc>
          <w:tcPr>
            <w:tcW w:w="8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12,502,752</w:t>
            </w:r>
          </w:p>
        </w:tc>
        <w:tc>
          <w:tcPr>
            <w:tcW w:w="10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w w:val="83"/>
              </w:rPr>
              <w:t>30,504</w:t>
            </w:r>
          </w:p>
        </w:tc>
        <w:tc>
          <w:tcPr>
            <w:tcW w:w="1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ind w:right="487"/>
              <w:spacing w:after="0"/>
              <w:rPr>
                <w:sz w:val="20"/>
                <w:szCs w:val="20"/>
                <w:color w:val="auto"/>
              </w:rPr>
            </w:pPr>
            <w:r>
              <w:rPr>
                <w:rFonts w:ascii="Arial" w:cs="Arial" w:eastAsia="Arial" w:hAnsi="Arial"/>
                <w:sz w:val="10"/>
                <w:szCs w:val="10"/>
                <w:color w:val="auto"/>
                <w:w w:val="71"/>
              </w:rPr>
              <w:t>$</w:t>
            </w:r>
          </w:p>
        </w:tc>
        <w:tc>
          <w:tcPr>
            <w:tcW w:w="340" w:type="dxa"/>
            <w:vAlign w:val="bottom"/>
            <w:tcBorders>
              <w:left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3,363</w:t>
            </w:r>
          </w:p>
        </w:tc>
        <w:tc>
          <w:tcPr>
            <w:tcW w:w="180" w:type="dxa"/>
            <w:vAlign w:val="bottom"/>
            <w:tcBorders>
              <w:bottom w:val="single" w:sz="8" w:color="CFF0FC"/>
              <w:right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right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w w:val="93"/>
              </w:rPr>
              <w:t>6,035,869</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2,000</w:t>
            </w:r>
          </w:p>
        </w:tc>
        <w:tc>
          <w:tcPr>
            <w:tcW w:w="140" w:type="dxa"/>
            <w:vAlign w:val="bottom"/>
            <w:tcBorders>
              <w:left w:val="single" w:sz="8" w:color="CFF0FC"/>
              <w:bottom w:val="single" w:sz="8" w:color="CFF0FC"/>
              <w:right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right w:val="single" w:sz="8" w:color="CFF0FC"/>
            </w:tcBorders>
            <w:gridSpan w:val="3"/>
            <w:shd w:val="clear" w:color="auto" w:fill="CFF0FC"/>
          </w:tcPr>
          <w:p>
            <w:pPr>
              <w:jc w:val="right"/>
              <w:spacing w:after="0"/>
              <w:rPr>
                <w:sz w:val="20"/>
                <w:szCs w:val="20"/>
                <w:color w:val="auto"/>
              </w:rPr>
            </w:pPr>
            <w:r>
              <w:rPr>
                <w:rFonts w:ascii="Arial" w:cs="Arial" w:eastAsia="Arial" w:hAnsi="Arial"/>
                <w:sz w:val="11"/>
                <w:szCs w:val="11"/>
                <w:color w:val="auto"/>
              </w:rPr>
              <w:t>1,560,469</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jc w:val="right"/>
              <w:ind w:right="187"/>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287</w:t>
            </w: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left w:val="single" w:sz="8" w:color="CFF0FC"/>
              <w:bottom w:val="single" w:sz="8" w:color="CFF0FC"/>
            </w:tcBorders>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right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(18,903 )</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(16,616 )</w:t>
            </w:r>
          </w:p>
        </w:tc>
        <w:tc>
          <w:tcPr>
            <w:tcW w:w="0" w:type="dxa"/>
            <w:vAlign w:val="bottom"/>
          </w:tcPr>
          <w:p>
            <w:pPr>
              <w:spacing w:after="0"/>
              <w:rPr>
                <w:sz w:val="1"/>
                <w:szCs w:val="1"/>
                <w:color w:val="auto"/>
              </w:rPr>
            </w:pPr>
          </w:p>
        </w:tc>
      </w:tr>
      <w:tr>
        <w:trPr>
          <w:trHeight w:val="20"/>
        </w:trPr>
        <w:tc>
          <w:tcPr>
            <w:tcW w:w="19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-6219825</wp:posOffset>
            </wp:positionV>
            <wp:extent cx="7683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-6219825</wp:posOffset>
            </wp:positionV>
            <wp:extent cx="7683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-6449695</wp:posOffset>
            </wp:positionV>
            <wp:extent cx="89535" cy="2482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9535" cy="24828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-6219825</wp:posOffset>
            </wp:positionV>
            <wp:extent cx="685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-6219825</wp:posOffset>
            </wp:positionV>
            <wp:extent cx="6858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-6219825</wp:posOffset>
            </wp:positionV>
            <wp:extent cx="6858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-6219825</wp:posOffset>
            </wp:positionV>
            <wp:extent cx="6032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-6219825</wp:posOffset>
            </wp:positionV>
            <wp:extent cx="6032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-6219825</wp:posOffset>
            </wp:positionV>
            <wp:extent cx="6032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-6219825</wp:posOffset>
            </wp:positionV>
            <wp:extent cx="5143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-6219825</wp:posOffset>
            </wp:positionV>
            <wp:extent cx="6032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-6219825</wp:posOffset>
            </wp:positionV>
            <wp:extent cx="3429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-5168265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-5151120</wp:posOffset>
            </wp:positionV>
            <wp:extent cx="76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-5168265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-5151120</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-5558155</wp:posOffset>
            </wp:positionV>
            <wp:extent cx="89535" cy="4286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9535" cy="42862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-5168265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-5151120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-5168265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-5151120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-5168265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-5151120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-5168265</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-5151120</wp:posOffset>
            </wp:positionV>
            <wp:extent cx="603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-5168265</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-5151120</wp:posOffset>
            </wp:positionV>
            <wp:extent cx="60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-5168265</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-5151120</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-5168265</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-5151120</wp:posOffset>
            </wp:positionV>
            <wp:extent cx="514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-5168265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-5151120</wp:posOffset>
            </wp:positionV>
            <wp:extent cx="603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-5168265</wp:posOffset>
            </wp:positionV>
            <wp:extent cx="342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-5151120</wp:posOffset>
            </wp:positionV>
            <wp:extent cx="342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-3554095</wp:posOffset>
            </wp:positionV>
            <wp:extent cx="7683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-3554095</wp:posOffset>
            </wp:positionV>
            <wp:extent cx="7683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-3749675</wp:posOffset>
            </wp:positionV>
            <wp:extent cx="4371975" cy="3429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71975" cy="34290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-3025140</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-3007995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-3025140</wp:posOffset>
            </wp:positionV>
            <wp:extent cx="768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-3007995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-3329305</wp:posOffset>
            </wp:positionV>
            <wp:extent cx="89535" cy="3422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9535" cy="34226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-3025140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-3007995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-3025140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-3007995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-3025140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-3007995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-3025140</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-3007995</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-3025140</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-3007995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-3025140</wp:posOffset>
            </wp:positionV>
            <wp:extent cx="60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-3007995</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-3025140</wp:posOffset>
            </wp:positionV>
            <wp:extent cx="514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-3007995</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-3025140</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-3007995</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-3025140</wp:posOffset>
            </wp:positionV>
            <wp:extent cx="342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-3007995</wp:posOffset>
            </wp:positionV>
            <wp:extent cx="342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-2327910</wp:posOffset>
            </wp:positionV>
            <wp:extent cx="6858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-2327910</wp:posOffset>
            </wp:positionV>
            <wp:extent cx="6858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-2840990</wp:posOffset>
            </wp:positionV>
            <wp:extent cx="89535" cy="5314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9535" cy="53149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-2327910</wp:posOffset>
            </wp:positionV>
            <wp:extent cx="6858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-2327910</wp:posOffset>
            </wp:positionV>
            <wp:extent cx="6858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-2327910</wp:posOffset>
            </wp:positionV>
            <wp:extent cx="7747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-2327910</wp:posOffset>
            </wp:positionV>
            <wp:extent cx="5143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-2327910</wp:posOffset>
            </wp:positionV>
            <wp:extent cx="5143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-2327910</wp:posOffset>
            </wp:positionV>
            <wp:extent cx="6032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-2327910</wp:posOffset>
            </wp:positionV>
            <wp:extent cx="3429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-1447800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-1430655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-1447800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-1430655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-1837690</wp:posOffset>
            </wp:positionV>
            <wp:extent cx="89535" cy="4286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9535" cy="42862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-1447800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-1430655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-1447800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-1430655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-1447800</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-1430655</wp:posOffset>
            </wp:positionV>
            <wp:extent cx="77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-1447800</wp:posOffset>
            </wp:positionV>
            <wp:extent cx="514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-1430655</wp:posOffset>
            </wp:positionV>
            <wp:extent cx="514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-1447800</wp:posOffset>
            </wp:positionV>
            <wp:extent cx="514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-1430655</wp:posOffset>
            </wp:positionV>
            <wp:extent cx="51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-1447800</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-1430655</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-1447800</wp:posOffset>
            </wp:positionV>
            <wp:extent cx="342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-1430655</wp:posOffset>
            </wp:positionV>
            <wp:extent cx="342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-845185</wp:posOffset>
            </wp:positionV>
            <wp:extent cx="6858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-845185</wp:posOffset>
            </wp:positionV>
            <wp:extent cx="6858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-1040765</wp:posOffset>
            </wp:positionV>
            <wp:extent cx="4149090" cy="3429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149090" cy="342900"/>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-8255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-328930</wp:posOffset>
            </wp:positionV>
            <wp:extent cx="89535" cy="3422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9535" cy="34226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77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-8255</wp:posOffset>
            </wp:positionV>
            <wp:extent cx="514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514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-24765</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-8255</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5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(50,816 )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(8,243 )</w:t>
            </w: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Acquired in-process research and development assets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8,000</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Share-based compensation expense</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8,224</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Depreciation and amortization expense</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operating right-of-use assets</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Non-cash interest expense</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derivative tranche liabilities</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(4,808 )</w:t>
            </w:r>
          </w:p>
        </w:tc>
        <w:tc>
          <w:tcPr>
            <w:tcW w:w="3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(615 )</w:t>
            </w: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Deposits and other long-term assets</w:t>
            </w: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(31 )</w:t>
            </w:r>
          </w:p>
        </w:tc>
        <w:tc>
          <w:tcPr>
            <w:tcW w:w="3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(71 )</w:t>
            </w: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98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3,565</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r>
      <w:tr>
        <w:trPr>
          <w:trHeight w:val="256"/>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liabilities</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(154 )</w:t>
            </w:r>
          </w:p>
        </w:tc>
        <w:tc>
          <w:tcPr>
            <w:tcW w:w="3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(123 )</w:t>
            </w:r>
          </w:p>
        </w:tc>
      </w:tr>
      <w:tr>
        <w:trPr>
          <w:trHeight w:val="20"/>
        </w:trPr>
        <w:tc>
          <w:tcPr>
            <w:tcW w:w="76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680" w:type="dxa"/>
            <w:vAlign w:val="bottom"/>
          </w:tcPr>
          <w:p>
            <w:pPr>
              <w:ind w:left="560"/>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(35,370 )</w:t>
            </w:r>
          </w:p>
        </w:tc>
        <w:tc>
          <w:tcPr>
            <w:tcW w:w="3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(7,551 )</w:t>
            </w:r>
          </w:p>
        </w:tc>
      </w:tr>
      <w:tr>
        <w:trPr>
          <w:trHeight w:val="25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Borders>
              <w:top w:val="single" w:sz="8" w:color="auto"/>
            </w:tcBorders>
            <w:shd w:val="clear" w:color="auto" w:fill="CFF0FC"/>
          </w:tcPr>
          <w:p>
            <w:pPr>
              <w:spacing w:after="0"/>
              <w:rPr>
                <w:sz w:val="22"/>
                <w:szCs w:val="22"/>
                <w:color w:val="auto"/>
              </w:rPr>
            </w:pPr>
          </w:p>
        </w:tc>
        <w:tc>
          <w:tcPr>
            <w:tcW w:w="62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tcBorders>
              <w:top w:val="single" w:sz="8" w:color="auto"/>
            </w:tcBorders>
            <w:shd w:val="clear" w:color="auto" w:fill="CFF0FC"/>
          </w:tcPr>
          <w:p>
            <w:pPr>
              <w:spacing w:after="0"/>
              <w:rPr>
                <w:sz w:val="22"/>
                <w:szCs w:val="22"/>
                <w:color w:val="auto"/>
              </w:rPr>
            </w:pPr>
          </w:p>
        </w:tc>
        <w:tc>
          <w:tcPr>
            <w:tcW w:w="120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980" w:type="dxa"/>
            <w:vAlign w:val="bottom"/>
          </w:tcPr>
          <w:p>
            <w:pPr>
              <w:spacing w:after="0"/>
              <w:rPr>
                <w:sz w:val="21"/>
                <w:szCs w:val="21"/>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(93 )</w:t>
            </w:r>
          </w:p>
        </w:tc>
      </w:tr>
      <w:tr>
        <w:trPr>
          <w:trHeight w:val="257"/>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paid for acquired in-process research and development assets</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(8,000 )</w:t>
            </w:r>
          </w:p>
        </w:tc>
        <w:tc>
          <w:tcPr>
            <w:tcW w:w="3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6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680" w:type="dxa"/>
            <w:vAlign w:val="bottom"/>
          </w:tcPr>
          <w:p>
            <w:pPr>
              <w:ind w:left="560"/>
              <w:spacing w:after="0"/>
              <w:rPr>
                <w:sz w:val="20"/>
                <w:szCs w:val="20"/>
                <w:color w:val="auto"/>
              </w:rPr>
            </w:pPr>
            <w:r>
              <w:rPr>
                <w:rFonts w:ascii="Arial" w:cs="Arial" w:eastAsia="Arial" w:hAnsi="Arial"/>
                <w:sz w:val="18"/>
                <w:szCs w:val="18"/>
                <w:color w:val="auto"/>
              </w:rPr>
              <w:t>Cash used in investing activities</w:t>
            </w:r>
          </w:p>
        </w:tc>
        <w:tc>
          <w:tcPr>
            <w:tcW w:w="9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(8,000 )</w:t>
            </w:r>
          </w:p>
        </w:tc>
        <w:tc>
          <w:tcPr>
            <w:tcW w:w="3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(93 )</w:t>
            </w:r>
          </w:p>
        </w:tc>
      </w:tr>
      <w:tr>
        <w:trPr>
          <w:trHeight w:val="25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Borders>
              <w:top w:val="single" w:sz="8" w:color="auto"/>
            </w:tcBorders>
            <w:shd w:val="clear" w:color="auto" w:fill="CFF0FC"/>
          </w:tcPr>
          <w:p>
            <w:pPr>
              <w:spacing w:after="0"/>
              <w:rPr>
                <w:sz w:val="22"/>
                <w:szCs w:val="22"/>
                <w:color w:val="auto"/>
              </w:rPr>
            </w:pPr>
          </w:p>
        </w:tc>
        <w:tc>
          <w:tcPr>
            <w:tcW w:w="62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tcBorders>
              <w:top w:val="single" w:sz="8" w:color="auto"/>
            </w:tcBorders>
            <w:shd w:val="clear" w:color="auto" w:fill="CFF0FC"/>
          </w:tcPr>
          <w:p>
            <w:pPr>
              <w:spacing w:after="0"/>
              <w:rPr>
                <w:sz w:val="22"/>
                <w:szCs w:val="22"/>
                <w:color w:val="auto"/>
              </w:rPr>
            </w:pPr>
          </w:p>
        </w:tc>
        <w:tc>
          <w:tcPr>
            <w:tcW w:w="120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2"/>
        </w:trPr>
        <w:tc>
          <w:tcPr>
            <w:tcW w:w="7680" w:type="dxa"/>
            <w:vAlign w:val="bottom"/>
          </w:tcPr>
          <w:p>
            <w:pPr>
              <w:ind w:left="200"/>
              <w:spacing w:after="0"/>
              <w:rPr>
                <w:sz w:val="20"/>
                <w:szCs w:val="20"/>
                <w:color w:val="auto"/>
              </w:rPr>
            </w:pPr>
            <w:r>
              <w:rPr>
                <w:rFonts w:ascii="Arial" w:cs="Arial" w:eastAsia="Arial" w:hAnsi="Arial"/>
                <w:sz w:val="18"/>
                <w:szCs w:val="18"/>
                <w:color w:val="auto"/>
              </w:rPr>
              <w:t>Proceeds from issuance of Series B redeemable convertible preferred shares, net of</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680" w:type="dxa"/>
            <w:vAlign w:val="bottom"/>
          </w:tcPr>
          <w:p>
            <w:pPr>
              <w:ind w:left="340"/>
              <w:spacing w:after="0"/>
              <w:rPr>
                <w:sz w:val="20"/>
                <w:szCs w:val="20"/>
                <w:color w:val="auto"/>
              </w:rPr>
            </w:pPr>
            <w:r>
              <w:rPr>
                <w:rFonts w:ascii="Arial" w:cs="Arial" w:eastAsia="Arial" w:hAnsi="Arial"/>
                <w:sz w:val="18"/>
                <w:szCs w:val="18"/>
                <w:color w:val="auto"/>
              </w:rPr>
              <w:t>issuance costs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129,757</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Proceeds from issuance of common stock, net</w:t>
            </w:r>
          </w:p>
        </w:tc>
        <w:tc>
          <w:tcPr>
            <w:tcW w:w="98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167,045</w:t>
            </w:r>
          </w:p>
        </w:tc>
        <w:tc>
          <w:tcPr>
            <w:tcW w:w="2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80" w:type="dxa"/>
            <w:vAlign w:val="bottom"/>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296,802</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5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253,432</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(7,644 )</w:t>
            </w:r>
          </w:p>
        </w:tc>
      </w:tr>
      <w:tr>
        <w:trPr>
          <w:trHeight w:val="250"/>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9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43,728</w:t>
            </w:r>
          </w:p>
        </w:tc>
        <w:tc>
          <w:tcPr>
            <w:tcW w:w="280" w:type="dxa"/>
            <w:vAlign w:val="bottom"/>
            <w:tcBorders>
              <w:top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27,332</w:t>
            </w:r>
          </w:p>
        </w:tc>
        <w:tc>
          <w:tcPr>
            <w:tcW w:w="100" w:type="dxa"/>
            <w:vAlign w:val="bottom"/>
            <w:tcBorders>
              <w:top w:val="single" w:sz="8" w:color="CFF0FC"/>
            </w:tcBorders>
          </w:tcPr>
          <w:p>
            <w:pPr>
              <w:spacing w:after="0"/>
              <w:rPr>
                <w:sz w:val="21"/>
                <w:szCs w:val="21"/>
                <w:color w:val="auto"/>
              </w:rPr>
            </w:pPr>
          </w:p>
        </w:tc>
      </w:tr>
      <w:tr>
        <w:trPr>
          <w:trHeight w:val="29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980" w:type="dxa"/>
            <w:vAlign w:val="bottom"/>
            <w:tcBorders>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297,160</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19,688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activities</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Exchange of 45,331,483 preferred, common, and incentive shares in connection with</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the Conversion (Note 1)</w:t>
            </w:r>
          </w:p>
        </w:tc>
        <w:tc>
          <w:tcPr>
            <w:tcW w:w="98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224,892</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42"/>
        </w:trPr>
        <w:tc>
          <w:tcPr>
            <w:tcW w:w="7680" w:type="dxa"/>
            <w:vAlign w:val="bottom"/>
          </w:tcPr>
          <w:p>
            <w:pPr>
              <w:ind w:left="200"/>
              <w:spacing w:after="0"/>
              <w:rPr>
                <w:sz w:val="20"/>
                <w:szCs w:val="20"/>
                <w:color w:val="auto"/>
              </w:rPr>
            </w:pPr>
            <w:r>
              <w:rPr>
                <w:rFonts w:ascii="Arial" w:cs="Arial" w:eastAsia="Arial" w:hAnsi="Arial"/>
                <w:sz w:val="18"/>
                <w:szCs w:val="18"/>
                <w:color w:val="auto"/>
              </w:rPr>
              <w:t>Exchange of redeemable convertible noncontrolling interest to 6,470,382 shares of</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680" w:type="dxa"/>
            <w:vAlign w:val="bottom"/>
          </w:tcPr>
          <w:p>
            <w:pPr>
              <w:ind w:left="340"/>
              <w:spacing w:after="0"/>
              <w:rPr>
                <w:sz w:val="20"/>
                <w:szCs w:val="20"/>
                <w:color w:val="auto"/>
              </w:rPr>
            </w:pPr>
            <w:r>
              <w:rPr>
                <w:rFonts w:ascii="Arial" w:cs="Arial" w:eastAsia="Arial" w:hAnsi="Arial"/>
                <w:sz w:val="18"/>
                <w:szCs w:val="18"/>
                <w:color w:val="auto"/>
              </w:rPr>
              <w:t>common stock (Note 13)</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3,592</w:t>
            </w:r>
          </w:p>
        </w:tc>
        <w:tc>
          <w:tcPr>
            <w:tcW w:w="2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Right of use asset capitalization</w:t>
            </w:r>
          </w:p>
        </w:tc>
        <w:tc>
          <w:tcPr>
            <w:tcW w:w="98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-3133725</wp:posOffset>
            </wp:positionV>
            <wp:extent cx="18034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-3133725</wp:posOffset>
            </wp:positionV>
            <wp:extent cx="5969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-2465070</wp:posOffset>
            </wp:positionV>
            <wp:extent cx="18034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-2465070</wp:posOffset>
            </wp:positionV>
            <wp:extent cx="5969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-1651000</wp:posOffset>
            </wp:positionV>
            <wp:extent cx="18034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-1651000</wp:posOffset>
            </wp:positionV>
            <wp:extent cx="5969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-1308100</wp:posOffset>
            </wp:positionV>
            <wp:extent cx="18034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-1308100</wp:posOffset>
            </wp:positionV>
            <wp:extent cx="5969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-967740</wp:posOffset>
            </wp:positionV>
            <wp:extent cx="1803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-950595</wp:posOffset>
            </wp:positionV>
            <wp:extent cx="18034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-967740</wp:posOffset>
            </wp:positionV>
            <wp:extent cx="596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-950595</wp:posOffset>
            </wp:positionV>
            <wp:extent cx="596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39" w:lineRule="exact"/>
        <w:rPr>
          <w:sz w:val="20"/>
          <w:szCs w:val="20"/>
          <w:color w:val="auto"/>
        </w:rPr>
      </w:pPr>
    </w:p>
    <w:p>
      <w:pPr>
        <w:ind w:left="520" w:right="5340" w:hanging="512"/>
        <w:spacing w:after="0" w:line="393" w:lineRule="auto"/>
        <w:tabs>
          <w:tab w:leader="none" w:pos="4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ORGANIZATION AND LIQUIDITY </w:t>
      </w:r>
      <w:r>
        <w:rPr>
          <w:rFonts w:ascii="Arial" w:cs="Arial" w:eastAsia="Arial" w:hAnsi="Arial"/>
          <w:sz w:val="18"/>
          <w:szCs w:val="18"/>
          <w:b w:val="1"/>
          <w:bCs w:val="1"/>
          <w:i w:val="1"/>
          <w:iCs w:val="1"/>
          <w:color w:val="auto"/>
        </w:rPr>
        <w:t>Organization and Business</w:t>
      </w:r>
    </w:p>
    <w:p>
      <w:pPr>
        <w:spacing w:after="0" w:line="1" w:lineRule="exact"/>
        <w:rPr>
          <w:sz w:val="20"/>
          <w:szCs w:val="20"/>
          <w:color w:val="auto"/>
        </w:rPr>
      </w:pPr>
    </w:p>
    <w:p>
      <w:pPr>
        <w:ind w:left="520" w:right="320" w:firstLine="509"/>
        <w:spacing w:after="0" w:line="275" w:lineRule="auto"/>
        <w:rPr>
          <w:sz w:val="20"/>
          <w:szCs w:val="20"/>
          <w:color w:val="auto"/>
        </w:rPr>
      </w:pPr>
      <w:r>
        <w:rPr>
          <w:rFonts w:ascii="Arial" w:cs="Arial" w:eastAsia="Arial" w:hAnsi="Arial"/>
          <w:sz w:val="18"/>
          <w:szCs w:val="18"/>
          <w:color w:val="auto"/>
        </w:rPr>
        <w:t>Day One Biopharmaceuticals, Inc. (the “Company”), a successor to Day One Biopharmaceuticals Holding Company, LLC ("Day One Holding LLC)" is a clinical-stage biopharmaceutical company dedicated to developing and commercializing targeted therapies for patients of all ages with genomically-defined cancers. The Company’s lead product candidate, DAY101, has the potential to be a first-in-class, oral, brain-penetrant, highly-selective type II pan-RAF kinase inhibitor.</w:t>
      </w:r>
    </w:p>
    <w:p>
      <w:pPr>
        <w:spacing w:after="0" w:line="77" w:lineRule="exact"/>
        <w:rPr>
          <w:sz w:val="20"/>
          <w:szCs w:val="20"/>
          <w:color w:val="auto"/>
        </w:rPr>
      </w:pPr>
    </w:p>
    <w:p>
      <w:pPr>
        <w:ind w:left="520" w:right="20" w:firstLine="509"/>
        <w:spacing w:after="0" w:line="270" w:lineRule="auto"/>
        <w:rPr>
          <w:sz w:val="20"/>
          <w:szCs w:val="20"/>
          <w:color w:val="auto"/>
        </w:rPr>
      </w:pPr>
      <w:r>
        <w:rPr>
          <w:rFonts w:ascii="Arial" w:cs="Arial" w:eastAsia="Arial" w:hAnsi="Arial"/>
          <w:sz w:val="18"/>
          <w:szCs w:val="18"/>
          <w:color w:val="auto"/>
        </w:rPr>
        <w:t>The Company started its operations in November 2018 under the name Hero Therapeutics Holding Company, LLC, a limited liability company under the laws of the State of Delaware. Subsequently, it changed its name to Day One Therapeutics Holding Company, LLC in December 2018 and to Day One Biopharmaceuticals Holding Company, LLC in March 2020. On May 26, 2021, the Company completed the conversion by filing a certificate of conversion with the Secretary of State of the State of Delaware and changed its name to Day One Biopharmaceuticals, Inc. As of September 30, 2021, the Company has two wholly owned subsidiaries: DOT Therapeutics-2, Inc. (“DOT-2”) (formerly Hero Therapeutics Inc. and Day One Biopharmaceuticals, Inc.), incorporated in Delaware in November 2018, and DOT Therapeutics-1, Inc. (“DOT-1”), incorporated in Delaware in December 2019.</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Initial Public Offering, Corporate Conversion and Exchange of Takeda’s shares</w:t>
      </w:r>
    </w:p>
    <w:p>
      <w:pPr>
        <w:spacing w:after="0" w:line="131" w:lineRule="exact"/>
        <w:rPr>
          <w:sz w:val="20"/>
          <w:szCs w:val="20"/>
          <w:color w:val="auto"/>
        </w:rPr>
      </w:pPr>
    </w:p>
    <w:p>
      <w:pPr>
        <w:ind w:left="520" w:right="20" w:firstLine="509"/>
        <w:spacing w:after="0" w:line="272" w:lineRule="auto"/>
        <w:rPr>
          <w:sz w:val="20"/>
          <w:szCs w:val="20"/>
          <w:color w:val="auto"/>
        </w:rPr>
      </w:pPr>
      <w:r>
        <w:rPr>
          <w:rFonts w:ascii="Arial" w:cs="Arial" w:eastAsia="Arial" w:hAnsi="Arial"/>
          <w:sz w:val="18"/>
          <w:szCs w:val="18"/>
          <w:color w:val="auto"/>
        </w:rPr>
        <w:t>On June 1, 2021, the Company closed its initial public offering (the “IPO”) in which it sold an aggregate of 11,500,000 shares of common stock at a price to the public of $16.00 per share, which included 1,500,000 shares issued upon the full exercise by the underwriters of their option to purchase additional shares of common stock. The Company received aggregate net proceeds from the IPO of $167.0 million, after deducting underwriting discounts and commissions and offering costs, of $17.0 million. The common stock began trading on the Nasdaq Global Select Market on May 27, 2021, under the symbol “DAWN”.</w:t>
      </w:r>
    </w:p>
    <w:p>
      <w:pPr>
        <w:spacing w:after="0" w:line="83" w:lineRule="exact"/>
        <w:rPr>
          <w:sz w:val="20"/>
          <w:szCs w:val="20"/>
          <w:color w:val="auto"/>
        </w:rPr>
      </w:pPr>
    </w:p>
    <w:p>
      <w:pPr>
        <w:ind w:left="520" w:right="20" w:firstLine="509"/>
        <w:spacing w:after="0" w:line="279" w:lineRule="auto"/>
        <w:rPr>
          <w:sz w:val="20"/>
          <w:szCs w:val="20"/>
          <w:color w:val="auto"/>
        </w:rPr>
      </w:pPr>
      <w:r>
        <w:rPr>
          <w:rFonts w:ascii="Arial" w:cs="Arial" w:eastAsia="Arial" w:hAnsi="Arial"/>
          <w:sz w:val="18"/>
          <w:szCs w:val="18"/>
          <w:color w:val="auto"/>
        </w:rPr>
        <w:t>In contemplation of the IPO, on May 26, 2021, the Company completed the conversion (the “Conversion”), which included the following: Day One Holding LLC, converted from a Delaware limited liability company to a Delaware corporation by filing a certificate of conversion with the Secretary of State of the State of Delaware; and changed its name to Day One Biopharmaceuticals, Inc.</w:t>
      </w:r>
    </w:p>
    <w:p>
      <w:pPr>
        <w:spacing w:after="0" w:line="7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As part of the Conversion:</w:t>
      </w:r>
    </w:p>
    <w:p>
      <w:pPr>
        <w:spacing w:after="0" w:line="131" w:lineRule="exact"/>
        <w:rPr>
          <w:sz w:val="20"/>
          <w:szCs w:val="20"/>
          <w:color w:val="auto"/>
        </w:rPr>
      </w:pPr>
    </w:p>
    <w:p>
      <w:pPr>
        <w:ind w:left="1080" w:right="720"/>
        <w:spacing w:after="0" w:line="279" w:lineRule="auto"/>
        <w:rPr>
          <w:sz w:val="20"/>
          <w:szCs w:val="20"/>
          <w:color w:val="auto"/>
        </w:rPr>
      </w:pPr>
      <w:r>
        <w:rPr>
          <w:rFonts w:ascii="Arial" w:cs="Arial" w:eastAsia="Arial" w:hAnsi="Arial"/>
          <w:sz w:val="18"/>
          <w:szCs w:val="18"/>
          <w:color w:val="auto"/>
        </w:rPr>
        <w:t>holders of Series A redeemable convertible preferred shares of Day One Holding LLC received one share of Series A redeemable convertible preferred stock of the Company for each Series A redeemable convertible preferred share held immediately prior to the Conversion;</w:t>
      </w:r>
    </w:p>
    <w:p>
      <w:pPr>
        <w:spacing w:after="0" w:line="75" w:lineRule="exact"/>
        <w:rPr>
          <w:sz w:val="20"/>
          <w:szCs w:val="20"/>
          <w:color w:val="auto"/>
        </w:rPr>
      </w:pPr>
    </w:p>
    <w:p>
      <w:pPr>
        <w:ind w:left="1080"/>
        <w:spacing w:after="0" w:line="359" w:lineRule="auto"/>
        <w:rPr>
          <w:sz w:val="20"/>
          <w:szCs w:val="20"/>
          <w:color w:val="auto"/>
        </w:rPr>
      </w:pPr>
      <w:r>
        <w:rPr>
          <w:rFonts w:ascii="Arial" w:cs="Arial" w:eastAsia="Arial" w:hAnsi="Arial"/>
          <w:sz w:val="16"/>
          <w:szCs w:val="16"/>
          <w:color w:val="auto"/>
        </w:rPr>
        <w:t>holders of Series B redeemable convertible preferred shares of Day One Holding LLC received one share of Series B redeemable convertible preferred stock of the Company for each Series B redeemable convertible preferred share held immediately prior to the Conversion;</w:t>
      </w:r>
    </w:p>
    <w:p>
      <w:pPr>
        <w:spacing w:after="0" w:line="17" w:lineRule="exact"/>
        <w:rPr>
          <w:sz w:val="20"/>
          <w:szCs w:val="20"/>
          <w:color w:val="auto"/>
        </w:rPr>
      </w:pPr>
    </w:p>
    <w:p>
      <w:pPr>
        <w:ind w:left="1080" w:right="400"/>
        <w:spacing w:after="0" w:line="293" w:lineRule="auto"/>
        <w:rPr>
          <w:sz w:val="20"/>
          <w:szCs w:val="20"/>
          <w:color w:val="auto"/>
        </w:rPr>
      </w:pPr>
      <w:r>
        <w:rPr>
          <w:rFonts w:ascii="Arial" w:cs="Arial" w:eastAsia="Arial" w:hAnsi="Arial"/>
          <w:sz w:val="18"/>
          <w:szCs w:val="18"/>
          <w:color w:val="auto"/>
        </w:rPr>
        <w:t>holders of common shares of Day One Holding LLC received one share of common stock of the Company for each common share held immediately prior to the Conversion;</w:t>
      </w:r>
    </w:p>
    <w:p>
      <w:pPr>
        <w:spacing w:after="0" w:line="62" w:lineRule="exact"/>
        <w:rPr>
          <w:sz w:val="20"/>
          <w:szCs w:val="20"/>
          <w:color w:val="auto"/>
        </w:rPr>
      </w:pPr>
    </w:p>
    <w:p>
      <w:pPr>
        <w:ind w:left="1080" w:right="80"/>
        <w:spacing w:after="0" w:line="272" w:lineRule="auto"/>
        <w:rPr>
          <w:sz w:val="20"/>
          <w:szCs w:val="20"/>
          <w:color w:val="auto"/>
        </w:rPr>
      </w:pPr>
      <w:r>
        <w:rPr>
          <w:rFonts w:ascii="Arial" w:cs="Arial" w:eastAsia="Arial" w:hAnsi="Arial"/>
          <w:sz w:val="18"/>
          <w:szCs w:val="18"/>
          <w:color w:val="auto"/>
        </w:rPr>
        <w:t>each outstanding incentive share in Day One Holding LLC converted into a number of shares of common stock of the Company based upon a conversion price determined by the board of directors. The conversion price was determined as a difference between the IPO price of $16.00 per share and the participating threshold for each incentive share. The Company issued 5,433,290 common stock shares upon the conversion of incentive shares of Day One Holding LLC, of which 4,719,605 common stock shares continue to vest as per the original vesting terms of the incentive shares awards.</w:t>
      </w:r>
    </w:p>
    <w:p>
      <w:pPr>
        <w:spacing w:after="0" w:line="83" w:lineRule="exact"/>
        <w:rPr>
          <w:sz w:val="20"/>
          <w:szCs w:val="20"/>
          <w:color w:val="auto"/>
        </w:rPr>
      </w:pPr>
    </w:p>
    <w:p>
      <w:pPr>
        <w:ind w:left="520" w:right="340" w:firstLine="509"/>
        <w:spacing w:after="0" w:line="275" w:lineRule="auto"/>
        <w:rPr>
          <w:sz w:val="20"/>
          <w:szCs w:val="20"/>
          <w:color w:val="auto"/>
        </w:rPr>
      </w:pPr>
      <w:r>
        <w:rPr>
          <w:rFonts w:ascii="Arial" w:cs="Arial" w:eastAsia="Arial" w:hAnsi="Arial"/>
          <w:sz w:val="18"/>
          <w:szCs w:val="18"/>
          <w:color w:val="auto"/>
        </w:rPr>
        <w:t>In connection with the IPO and the Conversion, pursuant to the terms of the Millennium Stock Exchange Agreement and the Plan of Conversion, (“The Millennium Stock Exchange Agreement”) Millennium Pharmaceuticals, Inc. (“Takeda”) exchanged the 9,857,143 shares of Series A redeemable convertible preferred stock of DOT-1, a subsidiary of Day One Holding LLC, for 6,470,382 shares of common stock of the Company (the “Exchange”).</w:t>
      </w:r>
    </w:p>
    <w:p>
      <w:pPr>
        <w:spacing w:after="0" w:line="77" w:lineRule="exact"/>
        <w:rPr>
          <w:sz w:val="20"/>
          <w:szCs w:val="20"/>
          <w:color w:val="auto"/>
        </w:rPr>
      </w:pPr>
    </w:p>
    <w:p>
      <w:pPr>
        <w:ind w:left="520" w:right="80" w:firstLine="509"/>
        <w:spacing w:after="0" w:line="266" w:lineRule="auto"/>
        <w:rPr>
          <w:sz w:val="20"/>
          <w:szCs w:val="20"/>
          <w:color w:val="auto"/>
        </w:rPr>
      </w:pPr>
      <w:r>
        <w:rPr>
          <w:rFonts w:ascii="Arial" w:cs="Arial" w:eastAsia="Arial" w:hAnsi="Arial"/>
          <w:sz w:val="18"/>
          <w:szCs w:val="18"/>
          <w:color w:val="auto"/>
        </w:rPr>
        <w:t>The Company continues to hold all property and assets of Day One Holding LLC and assumes all of the debts and obligations of Day One Holding LLC. Effective on the date of the Conversion, the member of the board of directors and officers of Day One Holding LLC became the member of the board of directors and officers of the Company. The Conversion was a tax-free reorganization, that included authorization to issue to capital stock consisting of 500,000,000 shares of common stock, $0.0001 par value per share, and 10,000,000 shares of undesignated preferred stock, $0.0001 par value per share.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ind w:right="-31"/>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35" w:lineRule="exact"/>
        <w:rPr>
          <w:sz w:val="20"/>
          <w:szCs w:val="20"/>
          <w:color w:val="auto"/>
        </w:rPr>
      </w:pPr>
    </w:p>
    <w:p>
      <w:pPr>
        <w:ind w:left="512" w:right="220" w:firstLine="509"/>
        <w:spacing w:after="0" w:line="279" w:lineRule="auto"/>
        <w:rPr>
          <w:sz w:val="20"/>
          <w:szCs w:val="20"/>
          <w:color w:val="auto"/>
        </w:rPr>
      </w:pPr>
      <w:r>
        <w:rPr>
          <w:rFonts w:ascii="Arial" w:cs="Arial" w:eastAsia="Arial" w:hAnsi="Arial"/>
          <w:sz w:val="18"/>
          <w:szCs w:val="18"/>
          <w:color w:val="auto"/>
        </w:rPr>
        <w:t>Upon the closing of the IPO, 32,489,398 shares of redeemable convertible preferred stock issued by the Company in the Conversion converted into an equal number of shares of common stock. The Company also granted options for 4,418,874 common stock shares at $16.00 per share upon the IPO date.</w:t>
      </w:r>
    </w:p>
    <w:p>
      <w:pPr>
        <w:spacing w:after="0" w:line="291"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Shares Split</w:t>
      </w:r>
    </w:p>
    <w:p>
      <w:pPr>
        <w:spacing w:after="0" w:line="131" w:lineRule="exact"/>
        <w:rPr>
          <w:sz w:val="20"/>
          <w:szCs w:val="20"/>
          <w:color w:val="auto"/>
        </w:rPr>
      </w:pPr>
    </w:p>
    <w:p>
      <w:pPr>
        <w:ind w:left="512" w:right="60" w:firstLine="509"/>
        <w:spacing w:after="0" w:line="272" w:lineRule="auto"/>
        <w:rPr>
          <w:sz w:val="20"/>
          <w:szCs w:val="20"/>
          <w:color w:val="auto"/>
        </w:rPr>
      </w:pPr>
      <w:r>
        <w:rPr>
          <w:rFonts w:ascii="Arial" w:cs="Arial" w:eastAsia="Arial" w:hAnsi="Arial"/>
          <w:sz w:val="18"/>
          <w:szCs w:val="18"/>
          <w:color w:val="auto"/>
        </w:rPr>
        <w:t>On May 23, 2021, Day One Holding LLC Board approved an amendment the Operating Agreement to effect a forward split of the Company’s shares at a 2.325-for-1 ratio (the “Stock Split”). The Stock Split became effective on May 23, 2021, upon approval by the members and execution of the amended LLC operating agreement. All issued and outstanding common shares, redeemable convertible preferred shares, incentive shares and per share amounts contained in these condensed consolidated financial statements have been retroactively adjusted to reflect this Stock Split for all periods presented.</w:t>
      </w:r>
    </w:p>
    <w:p>
      <w:pPr>
        <w:spacing w:after="0" w:line="299"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Liquidity</w:t>
      </w:r>
    </w:p>
    <w:p>
      <w:pPr>
        <w:spacing w:after="0" w:line="131" w:lineRule="exact"/>
        <w:rPr>
          <w:sz w:val="20"/>
          <w:szCs w:val="20"/>
          <w:color w:val="auto"/>
        </w:rPr>
      </w:pPr>
    </w:p>
    <w:p>
      <w:pPr>
        <w:ind w:left="512" w:right="60" w:firstLine="509"/>
        <w:spacing w:after="0" w:line="309" w:lineRule="auto"/>
        <w:rPr>
          <w:sz w:val="20"/>
          <w:szCs w:val="20"/>
          <w:color w:val="auto"/>
        </w:rPr>
      </w:pPr>
      <w:r>
        <w:rPr>
          <w:rFonts w:ascii="Arial" w:cs="Arial" w:eastAsia="Arial" w:hAnsi="Arial"/>
          <w:sz w:val="16"/>
          <w:szCs w:val="16"/>
          <w:color w:val="auto"/>
        </w:rPr>
        <w:t>The Company has incurred significant operating losses since inception and has relied primarily on public and private equity to fund its operations. On September 30, 2021, the Company had an accumulated deficit of $105.5 million. The Company expects to continue to incur substantial losses, and its ability to achieve and sustain profitability will depend on the successful development, approval, and commercialization of product candidates and on the achievement of sufficient revenues to support its cost structure. The Company may never achieve profitability, and until then, the Company will need to continue to raise additional capital. As of September 30, 2021, the Company had cash and cash equivalents of $297.2 million. Based on current plans, the Company believes this will be sufficient to enable funding operations into 2023. Future requirements will depend on many factors and may prove to be wrong as available capital resources could be exhausted sooner than expected.</w:t>
      </w:r>
    </w:p>
    <w:p>
      <w:pPr>
        <w:spacing w:after="0" w:line="272"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Risks and Uncertainties Related to COVID-19</w:t>
      </w:r>
    </w:p>
    <w:p>
      <w:pPr>
        <w:spacing w:after="0" w:line="131" w:lineRule="exact"/>
        <w:rPr>
          <w:sz w:val="20"/>
          <w:szCs w:val="20"/>
          <w:color w:val="auto"/>
        </w:rPr>
      </w:pPr>
    </w:p>
    <w:p>
      <w:pPr>
        <w:ind w:left="512" w:right="40" w:firstLine="509"/>
        <w:spacing w:after="0" w:line="286" w:lineRule="auto"/>
        <w:rPr>
          <w:sz w:val="20"/>
          <w:szCs w:val="20"/>
          <w:color w:val="auto"/>
        </w:rPr>
      </w:pPr>
      <w:r>
        <w:rPr>
          <w:rFonts w:ascii="Arial" w:cs="Arial" w:eastAsia="Arial" w:hAnsi="Arial"/>
          <w:sz w:val="17"/>
          <w:szCs w:val="17"/>
          <w:color w:val="auto"/>
        </w:rPr>
        <w:t>We are subject to risks related to public health crises such as the global pandemic associated with COVID-19. In December 2019, a novel strain of coronavirus, COVID-19, was first identified. The global spread of COVID-19 resulted in the World Health Organization declaring the outbreak a “pandemic,” or a worldwide spread of a new disease, in early 2020. This virus eventually spread worldwide, and to all 50 states within the United States. In response, most countries around the world, imposed quarantines and restrictions on travel and mass gatherings to contain the spread of the virus. Employers worldwide were also required to increase the capacity and arrangement for employees to work remotely. More recently, many of the restrictions and travel bans have been eased as global society as a whole works to return to pre-pandemic business and personal practices. We continue to monitor the situation as the landscape of lockdowns and restrictions can change rapidly and as the rise in variants continues. Although to date, these restrictions or variant cases have not materially impacted our operations, the effect on our business, from the spread of COVID-19 and the actions implemented by the governments of the United States and across the globe, may worsen over time and we are unable to predict the potential impact on our business.</w:t>
      </w:r>
    </w:p>
    <w:p>
      <w:pPr>
        <w:spacing w:after="0" w:line="74" w:lineRule="exact"/>
        <w:rPr>
          <w:sz w:val="20"/>
          <w:szCs w:val="20"/>
          <w:color w:val="auto"/>
        </w:rPr>
      </w:pPr>
    </w:p>
    <w:p>
      <w:pPr>
        <w:ind w:left="512" w:right="60" w:firstLine="509"/>
        <w:spacing w:after="0" w:line="305" w:lineRule="auto"/>
        <w:rPr>
          <w:sz w:val="20"/>
          <w:szCs w:val="20"/>
          <w:color w:val="auto"/>
        </w:rPr>
      </w:pPr>
      <w:r>
        <w:rPr>
          <w:rFonts w:ascii="Arial" w:cs="Arial" w:eastAsia="Arial" w:hAnsi="Arial"/>
          <w:sz w:val="16"/>
          <w:szCs w:val="16"/>
          <w:color w:val="auto"/>
        </w:rPr>
        <w:t>Any outbreak of contagious diseases, or other adverse public health developments, could have a material and adverse effect on our business operations. These could include disruptions or restrictions on our ability to travel, pursue partnerships and other business transactions, receive shipments of biologic materials, as well as be impacted by the temporary closure of the facilities of suppliers. The spread of an infectious disease, including COVID-19 or, its variants may also result in the inability of our suppliers to deliver supplies and services to us on a timely basis. In addition, health professionals may reduce staffing and reduce or postpone meetings with clients in response to the spread of an infectious disease. Though we have not yet experienced such events, if they would occur, they could result in a period of business disruption, and in reduced operations, any of which could materially affect our business, financial condition and results of operations. However, as of the date of this Form 10-Q, we have not experienced a material adverse effect on our business nor the need for reduction in our work force; and, currently, we do not expect any material impact on our long-term activity. The extent to which COVID-19 impacts our business will depend on future developments which are highly uncertain and cannot be predicted, including, but not limited to, new information which may emerge concerning the increased severity of the COVID-19 virus, the actions to contain COVID-19, or treat its impact.</w:t>
      </w:r>
    </w:p>
    <w:p>
      <w:pPr>
        <w:spacing w:after="0" w:line="273" w:lineRule="exact"/>
        <w:rPr>
          <w:sz w:val="20"/>
          <w:szCs w:val="20"/>
          <w:color w:val="auto"/>
        </w:rPr>
      </w:pPr>
    </w:p>
    <w:p>
      <w:pPr>
        <w:ind w:left="432" w:hanging="432"/>
        <w:spacing w:after="0"/>
        <w:tabs>
          <w:tab w:leader="none" w:pos="43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5" w:lineRule="exact"/>
        <w:rPr>
          <w:sz w:val="20"/>
          <w:szCs w:val="20"/>
          <w:color w:val="auto"/>
        </w:rPr>
      </w:pPr>
    </w:p>
    <w:p>
      <w:pPr>
        <w:ind w:left="512" w:firstLine="509"/>
        <w:spacing w:after="0" w:line="266" w:lineRule="auto"/>
        <w:rPr>
          <w:sz w:val="20"/>
          <w:szCs w:val="20"/>
          <w:color w:val="auto"/>
        </w:rPr>
      </w:pPr>
      <w:r>
        <w:rPr>
          <w:rFonts w:ascii="Arial" w:cs="Arial" w:eastAsia="Arial" w:hAnsi="Arial"/>
          <w:sz w:val="18"/>
          <w:szCs w:val="18"/>
          <w:color w:val="1C1C1C"/>
        </w:rPr>
        <w:t>There have been no changes to the significant accounting policies as disclosed in Note 2 to the Company’s annual consolidated financial statements for the years ended December 31, 2020 and 2019 included elsewhere in the Company’s final prospectus for its IPO filed pursuant to Rule 424(b)(4) under the Securities Act with the SEC on May 27, 2021, except as noted below.</w:t>
      </w:r>
    </w:p>
    <w:p>
      <w:pPr>
        <w:spacing w:after="0" w:line="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35" w:right="359" w:bottom="1440" w:gutter="0" w:footer="0" w:header="0"/>
        </w:sectPr>
      </w:pPr>
    </w:p>
    <w:bookmarkStart w:id="9" w:name="page10"/>
    <w:bookmarkEnd w:id="9"/>
    <w:p>
      <w:pPr>
        <w:ind w:left="28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1"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The accompanying unaudited condensed consolidated financial statements have been prepared in conformity with accounting principles generally accepted in the United States of America (“U.S. GAAP”), and follow the requirements of the Securities and Exchange Commission (the “SEC”) for interim reporting. As permitted under those rules, certain notes and other financial information that are normally required by U.S. GAAP can be condensed or omitted. These unaudited condensed consolidated financial statements have been prepared on the same basis as the Company’s annual consolidated financial statements and, in the opinion of management, reflect all adjustments, consisting only of normal recurring adjustments that are necessary for a fair statement of the Company’s financial information. The condensed consolidated balance sheet as of December 31, 2020 has been derived from audited consolidated financial statements as of that date but does not include all of the financial information required by U.S. GAAP for complete financial statements. Operating results for the nine months ended September 30, 2021 are not necessarily indicative of the results that may be expected for the year ending December 31, 2021.</w:t>
      </w:r>
    </w:p>
    <w:p>
      <w:pPr>
        <w:spacing w:after="0" w:line="70" w:lineRule="exact"/>
        <w:rPr>
          <w:sz w:val="20"/>
          <w:szCs w:val="20"/>
          <w:color w:val="auto"/>
        </w:rPr>
      </w:pPr>
    </w:p>
    <w:p>
      <w:pPr>
        <w:ind w:right="580" w:firstLine="509"/>
        <w:spacing w:after="0" w:line="324" w:lineRule="auto"/>
        <w:rPr>
          <w:sz w:val="20"/>
          <w:szCs w:val="20"/>
          <w:color w:val="auto"/>
        </w:rPr>
      </w:pPr>
      <w:r>
        <w:rPr>
          <w:rFonts w:ascii="Arial" w:cs="Arial" w:eastAsia="Arial" w:hAnsi="Arial"/>
          <w:sz w:val="17"/>
          <w:szCs w:val="17"/>
          <w:color w:val="auto"/>
        </w:rPr>
        <w:t>Any reference in these notes to applicable guidance is meant to refer to the authoritative GAAP as found in the Accounting Standards Codification (“ASC”) and Accounting Standards Updates (“ASU”) of the Financial Accounting Standards Board (“FASB”).</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ind w:firstLine="509"/>
        <w:spacing w:after="0" w:line="309"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amounts of assets, liabilities and disclosure of contingent assets and liabilities at the date of the condensed consolidated financial statements, and the reported amounts of expenses during the reporting period. Significant estimates and assumptions made in the accompanying condensed consolidated financial statements include, but are not limited to, the fair value of the redeemable convertible preferred shares, the fair value of the common shares, the fair value of the derivative tranche liability, the valuation of share-based awards, the valuation of deferred tax assets and income tax uncertainties, and accruals for research and development activities. The Company bases its estimates on historical experience and on various other assumptions that are believed to be reasonable. Actual results may differ from those estimates or assumptions.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1" w:lineRule="exact"/>
        <w:rPr>
          <w:sz w:val="20"/>
          <w:szCs w:val="20"/>
          <w:color w:val="auto"/>
        </w:rPr>
      </w:pPr>
    </w:p>
    <w:p>
      <w:pPr>
        <w:jc w:val="both"/>
        <w:ind w:right="60" w:firstLine="509"/>
        <w:spacing w:after="0" w:line="279"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from the purchase date to be cash equivalents. As of September 30, 2021, cash equivalents include investments in money market funds. As of December 31, 2020, the Company did not have any cash equivalents, and cash was held in checking accounts.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Finance Issuance Costs</w:t>
      </w:r>
    </w:p>
    <w:p>
      <w:pPr>
        <w:spacing w:after="0" w:line="131" w:lineRule="exact"/>
        <w:rPr>
          <w:sz w:val="20"/>
          <w:szCs w:val="20"/>
          <w:color w:val="auto"/>
        </w:rPr>
      </w:pPr>
    </w:p>
    <w:p>
      <w:pPr>
        <w:ind w:right="80" w:firstLine="509"/>
        <w:spacing w:after="0" w:line="296" w:lineRule="auto"/>
        <w:rPr>
          <w:sz w:val="20"/>
          <w:szCs w:val="20"/>
          <w:color w:val="auto"/>
        </w:rPr>
      </w:pPr>
      <w:r>
        <w:rPr>
          <w:rFonts w:ascii="Arial" w:cs="Arial" w:eastAsia="Arial" w:hAnsi="Arial"/>
          <w:sz w:val="17"/>
          <w:szCs w:val="17"/>
          <w:color w:val="auto"/>
        </w:rPr>
        <w:t>Deferred finance issuance costs, consisting of legal, accounting, audit and filing fees relating to in-process equity financings, including the Company’s IPO, are capitalized. Deferred issuance costs are offset against offering proceeds. As of September 30, 2021, the Company did not have any deferred finance issuance costs capitalized related to the IPO. As of December 31, 2020, the Company had capitalized $36,000 in deferred issuance costs related to its Series B redeemable convertible preferred share private financing.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Share/Stock-Based Compensation</w:t>
      </w:r>
    </w:p>
    <w:p>
      <w:pPr>
        <w:spacing w:after="0" w:line="131" w:lineRule="exact"/>
        <w:rPr>
          <w:sz w:val="20"/>
          <w:szCs w:val="20"/>
          <w:color w:val="auto"/>
        </w:rPr>
      </w:pPr>
    </w:p>
    <w:p>
      <w:pPr>
        <w:ind w:right="120" w:firstLine="509"/>
        <w:spacing w:after="0" w:line="286" w:lineRule="auto"/>
        <w:rPr>
          <w:sz w:val="20"/>
          <w:szCs w:val="20"/>
          <w:color w:val="auto"/>
        </w:rPr>
      </w:pPr>
      <w:r>
        <w:rPr>
          <w:rFonts w:ascii="Arial" w:cs="Arial" w:eastAsia="Arial" w:hAnsi="Arial"/>
          <w:sz w:val="17"/>
          <w:szCs w:val="17"/>
          <w:color w:val="auto"/>
        </w:rPr>
        <w:t xml:space="preserve">Prior to the IPO, the Company recognized share-based compensation expense based on the estimated fair value of all share-based awards, incentive shares and restricted common share shares, on the date of grant using the option-pricing model. The option-pricing model requires the input of subjective assumptions, including the fair value of the underlying common shares, the expected term of the award, the expected volatility, risk-free interest rates, and the dividend yield. In determining the fair value of common shares, the methodologies used to estimate the enterprise value were performed using methodologies, approaches, and assumptions consistent with the American Institute of Certified Public Accountants Accounting and Valuation Guide,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The participation threshold amounts are determined by the board of directors (the “Board”), at the time of grant. The expected life of the awards granted during the period was determined based on an expected time to the liquidation event. The Company applied the risk-free interest rate based on the U.S. Treasury yield in effect at the time of the grant consistent with the life of the award. The expected volatility is based on a peer group in the industry in which the Company does business consistent with the expected time to liquidity. The dividend yield was set at zero as the underlying security does not and is not expected to pay a dividend.</w:t>
      </w:r>
    </w:p>
    <w:p>
      <w:pPr>
        <w:spacing w:after="0" w:line="70" w:lineRule="exact"/>
        <w:rPr>
          <w:sz w:val="20"/>
          <w:szCs w:val="20"/>
          <w:color w:val="auto"/>
        </w:rPr>
      </w:pPr>
    </w:p>
    <w:p>
      <w:pPr>
        <w:ind w:right="60" w:firstLine="514"/>
        <w:spacing w:after="0" w:line="266" w:lineRule="auto"/>
        <w:rPr>
          <w:sz w:val="20"/>
          <w:szCs w:val="20"/>
          <w:color w:val="auto"/>
        </w:rPr>
      </w:pPr>
      <w:r>
        <w:rPr>
          <w:rFonts w:ascii="Arial" w:cs="Arial" w:eastAsia="Arial" w:hAnsi="Arial"/>
          <w:sz w:val="18"/>
          <w:szCs w:val="18"/>
          <w:color w:val="auto"/>
        </w:rPr>
        <w:t>Subsequent to closing of the IPO, the Company uses the Black-Scholes valuation model to estimate the fair value of options granted to employees and non-employees, intrinsic value to estimate the fair value of restricted stock award, and fair value of the Company’s common stock at the grant date for restricted stock units.</w:t>
      </w:r>
    </w:p>
    <w:p>
      <w:pPr>
        <w:spacing w:after="0" w:line="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61595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40" w:top="135" w:right="359" w:bottom="1440" w:gutter="0" w:footer="0" w:header="0"/>
        </w:sectPr>
      </w:pPr>
    </w:p>
    <w:bookmarkStart w:id="10" w:name="page11"/>
    <w:bookmarkEnd w:id="10"/>
    <w:p>
      <w:pPr>
        <w:ind w:left="28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Black-Scholes option-pricing model, used to estimate fair value of stock options awards, requires the use of the following assumptions:</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Company’s closing price on the Nasdaq market at the grant date.</w:t>
      </w:r>
    </w:p>
    <w:p>
      <w:pPr>
        <w:spacing w:after="0" w:line="131" w:lineRule="exact"/>
        <w:rPr>
          <w:sz w:val="20"/>
          <w:szCs w:val="20"/>
          <w:color w:val="auto"/>
        </w:rPr>
      </w:pPr>
    </w:p>
    <w:p>
      <w:pPr>
        <w:ind w:left="560" w:right="60"/>
        <w:spacing w:after="0" w:line="359"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expected term represents the period that the stock-based awards are expected to be outstanding. The expected term for</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is calculated using simplified method, as the weighted-average vesting term of the award and the award’s contract period.</w:t>
      </w:r>
    </w:p>
    <w:p>
      <w:pPr>
        <w:spacing w:after="0" w:line="17" w:lineRule="exact"/>
        <w:rPr>
          <w:sz w:val="20"/>
          <w:szCs w:val="20"/>
          <w:color w:val="auto"/>
        </w:rPr>
      </w:pPr>
    </w:p>
    <w:p>
      <w:pPr>
        <w:ind w:left="560" w:right="120"/>
        <w:spacing w:after="0" w:line="272"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the Company does not have sufficient trading history for its common stock, the expected volatility is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average historical volatilities of common stock of comparable publicly traded entities over a period equal to the expected term of the stock option grants. The comparable companies are chosen based on their size, stage in the life cycle or area of specialty. The Company will continue to apply this process until sufficient historical information regarding the volatility of the common stock price becomes available.</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—The risk-free interest rate is based on the U.S. Treasury yield in effect at the time of grant for zero-coupon U.S.</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Treasury notes with maturities approximately equal to the expected term of the awards.</w:t>
      </w:r>
    </w:p>
    <w:p>
      <w:pPr>
        <w:spacing w:after="0" w:line="130" w:lineRule="exact"/>
        <w:rPr>
          <w:sz w:val="20"/>
          <w:szCs w:val="20"/>
          <w:color w:val="auto"/>
        </w:rPr>
      </w:pPr>
    </w:p>
    <w:p>
      <w:pPr>
        <w:ind w:left="560" w:right="160"/>
        <w:spacing w:after="0" w:line="293"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the common stock and has no plans to pay dividends on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Therefore, the expected dividend yield use is zero.</w:t>
      </w:r>
    </w:p>
    <w:p>
      <w:pPr>
        <w:spacing w:after="0" w:line="62"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The Company uses the straight-line attribution method for recognizing share/stock-based compensation expense. The Company recognizes forfeitures by reducing the expense in the same period the forfeitures occur. The Company recognizes share/stock-based compensation expense for awards with performance conditions when it is probable that the condition will be met, and the award will vest. The Company classifies share/stock-based compensation expense in the Consolidated Statement of Operations and Comprehensive Loss in the same manner in which the award recipients’ payroll costs are classified or in which the award recipients’ service payments are classified.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31"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(Topic 326). </w:t>
      </w:r>
      <w:r>
        <w:rPr>
          <w:rFonts w:ascii="Arial" w:cs="Arial" w:eastAsia="Arial" w:hAnsi="Arial"/>
          <w:sz w:val="17"/>
          <w:szCs w:val="17"/>
          <w:color w:val="auto"/>
        </w:rPr>
        <w:t>ASU 2016-13 requires measurement and recognition of expected credit losses for financial assets. In April 2019, the FASB</w:t>
      </w:r>
      <w:r>
        <w:rPr>
          <w:rFonts w:ascii="Arial" w:cs="Arial" w:eastAsia="Arial" w:hAnsi="Arial"/>
          <w:sz w:val="17"/>
          <w:szCs w:val="17"/>
          <w:i w:val="1"/>
          <w:iCs w:val="1"/>
          <w:color w:val="auto"/>
        </w:rPr>
        <w:t xml:space="preserve"> </w:t>
      </w:r>
      <w:r>
        <w:rPr>
          <w:rFonts w:ascii="Arial" w:cs="Arial" w:eastAsia="Arial" w:hAnsi="Arial"/>
          <w:sz w:val="17"/>
          <w:szCs w:val="17"/>
          <w:color w:val="auto"/>
        </w:rPr>
        <w:t>issued clarification to ASU 2016-13 within ASU 2019-04, Codification Improvements to Topic 326, Financial Instruments-Credit Losses, Topic 815, Derivatives and Hedging, and Topic 825, Financial Instruments. The guidance will become effective for the Company for fiscal years beginning after December 15, 2022, with early adoption permitted. Effective January 1, 2021, the Company adopted ASU 2016-13 and the adoption did not have any impact on the Company’s condensed consolidated financial statements.</w:t>
      </w:r>
    </w:p>
    <w:p>
      <w:pPr>
        <w:spacing w:after="0" w:line="68"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2019-12”), which simplifies the accounting for income taxes, eliminates certain exceptions within ASC 740, Income Taxes, and clarifies certain aspects of the current guidance to promote consistency among reporting entities. ASU 2019-12 is effective for fiscal years beginning after December 15, 2021. Most amendments within the standard are required to be applied on a prospective basis, while certain amendments must be applied on a retrospective or modified retrospective basis. The Company is currently evaluating the impact that ASU 2019-12 will have on the condensed consolidated financial statements and related disclosures.</w:t>
      </w:r>
    </w:p>
    <w:p>
      <w:pPr>
        <w:spacing w:after="0" w:line="83" w:lineRule="exact"/>
        <w:rPr>
          <w:sz w:val="20"/>
          <w:szCs w:val="20"/>
          <w:color w:val="auto"/>
        </w:rPr>
      </w:pPr>
    </w:p>
    <w:p>
      <w:pPr>
        <w:ind w:right="120" w:firstLine="509"/>
        <w:spacing w:after="0" w:line="305" w:lineRule="auto"/>
        <w:rPr>
          <w:sz w:val="20"/>
          <w:szCs w:val="20"/>
          <w:color w:val="auto"/>
        </w:rPr>
      </w:pPr>
      <w:r>
        <w:rPr>
          <w:rFonts w:ascii="Arial" w:cs="Arial" w:eastAsia="Arial" w:hAnsi="Arial"/>
          <w:sz w:val="16"/>
          <w:szCs w:val="16"/>
          <w:color w:val="auto"/>
        </w:rPr>
        <w:t xml:space="preserve">In August 2020, the FASB issued ASU No. 2020-06 (“ASU 2020-06”) </w:t>
      </w:r>
      <w:r>
        <w:rPr>
          <w:rFonts w:ascii="Arial" w:cs="Arial" w:eastAsia="Arial" w:hAnsi="Arial"/>
          <w:sz w:val="16"/>
          <w:szCs w:val="16"/>
          <w:i w:val="1"/>
          <w:iCs w:val="1"/>
          <w:color w:val="auto"/>
        </w:rPr>
        <w:t>Debt—Debt with Conversion and Other Options (Subtopic 470-20)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Derivatives and Hedging—Contracts in Entity’s Own Equity (Subtopic 815-40): Accounting for Convertible Instruments and Contracts in an Entity’s Own Equity. </w:t>
      </w:r>
      <w:r>
        <w:rPr>
          <w:rFonts w:ascii="Arial" w:cs="Arial" w:eastAsia="Arial" w:hAnsi="Arial"/>
          <w:sz w:val="16"/>
          <w:szCs w:val="16"/>
          <w:color w:val="auto"/>
        </w:rPr>
        <w:t>ASU 2020-06 will simplify the accounting for convertible instruments by reducing the number of accounting models for</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debt instruments and convertible preferred shares. Limiting the accounting models will result in fewer embedded conversion features being separately recognized from the host contract as compared with current GAAP. Convertible instruments that continue to be subject to separation models are (1) those with embedded conversion features that are not clearly and closely related to the host contract, that meet the definition of a derivative, and that do not qualify for a scope exception from derivative accounting and (2) convertible debt instruments issued with substantial premiums for which the premiums are recorded as paid-in capital. ASU 2020-06 also amends the guidance for the derivatives scope exception for contracts in an entity’s own equity to reduce form-over-substance-based accounting conclusions. The guidance will become effective for the Company for fiscal years beginning after December 15, 2023. Early adoption is permitted. The Company adoption is not expected to have a significant impact on the Company’s condensed consolidated financial statements and related disclosures.</w:t>
      </w:r>
    </w:p>
    <w:p>
      <w:pPr>
        <w:spacing w:after="0" w:line="18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40" w:top="135" w:right="35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71"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35" w:lineRule="exact"/>
        <w:rPr>
          <w:sz w:val="20"/>
          <w:szCs w:val="20"/>
          <w:color w:val="auto"/>
        </w:rPr>
      </w:pPr>
    </w:p>
    <w:p>
      <w:pPr>
        <w:ind w:left="520" w:right="200" w:firstLine="509"/>
        <w:spacing w:after="0" w:line="279" w:lineRule="auto"/>
        <w:rPr>
          <w:sz w:val="20"/>
          <w:szCs w:val="20"/>
          <w:color w:val="auto"/>
        </w:rPr>
      </w:pPr>
      <w:r>
        <w:rPr>
          <w:rFonts w:ascii="Arial" w:cs="Arial" w:eastAsia="Arial" w:hAnsi="Arial"/>
          <w:sz w:val="18"/>
          <w:szCs w:val="18"/>
          <w:color w:val="auto"/>
        </w:rPr>
        <w:t>The financial instruments of the Company measured at fair value on a recurring basis are included in cash and cash equivalents. U.S. government money market funds were valued by the Company based on quoted market prices, which represent a Level 1 measurement within the fair value hierarchy.</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Financial Assets and Liabilities Measured on a Recurring Basis</w:t>
      </w:r>
    </w:p>
    <w:p>
      <w:pPr>
        <w:spacing w:after="0" w:line="131" w:lineRule="exact"/>
        <w:rPr>
          <w:sz w:val="20"/>
          <w:szCs w:val="20"/>
          <w:color w:val="auto"/>
        </w:rPr>
      </w:pPr>
    </w:p>
    <w:p>
      <w:pPr>
        <w:jc w:val="both"/>
        <w:ind w:left="520" w:firstLine="509"/>
        <w:spacing w:after="0" w:line="279" w:lineRule="auto"/>
        <w:rPr>
          <w:sz w:val="20"/>
          <w:szCs w:val="20"/>
          <w:color w:val="auto"/>
        </w:rPr>
      </w:pPr>
      <w:r>
        <w:rPr>
          <w:rFonts w:ascii="Arial" w:cs="Arial" w:eastAsia="Arial" w:hAnsi="Arial"/>
          <w:sz w:val="18"/>
          <w:szCs w:val="18"/>
          <w:color w:val="auto"/>
        </w:rPr>
        <w:t>The following table sets forth the Company’s financial instruments as of September 30, 2021 and December 31, 2020, which are measured at fair value on a recurring basis by level within the fair value hierarchy. These are classified based on the lowest level of input that is significant to the fair value measurement (in thousands):</w:t>
      </w:r>
    </w:p>
    <w:p>
      <w:pPr>
        <w:spacing w:after="0" w:line="242"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September 30, 2021</w:t>
            </w:r>
          </w:p>
        </w:tc>
        <w:tc>
          <w:tcPr>
            <w:tcW w:w="880" w:type="dxa"/>
            <w:vAlign w:val="bottom"/>
            <w:tcBorders>
              <w:bottom w:val="single" w:sz="8" w:color="auto"/>
            </w:tcBorders>
          </w:tcPr>
          <w:p>
            <w:pPr>
              <w:spacing w:after="0"/>
              <w:rPr>
                <w:sz w:val="16"/>
                <w:szCs w:val="16"/>
                <w:color w:val="auto"/>
              </w:rPr>
            </w:pPr>
          </w:p>
        </w:tc>
      </w:tr>
      <w:tr>
        <w:trPr>
          <w:trHeight w:val="196"/>
        </w:trPr>
        <w:tc>
          <w:tcPr>
            <w:tcW w:w="5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Money market funds, included in 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124,040</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ind w:left="340"/>
              <w:spacing w:after="0"/>
              <w:rPr>
                <w:sz w:val="20"/>
                <w:szCs w:val="20"/>
                <w:color w:val="auto"/>
              </w:rPr>
            </w:pPr>
            <w:r>
              <w:rPr>
                <w:rFonts w:ascii="Arial" w:cs="Arial" w:eastAsia="Arial" w:hAnsi="Arial"/>
                <w:sz w:val="18"/>
                <w:szCs w:val="18"/>
                <w:color w:val="auto"/>
                <w:w w:val="89"/>
              </w:rPr>
              <w:t>124,040</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3"/>
          </w:tcPr>
          <w:p>
            <w:pPr>
              <w:ind w:left="680"/>
              <w:spacing w:after="0"/>
              <w:rPr>
                <w:sz w:val="20"/>
                <w:szCs w:val="20"/>
                <w:color w:val="auto"/>
              </w:rPr>
            </w:pPr>
            <w:r>
              <w:rPr>
                <w:rFonts w:ascii="Arial" w:cs="Arial" w:eastAsia="Arial" w:hAnsi="Arial"/>
                <w:sz w:val="18"/>
                <w:szCs w:val="18"/>
                <w:color w:val="auto"/>
              </w:rPr>
              <w:t>—   $</w:t>
            </w: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r>
    </w:tbl>
    <w:p>
      <w:pPr>
        <w:spacing w:after="0" w:line="28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As of December 31, 2020, the Company did not have any money market funds.</w:t>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There were no transfers between Level 1, Level 2 or Level 3 categories in the nine months ended September 30, 2021 or 2020.</w:t>
      </w:r>
    </w:p>
    <w:p>
      <w:pPr>
        <w:spacing w:after="0" w:line="343"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3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Prepaid and other current assets consisted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September 30,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3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Prepaid insurance</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3,332</w:t>
            </w:r>
          </w:p>
        </w:tc>
        <w:tc>
          <w:tcPr>
            <w:tcW w:w="80" w:type="dxa"/>
            <w:vAlign w:val="bottom"/>
            <w:shd w:val="clear" w:color="auto" w:fill="CFF0FC"/>
          </w:tcPr>
          <w:p>
            <w:pPr>
              <w:spacing w:after="0"/>
              <w:rPr>
                <w:sz w:val="22"/>
                <w:szCs w:val="22"/>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Prepaid research and development expenses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2,646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1,259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3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Other prepaid expenses and other assets</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c>
          <w:tcPr>
            <w:tcW w:w="6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6,151</w:t>
            </w:r>
          </w:p>
        </w:tc>
        <w:tc>
          <w:tcPr>
            <w:tcW w:w="80" w:type="dxa"/>
            <w:vAlign w:val="bottom"/>
          </w:tcPr>
          <w:p>
            <w:pPr>
              <w:spacing w:after="0"/>
              <w:rPr>
                <w:sz w:val="21"/>
                <w:szCs w:val="21"/>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1,343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79"/>
              </w:rPr>
              <w:t>5.</w:t>
            </w:r>
          </w:p>
        </w:tc>
        <w:tc>
          <w:tcPr>
            <w:tcW w:w="636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PROPERTY AND EQUIPMENT, NET</w:t>
            </w: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300" w:type="dxa"/>
            <w:vAlign w:val="bottom"/>
            <w:vMerge w:val="continue"/>
          </w:tcPr>
          <w:p>
            <w:pPr>
              <w:spacing w:after="0"/>
              <w:rPr>
                <w:sz w:val="24"/>
                <w:szCs w:val="24"/>
                <w:color w:val="auto"/>
              </w:rPr>
            </w:pPr>
          </w:p>
        </w:tc>
        <w:tc>
          <w:tcPr>
            <w:tcW w:w="63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00" w:type="dxa"/>
            <w:vAlign w:val="bottom"/>
          </w:tcPr>
          <w:p>
            <w:pPr>
              <w:spacing w:after="0"/>
              <w:rPr>
                <w:sz w:val="24"/>
                <w:szCs w:val="24"/>
                <w:color w:val="auto"/>
              </w:rPr>
            </w:pPr>
          </w:p>
        </w:tc>
        <w:tc>
          <w:tcPr>
            <w:tcW w:w="6360" w:type="dxa"/>
            <w:vAlign w:val="bottom"/>
            <w:gridSpan w:val="3"/>
          </w:tcPr>
          <w:p>
            <w:pPr>
              <w:ind w:left="720"/>
              <w:spacing w:after="0"/>
              <w:rPr>
                <w:sz w:val="20"/>
                <w:szCs w:val="20"/>
                <w:color w:val="auto"/>
              </w:rPr>
            </w:pPr>
            <w:r>
              <w:rPr>
                <w:rFonts w:ascii="Arial" w:cs="Arial" w:eastAsia="Arial" w:hAnsi="Arial"/>
                <w:sz w:val="18"/>
                <w:szCs w:val="18"/>
                <w:color w:val="auto"/>
                <w:w w:val="99"/>
              </w:rPr>
              <w:t>Property and equipment, net, consisted of the following (in thousands):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5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6"/>
              </w:rPr>
              <w:t>December 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FF0FC"/>
          </w:tcPr>
          <w:p>
            <w:pPr>
              <w:spacing w:after="0"/>
              <w:rPr>
                <w:sz w:val="22"/>
                <w:szCs w:val="22"/>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(31 )</w:t>
            </w:r>
          </w:p>
        </w:tc>
        <w:tc>
          <w:tcPr>
            <w:tcW w:w="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(16 )</w:t>
            </w: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9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top w:val="single" w:sz="8" w:color="CFF0FC"/>
            </w:tcBorders>
          </w:tcPr>
          <w:p>
            <w:pPr>
              <w:spacing w:after="0"/>
              <w:rPr>
                <w:sz w:val="21"/>
                <w:szCs w:val="21"/>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top w:val="single" w:sz="8" w:color="CFF0FC"/>
            </w:tcBorders>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-1899285</wp:posOffset>
            </wp:positionV>
            <wp:extent cx="13716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-1899285</wp:posOffset>
            </wp:positionV>
            <wp:extent cx="4318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-193675</wp:posOffset>
            </wp:positionV>
            <wp:extent cx="14605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-193675</wp:posOffset>
            </wp:positionV>
            <wp:extent cx="6858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Depreciation and amortization expense was immaterial for the three and nine months ended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3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98" w:lineRule="exact"/>
        <w:rPr>
          <w:sz w:val="20"/>
          <w:szCs w:val="20"/>
          <w:color w:val="auto"/>
        </w:rPr>
      </w:pPr>
    </w:p>
    <w:tbl>
      <w:tblPr>
        <w:tblLayout w:type="fixed"/>
        <w:tblInd w:w="1360" w:type="dxa"/>
        <w:tblCellMar>
          <w:top w:w="0" w:type="dxa"/>
          <w:left w:w="0" w:type="dxa"/>
          <w:bottom w:w="0" w:type="dxa"/>
          <w:right w:w="0" w:type="dxa"/>
        </w:tblCellMar>
      </w:tblPr>
      <w:tr>
        <w:trPr>
          <w:trHeight w:val="176"/>
        </w:trPr>
        <w:tc>
          <w:tcPr>
            <w:tcW w:w="5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55"/>
              <w:spacing w:after="0"/>
              <w:rPr>
                <w:sz w:val="20"/>
                <w:szCs w:val="20"/>
                <w:color w:val="auto"/>
              </w:rPr>
            </w:pPr>
            <w:r>
              <w:rPr>
                <w:rFonts w:ascii="Arial" w:cs="Arial" w:eastAsia="Arial" w:hAnsi="Arial"/>
                <w:sz w:val="14"/>
                <w:szCs w:val="14"/>
                <w:b w:val="1"/>
                <w:bCs w:val="1"/>
                <w:color w:val="auto"/>
                <w:w w:val="98"/>
              </w:rPr>
              <w:t>September 30,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155"/>
              <w:spacing w:after="0"/>
              <w:rPr>
                <w:sz w:val="20"/>
                <w:szCs w:val="20"/>
                <w:color w:val="auto"/>
              </w:rPr>
            </w:pPr>
            <w:r>
              <w:rPr>
                <w:rFonts w:ascii="Arial" w:cs="Arial" w:eastAsia="Arial" w:hAnsi="Arial"/>
                <w:sz w:val="14"/>
                <w:szCs w:val="14"/>
                <w:b w:val="1"/>
                <w:bCs w:val="1"/>
                <w:color w:val="auto"/>
                <w:w w:val="98"/>
              </w:rPr>
              <w:t>December 31,</w:t>
            </w:r>
          </w:p>
        </w:tc>
        <w:tc>
          <w:tcPr>
            <w:tcW w:w="60" w:type="dxa"/>
            <w:vAlign w:val="bottom"/>
          </w:tcPr>
          <w:p>
            <w:pPr>
              <w:spacing w:after="0"/>
              <w:rPr>
                <w:sz w:val="15"/>
                <w:szCs w:val="15"/>
                <w:color w:val="auto"/>
              </w:rPr>
            </w:pPr>
          </w:p>
        </w:tc>
      </w:tr>
      <w:tr>
        <w:trPr>
          <w:trHeight w:val="192"/>
        </w:trPr>
        <w:tc>
          <w:tcPr>
            <w:tcW w:w="5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256"/>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60" w:type="dxa"/>
            <w:vAlign w:val="bottom"/>
            <w:shd w:val="clear" w:color="auto" w:fill="CFF0FC"/>
          </w:tcPr>
          <w:p>
            <w:pPr>
              <w:spacing w:after="0"/>
              <w:rPr>
                <w:sz w:val="22"/>
                <w:szCs w:val="22"/>
                <w:color w:val="auto"/>
              </w:rPr>
            </w:pPr>
          </w:p>
        </w:tc>
      </w:tr>
      <w:tr>
        <w:trPr>
          <w:trHeight w:val="250"/>
        </w:trPr>
        <w:tc>
          <w:tcPr>
            <w:tcW w:w="5540" w:type="dxa"/>
            <w:vAlign w:val="bottom"/>
          </w:tcPr>
          <w:p>
            <w:pPr>
              <w:ind w:left="20"/>
              <w:spacing w:after="0"/>
              <w:rPr>
                <w:sz w:val="20"/>
                <w:szCs w:val="20"/>
                <w:color w:val="auto"/>
              </w:rPr>
            </w:pPr>
            <w:r>
              <w:rPr>
                <w:rFonts w:ascii="Arial" w:cs="Arial" w:eastAsia="Arial" w:hAnsi="Arial"/>
                <w:sz w:val="18"/>
                <w:szCs w:val="18"/>
                <w:color w:val="auto"/>
              </w:rPr>
              <w:t>Accrued payroll related expenses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298</w:t>
            </w:r>
          </w:p>
        </w:tc>
        <w:tc>
          <w:tcPr>
            <w:tcW w:w="60" w:type="dxa"/>
            <w:vAlign w:val="bottom"/>
          </w:tcPr>
          <w:p>
            <w:pPr>
              <w:spacing w:after="0"/>
              <w:rPr>
                <w:sz w:val="21"/>
                <w:szCs w:val="21"/>
                <w:color w:val="auto"/>
              </w:rPr>
            </w:pPr>
          </w:p>
        </w:tc>
      </w:tr>
      <w:tr>
        <w:trPr>
          <w:trHeight w:val="263"/>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professional service expenses</w:t>
            </w:r>
          </w:p>
        </w:tc>
        <w:tc>
          <w:tcPr>
            <w:tcW w:w="1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60" w:type="dxa"/>
            <w:vAlign w:val="bottom"/>
            <w:shd w:val="clear" w:color="auto" w:fill="CFF0FC"/>
          </w:tcPr>
          <w:p>
            <w:pPr>
              <w:spacing w:after="0"/>
              <w:rPr>
                <w:sz w:val="22"/>
                <w:szCs w:val="22"/>
                <w:color w:val="auto"/>
              </w:rPr>
            </w:pPr>
          </w:p>
        </w:tc>
      </w:tr>
      <w:tr>
        <w:trPr>
          <w:trHeight w:val="250"/>
        </w:trPr>
        <w:tc>
          <w:tcPr>
            <w:tcW w:w="554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r>
      <w:tr>
        <w:trPr>
          <w:trHeight w:val="290"/>
        </w:trPr>
        <w:tc>
          <w:tcPr>
            <w:tcW w:w="5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5,161</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1,596</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-24765</wp:posOffset>
            </wp:positionV>
            <wp:extent cx="1371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13716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431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431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type w:val="continuous"/>
        </w:sectPr>
      </w:pPr>
    </w:p>
    <w:bookmarkStart w:id="12" w:name="page13"/>
    <w:bookmarkEnd w:id="12"/>
    <w:p>
      <w:pPr>
        <w:jc w:val="center"/>
        <w:ind w:right="-11"/>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32" w:hanging="432"/>
        <w:spacing w:after="0"/>
        <w:tabs>
          <w:tab w:leader="none" w:pos="43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AGREEMENTS</w:t>
      </w:r>
    </w:p>
    <w:p>
      <w:pPr>
        <w:spacing w:after="0" w:line="135"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License agreement with Merck KGaA, Darmstadt, Germany</w:t>
      </w:r>
    </w:p>
    <w:p>
      <w:pPr>
        <w:spacing w:after="0" w:line="131" w:lineRule="exact"/>
        <w:rPr>
          <w:sz w:val="20"/>
          <w:szCs w:val="20"/>
          <w:color w:val="auto"/>
        </w:rPr>
      </w:pPr>
    </w:p>
    <w:p>
      <w:pPr>
        <w:ind w:left="512" w:right="80" w:firstLine="509"/>
        <w:spacing w:after="0" w:line="269" w:lineRule="auto"/>
        <w:rPr>
          <w:sz w:val="20"/>
          <w:szCs w:val="20"/>
          <w:color w:val="auto"/>
        </w:rPr>
      </w:pPr>
      <w:r>
        <w:rPr>
          <w:rFonts w:ascii="Arial" w:cs="Arial" w:eastAsia="Arial" w:hAnsi="Arial"/>
          <w:sz w:val="18"/>
          <w:szCs w:val="18"/>
          <w:color w:val="auto"/>
        </w:rPr>
        <w:t>On February 10, 2021, DOT-2, the Company’s subsidiary, entered into a license agreement (the MRKDG License Agreement), with Merck KGaA, Darmstadt, Germany, a pharmaceutical corporation located in Darmstadt, Germany. Under the MRKDG License Agreement, Merck KGaA, Darmstadt, Germany granted to the Company an exclusive worldwide license, with the right to grant sublicenses through multiple tiers, under specified patent rights and know-how for the Company to research, develop, manufacture, and commercialize products containing and comprising the pimasertib and MSC2015103B compounds. The Company also received clinical inventories supplies to use in its research and development activities. The Company’s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w:t>
      </w:r>
    </w:p>
    <w:p>
      <w:pPr>
        <w:spacing w:after="0" w:line="88" w:lineRule="exact"/>
        <w:rPr>
          <w:sz w:val="20"/>
          <w:szCs w:val="20"/>
          <w:color w:val="auto"/>
        </w:rPr>
      </w:pPr>
    </w:p>
    <w:p>
      <w:pPr>
        <w:ind w:left="512" w:right="100" w:firstLine="509"/>
        <w:spacing w:after="0" w:line="293" w:lineRule="auto"/>
        <w:rPr>
          <w:sz w:val="20"/>
          <w:szCs w:val="20"/>
          <w:color w:val="auto"/>
        </w:rPr>
      </w:pPr>
      <w:r>
        <w:rPr>
          <w:rFonts w:ascii="Arial" w:cs="Arial" w:eastAsia="Arial" w:hAnsi="Arial"/>
          <w:sz w:val="18"/>
          <w:szCs w:val="18"/>
          <w:color w:val="auto"/>
        </w:rPr>
        <w:t>Under the MRKDG License Agreement, the Company has obligations to use commercially reasonable efforts to develop and commercialize at least two licensed products in at least two specified major market countries by the year 2029.</w:t>
      </w:r>
    </w:p>
    <w:p>
      <w:pPr>
        <w:spacing w:after="0" w:line="62" w:lineRule="exact"/>
        <w:rPr>
          <w:sz w:val="20"/>
          <w:szCs w:val="20"/>
          <w:color w:val="auto"/>
        </w:rPr>
      </w:pPr>
    </w:p>
    <w:p>
      <w:pPr>
        <w:ind w:left="512" w:right="120" w:firstLine="509"/>
        <w:spacing w:after="0" w:line="290" w:lineRule="auto"/>
        <w:rPr>
          <w:sz w:val="20"/>
          <w:szCs w:val="20"/>
          <w:color w:val="auto"/>
        </w:rPr>
      </w:pPr>
      <w:r>
        <w:rPr>
          <w:rFonts w:ascii="Arial" w:cs="Arial" w:eastAsia="Arial" w:hAnsi="Arial"/>
          <w:sz w:val="17"/>
          <w:szCs w:val="17"/>
          <w:color w:val="auto"/>
        </w:rPr>
        <w:t>In consideration for the rights granted under the MRKDG License Agreement and clinical supplies, the Company made an upfront payment of $8.0 million, which was recorded as research and development expenses, as the technology does not have an alternative future use and supplies are used for research activities. The Company may also be required to make additional payments of up to $367.0 million based upon the achievement of specified development, regulatory, and commercial milestones, as well a high, single-digit royalty percentage on future net sales of licensed products, if any. Milestones and royalties are contingent upon future events and will be recorded when the milestones are achieved and when payments are due. No milestones were achieved and due as of September 30, 2021.</w:t>
      </w:r>
    </w:p>
    <w:p>
      <w:pPr>
        <w:spacing w:after="0" w:line="68" w:lineRule="exact"/>
        <w:rPr>
          <w:sz w:val="20"/>
          <w:szCs w:val="20"/>
          <w:color w:val="auto"/>
        </w:rPr>
      </w:pPr>
    </w:p>
    <w:p>
      <w:pPr>
        <w:ind w:left="512" w:right="160" w:firstLine="509"/>
        <w:spacing w:after="0" w:line="275" w:lineRule="auto"/>
        <w:rPr>
          <w:sz w:val="20"/>
          <w:szCs w:val="20"/>
          <w:color w:val="auto"/>
        </w:rPr>
      </w:pPr>
      <w:r>
        <w:rPr>
          <w:rFonts w:ascii="Arial" w:cs="Arial" w:eastAsia="Arial" w:hAnsi="Arial"/>
          <w:sz w:val="18"/>
          <w:szCs w:val="18"/>
          <w:color w:val="auto"/>
        </w:rPr>
        <w:t>The term of the MRKDG License Agreement will expire on a licensed product-by-licensed product and country-by-country basis upon the expiration of the Company’s obligation to pay royalties to the licensor with respect to such licensed product in such country and will expire in its entirety upon the expiration of all of the Company’s payment obligations with respect to all licensed products and all countries under the MRKDG License Agreement.</w:t>
      </w:r>
    </w:p>
    <w:p>
      <w:pPr>
        <w:spacing w:after="0" w:line="293"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Takeda Assets Purchase Agreement</w:t>
      </w:r>
    </w:p>
    <w:p>
      <w:pPr>
        <w:spacing w:after="0" w:line="131" w:lineRule="exact"/>
        <w:rPr>
          <w:sz w:val="20"/>
          <w:szCs w:val="20"/>
          <w:color w:val="auto"/>
        </w:rPr>
      </w:pPr>
    </w:p>
    <w:p>
      <w:pPr>
        <w:ind w:left="512" w:right="60" w:firstLine="509"/>
        <w:spacing w:after="0" w:line="286" w:lineRule="auto"/>
        <w:rPr>
          <w:sz w:val="20"/>
          <w:szCs w:val="20"/>
          <w:color w:val="auto"/>
        </w:rPr>
      </w:pPr>
      <w:r>
        <w:rPr>
          <w:rFonts w:ascii="Arial" w:cs="Arial" w:eastAsia="Arial" w:hAnsi="Arial"/>
          <w:sz w:val="17"/>
          <w:szCs w:val="17"/>
          <w:color w:val="auto"/>
        </w:rPr>
        <w:t>On December 16, 2019, DOT-1 entered into an asset purchase agreement (the “Takeda Asset Agreement”), with Millennium Pharmaceuticals, Inc., an affiliate of Takeda Pharmaceutical Company Limited (“Takeda”). Pursuant to the Takeda Asset Agreement, DOT-1 purchased certain technology rights and know-how related to TAK-580 (which is now DAY101) that provides a new approach for treating patients with primary brain tumors or brain metastases of solid tumors. DOT-1 also received clinical inventories supplies to use in the Company’s research and development activities of such RAF-inhibitor and an assigned investigator clinical trial agreement. Takeda also assigned to DOT-1 its exclusive license agreement, or the Viracta License Agreement, with Sunesis Pharmaceuticals, Inc. (now Viracta Therapeutics, Inc. or Viracta). Takeda also granted DOT-1 a worldwide, sublicensable exclusive license under specified patents and know-how and non-exclusive license under other patents and know-how generated by Takeda under the Takeda Asset Agreement. The Company also granted Takeda a grant back license, as defined in the agreement, which is terminable either automatically or by DOT-1 in the event Takeda does not achieve specified development milestones within the applicable timeframes set forth under the Takeda Asset Agreement. This grant back license to Takeda was terminated at the time of Conversion in connection with the Millennium Stock Exchange Agreement.</w:t>
      </w:r>
    </w:p>
    <w:p>
      <w:pPr>
        <w:spacing w:after="0" w:line="70" w:lineRule="exact"/>
        <w:rPr>
          <w:sz w:val="20"/>
          <w:szCs w:val="20"/>
          <w:color w:val="auto"/>
        </w:rPr>
      </w:pPr>
    </w:p>
    <w:p>
      <w:pPr>
        <w:ind w:left="512" w:firstLine="509"/>
        <w:spacing w:after="0" w:line="288" w:lineRule="auto"/>
        <w:rPr>
          <w:sz w:val="20"/>
          <w:szCs w:val="20"/>
          <w:color w:val="auto"/>
        </w:rPr>
      </w:pPr>
      <w:r>
        <w:rPr>
          <w:rFonts w:ascii="Arial" w:cs="Arial" w:eastAsia="Arial" w:hAnsi="Arial"/>
          <w:sz w:val="17"/>
          <w:szCs w:val="17"/>
          <w:color w:val="auto"/>
        </w:rPr>
        <w:t>In consideration for the sale and assignment of assets and the grant of the license under the Takeda Asset Agreement, DOT-1 made an upfront payment of $1.0 million in cash and issued 9,857,143 shares of Series A redeemable convertible preferred stock in DOT-1. The fair value of issued shares was estimated as $9.9 million, based on the price paid by other investors for issued shares in the Series A financing of DOT-1 Therapeutics, Inc. Based on the terms of the Millennium Stock Exchange Agreement, Takeda exchanged the 9,857,143 shares of Series A redeemable convertible preferred stock of DOT-1, Inc. for 6,470,382 shares of the Company’s common stock upon the effectiveness of the Conversion (refer to Note 1). During the nine months ended, September 30, 2021, the Company recorded a total of $10.9 million consideration for license and clinical supplies as research and development expenses.</w:t>
      </w:r>
    </w:p>
    <w:p>
      <w:pPr>
        <w:spacing w:after="0" w:line="275" w:lineRule="exact"/>
        <w:rPr>
          <w:sz w:val="20"/>
          <w:szCs w:val="20"/>
          <w:color w:val="auto"/>
        </w:rPr>
      </w:pPr>
    </w:p>
    <w:p>
      <w:pPr>
        <w:ind w:left="512" w:right="20" w:firstLine="509"/>
        <w:spacing w:after="0" w:line="266" w:lineRule="auto"/>
        <w:rPr>
          <w:sz w:val="20"/>
          <w:szCs w:val="20"/>
          <w:color w:val="auto"/>
        </w:rPr>
      </w:pPr>
      <w:r>
        <w:rPr>
          <w:rFonts w:ascii="Arial" w:cs="Arial" w:eastAsia="Arial" w:hAnsi="Arial"/>
          <w:sz w:val="18"/>
          <w:szCs w:val="18"/>
          <w:color w:val="auto"/>
        </w:rPr>
        <w:t>The term of the Takeda Asset Agreement will expire on a country-by-country basis upon expiration of all assigned patent rights and all licensed patent rights in such country. Takeda may terminate the Takeda Asset Agreement prior to our first commercial sale of a product if we cease conducting any development activities for a continuous and specified period of time and such cessation is not agreed upon by the parties and is not done in response to guidance from a regulatory authority. Additionally, Takeda can terminate the Takeda Asset Agreement for our bankruptcy. In the event of termination of the Takeda</w:t>
      </w:r>
    </w:p>
    <w:p>
      <w:pPr>
        <w:spacing w:after="0" w:line="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35" w:right="359" w:bottom="1440" w:gutter="0" w:footer="0" w:header="0"/>
        </w:sectPr>
      </w:pPr>
    </w:p>
    <w:bookmarkStart w:id="13" w:name="page14"/>
    <w:bookmarkEnd w:id="13"/>
    <w:p>
      <w:pPr>
        <w:jc w:val="center"/>
        <w:ind w:right="-11"/>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35" w:lineRule="exact"/>
        <w:rPr>
          <w:sz w:val="20"/>
          <w:szCs w:val="20"/>
          <w:color w:val="auto"/>
        </w:rPr>
      </w:pPr>
    </w:p>
    <w:p>
      <w:pPr>
        <w:ind w:left="512" w:right="100"/>
        <w:spacing w:after="0" w:line="279" w:lineRule="auto"/>
        <w:rPr>
          <w:sz w:val="20"/>
          <w:szCs w:val="20"/>
          <w:color w:val="auto"/>
        </w:rPr>
      </w:pPr>
      <w:r>
        <w:rPr>
          <w:rFonts w:ascii="Arial" w:cs="Arial" w:eastAsia="Arial" w:hAnsi="Arial"/>
          <w:sz w:val="18"/>
          <w:szCs w:val="18"/>
          <w:color w:val="auto"/>
        </w:rPr>
        <w:t>Asset Agreement by Takeda as a result of our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spacing w:after="0" w:line="291"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Viracta License Agreement</w:t>
      </w:r>
    </w:p>
    <w:p>
      <w:pPr>
        <w:spacing w:after="0" w:line="131" w:lineRule="exact"/>
        <w:rPr>
          <w:sz w:val="20"/>
          <w:szCs w:val="20"/>
          <w:color w:val="auto"/>
        </w:rPr>
      </w:pPr>
    </w:p>
    <w:p>
      <w:pPr>
        <w:ind w:left="512" w:right="260" w:firstLine="509"/>
        <w:spacing w:after="0" w:line="303" w:lineRule="auto"/>
        <w:rPr>
          <w:sz w:val="20"/>
          <w:szCs w:val="20"/>
          <w:color w:val="auto"/>
        </w:rPr>
      </w:pPr>
      <w:r>
        <w:rPr>
          <w:rFonts w:ascii="Arial" w:cs="Arial" w:eastAsia="Arial" w:hAnsi="Arial"/>
          <w:sz w:val="17"/>
          <w:szCs w:val="17"/>
          <w:color w:val="auto"/>
        </w:rPr>
        <w:t>On December 16, 2019, DOT-1 amended and restated the Viracta License Agreement that was assigned pursuant to the Takeda Asset Agreement. Under the Viracta License Agreement, DOT-1 received a worldwide exclusive license under specified patent rights and know-how to develop, use, manufacture, and commercialize products containing compounds binding the RAF protein family.</w:t>
      </w:r>
    </w:p>
    <w:p>
      <w:pPr>
        <w:spacing w:after="0" w:line="56" w:lineRule="exact"/>
        <w:rPr>
          <w:sz w:val="20"/>
          <w:szCs w:val="20"/>
          <w:color w:val="auto"/>
        </w:rPr>
      </w:pPr>
    </w:p>
    <w:p>
      <w:pPr>
        <w:ind w:left="512" w:right="20" w:firstLine="509"/>
        <w:spacing w:after="0" w:line="285" w:lineRule="auto"/>
        <w:rPr>
          <w:sz w:val="20"/>
          <w:szCs w:val="20"/>
          <w:color w:val="auto"/>
        </w:rPr>
      </w:pPr>
      <w:r>
        <w:rPr>
          <w:rFonts w:ascii="Arial" w:cs="Arial" w:eastAsia="Arial" w:hAnsi="Arial"/>
          <w:sz w:val="17"/>
          <w:szCs w:val="17"/>
          <w:color w:val="auto"/>
        </w:rPr>
        <w:t>DOT-1 paid $2.0 million upfront in cash to Viracta, which was recorded as research and development expenses. DOT-1 made a milestone payment of $3.0 million to Viracta in February 2021, which is recorded as research and development expense when the milestone was achieved in April 2021. DOT-1 is also required to make additional milestone payments of up to $54 million upon achievement of specified development and regulatory milestones for each licensed product in two indications, with milestones payable for the second indication to achieve a specified milestone event being lower than milestones payable for the first indication. Additionally, if DOT-1 obtains a priority review voucher with respect to a licensed product and sell such priority review voucher to a third party or use such priority review voucher, DOT-1 is obligated to pay Viracta a specified percentage in the mid-teen digits of all net consideration received from any such sale or of the value of such used priority review voucher, as applicable. Commencing on the first commercial sale of a licensed product in a country, DOT-1 is obligated to pay tiered royalties ranging in the mid-single-digit percentages on net sales of licensed products, if any. The obligation to pay royalties will end on a country-by-country and licensed product-by-licensed product basis commencing on the first commercial sale in a country and continuing until the later of: (i) the expiration of the last valid claim of the Viracta licensed patents, jointly owned collaboration patents or specified patents owned by the Company covering the use or sale of such product in such country, (ii) the expiration of the last statutory exclusivity pertaining to such product in such country or (iii) the tenth anniversary of the first commercial sale of such product in such country. No other milestones, except as discussed above, were achieved and due as of September 30, 2021.</w:t>
      </w:r>
    </w:p>
    <w:p>
      <w:pPr>
        <w:spacing w:after="0" w:line="71" w:lineRule="exact"/>
        <w:rPr>
          <w:sz w:val="20"/>
          <w:szCs w:val="20"/>
          <w:color w:val="auto"/>
        </w:rPr>
      </w:pPr>
    </w:p>
    <w:p>
      <w:pPr>
        <w:ind w:left="512" w:right="80" w:firstLine="509"/>
        <w:spacing w:after="0" w:line="303" w:lineRule="auto"/>
        <w:rPr>
          <w:sz w:val="20"/>
          <w:szCs w:val="20"/>
          <w:color w:val="auto"/>
        </w:rPr>
      </w:pPr>
      <w:r>
        <w:rPr>
          <w:rFonts w:ascii="Arial" w:cs="Arial" w:eastAsia="Arial" w:hAnsi="Arial"/>
          <w:sz w:val="17"/>
          <w:szCs w:val="17"/>
          <w:color w:val="auto"/>
        </w:rPr>
        <w:t>The term of the Viracta License Agreement will expire on a licensed product-by-licensed product and country-by-country basis upon the expiration of the Company’s obligation to pay royalties to Viracta with respect to such product in such country. DOT-1 has the right to terminate the Viracta License Agreement with respect to any or all of the licensed products at will upon a specified notice period.</w:t>
      </w:r>
    </w:p>
    <w:p>
      <w:pPr>
        <w:spacing w:after="0" w:line="268" w:lineRule="exact"/>
        <w:rPr>
          <w:sz w:val="20"/>
          <w:szCs w:val="20"/>
          <w:color w:val="auto"/>
        </w:rPr>
      </w:pPr>
    </w:p>
    <w:p>
      <w:pPr>
        <w:ind w:left="512" w:right="7340" w:hanging="512"/>
        <w:spacing w:after="0" w:line="393" w:lineRule="auto"/>
        <w:tabs>
          <w:tab w:leader="none" w:pos="44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Leases</w:t>
      </w:r>
    </w:p>
    <w:p>
      <w:pPr>
        <w:spacing w:after="0" w:line="1" w:lineRule="exact"/>
        <w:rPr>
          <w:sz w:val="20"/>
          <w:szCs w:val="20"/>
          <w:color w:val="auto"/>
        </w:rPr>
      </w:pPr>
    </w:p>
    <w:p>
      <w:pPr>
        <w:ind w:left="512" w:right="20" w:firstLine="509"/>
        <w:spacing w:after="0" w:line="270" w:lineRule="auto"/>
        <w:rPr>
          <w:sz w:val="20"/>
          <w:szCs w:val="20"/>
          <w:color w:val="auto"/>
        </w:rPr>
      </w:pPr>
      <w:r>
        <w:rPr>
          <w:rFonts w:ascii="Arial" w:cs="Arial" w:eastAsia="Arial" w:hAnsi="Arial"/>
          <w:sz w:val="18"/>
          <w:szCs w:val="18"/>
          <w:color w:val="auto"/>
        </w:rPr>
        <w:t>The Company entered into a lease agreement for its corporate office facility in South San Francisco, California in March 2020, which expires in three years. The Company can extend the lease term for additional three years at market rates upon the notice of extension. The Company is obligated to pay monthly rent expense and its pro rata share of utilities, common area maintenance expenses and property taxes. The landlord also provided an allowance of $10,000 for any tenant improvements. The Company concluded that it is an operating lease. Common area expenses are a non-lease component and a variable consideration and included in operating expenses as incurred. The extension period has not been included in the determination of the Right of Use (“ROU”) asset or the lease liability for operating leases as the Company concluded that it is not reasonably certain that it would exercise this option.</w:t>
      </w:r>
    </w:p>
    <w:p>
      <w:pPr>
        <w:spacing w:after="0" w:line="84" w:lineRule="exact"/>
        <w:rPr>
          <w:sz w:val="20"/>
          <w:szCs w:val="20"/>
          <w:color w:val="auto"/>
        </w:rPr>
      </w:pPr>
    </w:p>
    <w:p>
      <w:pPr>
        <w:ind w:left="512" w:right="440" w:firstLine="509"/>
        <w:spacing w:after="0" w:line="272" w:lineRule="auto"/>
        <w:rPr>
          <w:sz w:val="20"/>
          <w:szCs w:val="20"/>
          <w:color w:val="auto"/>
        </w:rPr>
      </w:pPr>
      <w:r>
        <w:rPr>
          <w:rFonts w:ascii="Arial" w:cs="Arial" w:eastAsia="Arial" w:hAnsi="Arial"/>
          <w:sz w:val="18"/>
          <w:szCs w:val="18"/>
          <w:color w:val="auto"/>
        </w:rPr>
        <w:t>The Company determined the lease incremental borrowing rate (“IBR”) based on the information available at the applicable lease commencement date as the Company’s lease did provide an implicit rate. The IBR is determined by using the rate of interest that the Company would pay to borrow on a collateralized basis an amount equal to the lease payments for a similar term and in a similar economic environment where the asset is located. The Company determined the amounts of its lease liabilities using an IBR of 8%. As of September 30, 2021, the remaining lease term was 1.42 years.</w:t>
      </w:r>
    </w:p>
    <w:p>
      <w:pPr>
        <w:spacing w:after="0" w:line="83" w:lineRule="exact"/>
        <w:rPr>
          <w:sz w:val="20"/>
          <w:szCs w:val="20"/>
          <w:color w:val="auto"/>
        </w:rPr>
      </w:pPr>
    </w:p>
    <w:p>
      <w:pPr>
        <w:ind w:left="1012"/>
        <w:spacing w:after="0"/>
        <w:rPr>
          <w:sz w:val="20"/>
          <w:szCs w:val="20"/>
          <w:color w:val="auto"/>
        </w:rPr>
      </w:pPr>
      <w:r>
        <w:rPr>
          <w:rFonts w:ascii="Arial" w:cs="Arial" w:eastAsia="Arial" w:hAnsi="Arial"/>
          <w:sz w:val="16"/>
          <w:szCs w:val="16"/>
          <w:color w:val="auto"/>
        </w:rPr>
        <w:t>The Company’s lease does not require any contingent rental payments, impose financial restrictions, or contain any residual value guarantees.</w:t>
      </w:r>
    </w:p>
    <w:p>
      <w:pPr>
        <w:spacing w:after="0" w:line="154" w:lineRule="exact"/>
        <w:rPr>
          <w:sz w:val="20"/>
          <w:szCs w:val="20"/>
          <w:color w:val="auto"/>
        </w:rPr>
      </w:pPr>
    </w:p>
    <w:p>
      <w:pPr>
        <w:ind w:left="512" w:right="320" w:firstLine="509"/>
        <w:spacing w:after="0" w:line="266" w:lineRule="auto"/>
        <w:rPr>
          <w:sz w:val="20"/>
          <w:szCs w:val="20"/>
          <w:color w:val="auto"/>
        </w:rPr>
      </w:pPr>
      <w:r>
        <w:rPr>
          <w:rFonts w:ascii="Arial" w:cs="Arial" w:eastAsia="Arial" w:hAnsi="Arial"/>
          <w:sz w:val="18"/>
          <w:szCs w:val="18"/>
          <w:color w:val="auto"/>
        </w:rPr>
        <w:t>Amortization of right-of-use assets is recognized on a straight-line basis over the applicable lease term. Amortization was $133,000 and $96,000 for the nine months ended September 30, 2021 and 2020, respectively. Cash paid for amounts included in the measurement of operating lease liabilities was $154,000 and $123,000 for the nine months ended September 30, 2021 and 2020, respectively. Variable payments expensed during the nine months ended September 30, 2021 and 2020 were immaterial.</w:t>
      </w:r>
    </w:p>
    <w:p>
      <w:pPr>
        <w:spacing w:after="0" w:line="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5" w:right="339" w:bottom="1440" w:gutter="0" w:footer="0" w:header="0"/>
        </w:sectPr>
      </w:pPr>
    </w:p>
    <w:bookmarkStart w:id="14" w:name="page15"/>
    <w:bookmarkEnd w:id="14"/>
    <w:p>
      <w:pPr>
        <w:ind w:left="1012" w:right="3360" w:firstLine="2339"/>
        <w:spacing w:after="0" w:line="555" w:lineRule="auto"/>
        <w:rPr>
          <w:sz w:val="20"/>
          <w:szCs w:val="20"/>
          <w:color w:val="auto"/>
        </w:rPr>
      </w:pPr>
      <w:r>
        <w:rPr>
          <w:rFonts w:ascii="Arial" w:cs="Arial" w:eastAsia="Arial" w:hAnsi="Arial"/>
          <w:sz w:val="15"/>
          <w:szCs w:val="15"/>
          <w:b w:val="1"/>
          <w:bCs w:val="1"/>
          <w:color w:val="auto"/>
        </w:rPr>
        <w:t xml:space="preserve">Notes to the Condensed Consolidated Financial Statements </w:t>
      </w:r>
      <w:r>
        <w:rPr>
          <w:rFonts w:ascii="Arial" w:cs="Arial" w:eastAsia="Arial" w:hAnsi="Arial"/>
          <w:sz w:val="15"/>
          <w:szCs w:val="15"/>
          <w:color w:val="auto"/>
        </w:rPr>
        <w:t>As of September 30, 2021, the future lease obligations were as follows (in thousands):</w:t>
      </w:r>
    </w:p>
    <w:p>
      <w:pPr>
        <w:spacing w:after="0" w:line="44" w:lineRule="exact"/>
        <w:rPr>
          <w:sz w:val="20"/>
          <w:szCs w:val="20"/>
          <w:color w:val="auto"/>
        </w:rPr>
      </w:pPr>
    </w:p>
    <w:tbl>
      <w:tblPr>
        <w:tblLayout w:type="fixed"/>
        <w:tblInd w:w="2252" w:type="dxa"/>
        <w:tblCellMar>
          <w:top w:w="0" w:type="dxa"/>
          <w:left w:w="0" w:type="dxa"/>
          <w:bottom w:w="0" w:type="dxa"/>
          <w:right w:w="0" w:type="dxa"/>
        </w:tblCellMar>
      </w:tblPr>
      <w:tr>
        <w:trPr>
          <w:trHeight w:val="257"/>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Remaining three months in 2021</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22"/>
                <w:szCs w:val="22"/>
                <w:color w:val="auto"/>
              </w:rPr>
            </w:pPr>
          </w:p>
        </w:tc>
      </w:tr>
      <w:tr>
        <w:trPr>
          <w:trHeight w:val="250"/>
        </w:trPr>
        <w:tc>
          <w:tcPr>
            <w:tcW w:w="5420" w:type="dxa"/>
            <w:vAlign w:val="bottom"/>
          </w:tcPr>
          <w:p>
            <w:pPr>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r>
      <w:tr>
        <w:trPr>
          <w:trHeight w:val="257"/>
        </w:trPr>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2023</w:t>
            </w:r>
          </w:p>
        </w:tc>
        <w:tc>
          <w:tcPr>
            <w:tcW w:w="520" w:type="dxa"/>
            <w:vAlign w:val="bottom"/>
            <w:tcBorders>
              <w:bottom w:val="single" w:sz="8" w:color="auto"/>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42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5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r>
      <w:tr>
        <w:trPr>
          <w:trHeight w:val="257"/>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520" w:type="dxa"/>
            <w:vAlign w:val="bottom"/>
            <w:shd w:val="clear" w:color="auto" w:fill="CFF0FC"/>
          </w:tcPr>
          <w:p>
            <w:pPr>
              <w:spacing w:after="0"/>
              <w:rPr>
                <w:sz w:val="22"/>
                <w:szCs w:val="22"/>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(14 )</w:t>
            </w:r>
          </w:p>
        </w:tc>
      </w:tr>
      <w:tr>
        <w:trPr>
          <w:trHeight w:val="250"/>
        </w:trPr>
        <w:tc>
          <w:tcPr>
            <w:tcW w:w="54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Present value of operating lease liabilities</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top w:val="single" w:sz="8" w:color="CFF0FC"/>
            </w:tcBorders>
          </w:tcPr>
          <w:p>
            <w:pPr>
              <w:spacing w:after="0"/>
              <w:rPr>
                <w:sz w:val="21"/>
                <w:szCs w:val="21"/>
                <w:color w:val="auto"/>
              </w:rPr>
            </w:pPr>
          </w:p>
        </w:tc>
      </w:tr>
      <w:tr>
        <w:trPr>
          <w:trHeight w:val="20"/>
        </w:trPr>
        <w:tc>
          <w:tcPr>
            <w:tcW w:w="5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5648960</wp:posOffset>
            </wp:positionH>
            <wp:positionV relativeFrom="paragraph">
              <wp:posOffset>-527685</wp:posOffset>
            </wp:positionV>
            <wp:extent cx="6032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5648960</wp:posOffset>
            </wp:positionH>
            <wp:positionV relativeFrom="paragraph">
              <wp:posOffset>-193675</wp:posOffset>
            </wp:positionV>
            <wp:extent cx="6032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357"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Research and Development Agreements</w:t>
      </w:r>
    </w:p>
    <w:p>
      <w:pPr>
        <w:spacing w:after="0" w:line="131" w:lineRule="exact"/>
        <w:rPr>
          <w:sz w:val="20"/>
          <w:szCs w:val="20"/>
          <w:color w:val="auto"/>
        </w:rPr>
      </w:pPr>
    </w:p>
    <w:p>
      <w:pPr>
        <w:ind w:left="512" w:right="460" w:firstLine="509"/>
        <w:spacing w:after="0" w:line="271" w:lineRule="auto"/>
        <w:rPr>
          <w:sz w:val="20"/>
          <w:szCs w:val="20"/>
          <w:color w:val="auto"/>
        </w:rPr>
      </w:pPr>
      <w:r>
        <w:rPr>
          <w:rFonts w:ascii="Arial" w:cs="Arial" w:eastAsia="Arial" w:hAnsi="Arial"/>
          <w:sz w:val="18"/>
          <w:szCs w:val="18"/>
          <w:color w:val="auto"/>
        </w:rPr>
        <w:t>The Company enters into contracts in the normal course of business with clinical research organizations for clinical trials, with contract manufacturing organizations for clinical supplies manufacturing and with other vendors for preclinical studies, supplies and other services and products for operating purposes. These contracts generally provide for termination on notice, with the exception of one vendor with a potential termination fee if a purchase order is cancelled within a specified time and of another vendor where labor costs are non-cancellable after the approval of the project plan. As of September 30, 2021 and December 31, 2020, there were no amounts accrued related to termination and cancellation charges as these are not probable.</w:t>
      </w:r>
    </w:p>
    <w:p>
      <w:pPr>
        <w:spacing w:after="0" w:line="299"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31" w:lineRule="exact"/>
        <w:rPr>
          <w:sz w:val="20"/>
          <w:szCs w:val="20"/>
          <w:color w:val="auto"/>
        </w:rPr>
      </w:pPr>
    </w:p>
    <w:p>
      <w:pPr>
        <w:ind w:left="512" w:right="60" w:firstLine="509"/>
        <w:spacing w:after="0" w:line="272" w:lineRule="auto"/>
        <w:rPr>
          <w:sz w:val="20"/>
          <w:szCs w:val="20"/>
          <w:color w:val="auto"/>
        </w:rPr>
      </w:pPr>
      <w:r>
        <w:rPr>
          <w:rFonts w:ascii="Arial" w:cs="Arial" w:eastAsia="Arial" w:hAnsi="Arial"/>
          <w:sz w:val="18"/>
          <w:szCs w:val="18"/>
          <w:color w:val="auto"/>
        </w:rPr>
        <w:t>The Company entered into the license agreements, as disclosed in Note 7, pursuant to which the Company is required to pay milestones contingent upon meeting of specific events. The first milestone related to the Viracta License Agreement was achieved and recorded to research and development expense during the nine months ended September 30, 2021. The Company may be required to pay royalties on sales of products developed under these agreements. All products are in development as of September 30, 2021 and December 31, 2020, and no such royalties were due.</w:t>
      </w:r>
    </w:p>
    <w:p>
      <w:pPr>
        <w:spacing w:after="0" w:line="299"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31" w:lineRule="exact"/>
        <w:rPr>
          <w:sz w:val="20"/>
          <w:szCs w:val="20"/>
          <w:color w:val="auto"/>
        </w:rPr>
      </w:pPr>
    </w:p>
    <w:p>
      <w:pPr>
        <w:ind w:left="512" w:right="340" w:firstLine="509"/>
        <w:spacing w:after="0" w:line="324" w:lineRule="auto"/>
        <w:rPr>
          <w:sz w:val="20"/>
          <w:szCs w:val="20"/>
          <w:color w:val="auto"/>
        </w:rPr>
      </w:pPr>
      <w:r>
        <w:rPr>
          <w:rFonts w:ascii="Arial" w:cs="Arial" w:eastAsia="Arial" w:hAnsi="Arial"/>
          <w:sz w:val="17"/>
          <w:szCs w:val="17"/>
          <w:color w:val="auto"/>
        </w:rPr>
        <w:t>The Company, from time to time, may be party to litigation arising in the ordinary course of business. The Company is not subject to any material legal proceedings, and to the best of its knowledge, no material legal proceedings are currently pending or threatened.</w:t>
      </w:r>
    </w:p>
    <w:p>
      <w:pPr>
        <w:spacing w:after="0" w:line="255"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31" w:lineRule="exact"/>
        <w:rPr>
          <w:sz w:val="20"/>
          <w:szCs w:val="20"/>
          <w:color w:val="auto"/>
        </w:rPr>
      </w:pPr>
    </w:p>
    <w:p>
      <w:pPr>
        <w:ind w:left="512" w:firstLine="509"/>
        <w:spacing w:after="0" w:line="269"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indemnification for certain liabilities. The exposure under these agreements is unknown because it involves claims that may be made against it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directors and executive officers for specified events or occurrences, subject to some limits, while they are serving at its request in such capacities. There have been no claims, to date and the Company believes the fair value of these indemnification agreements is minimal. Accordingly, the Company had not recorded any liabilities for these agreements as of September 30, 2021 and December 31, 2020.</w:t>
      </w:r>
    </w:p>
    <w:p>
      <w:pPr>
        <w:spacing w:after="0" w:line="314" w:lineRule="exact"/>
        <w:rPr>
          <w:sz w:val="20"/>
          <w:szCs w:val="20"/>
          <w:color w:val="auto"/>
        </w:rPr>
      </w:pPr>
    </w:p>
    <w:p>
      <w:pPr>
        <w:ind w:left="432" w:hanging="432"/>
        <w:spacing w:after="0"/>
        <w:tabs>
          <w:tab w:leader="none" w:pos="43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SHARES</w:t>
      </w:r>
    </w:p>
    <w:p>
      <w:pPr>
        <w:spacing w:after="0" w:line="256" w:lineRule="exact"/>
        <w:rPr>
          <w:sz w:val="20"/>
          <w:szCs w:val="20"/>
          <w:color w:val="auto"/>
        </w:rPr>
      </w:pPr>
    </w:p>
    <w:p>
      <w:pPr>
        <w:ind w:left="512" w:right="440" w:firstLine="509"/>
        <w:spacing w:after="0" w:line="303" w:lineRule="auto"/>
        <w:rPr>
          <w:sz w:val="20"/>
          <w:szCs w:val="20"/>
          <w:color w:val="auto"/>
        </w:rPr>
      </w:pPr>
      <w:r>
        <w:rPr>
          <w:rFonts w:ascii="Arial" w:cs="Arial" w:eastAsia="Arial" w:hAnsi="Arial"/>
          <w:sz w:val="17"/>
          <w:szCs w:val="17"/>
          <w:color w:val="auto"/>
        </w:rPr>
        <w:t>In June 2021, the Company completed its IPO, selling an aggregate of 11,500,000 shares of common stock</w:t>
      </w:r>
      <w:r>
        <w:rPr>
          <w:rFonts w:ascii="Arial" w:cs="Arial" w:eastAsia="Arial" w:hAnsi="Arial"/>
          <w:sz w:val="17"/>
          <w:szCs w:val="17"/>
          <w:color w:val="0E0E0E"/>
        </w:rPr>
        <w:t>. All outstanding redeemable</w:t>
      </w:r>
      <w:r>
        <w:rPr>
          <w:rFonts w:ascii="Arial" w:cs="Arial" w:eastAsia="Arial" w:hAnsi="Arial"/>
          <w:sz w:val="17"/>
          <w:szCs w:val="17"/>
          <w:color w:val="auto"/>
        </w:rPr>
        <w:t xml:space="preserve"> </w:t>
      </w:r>
      <w:r>
        <w:rPr>
          <w:rFonts w:ascii="Arial" w:cs="Arial" w:eastAsia="Arial" w:hAnsi="Arial"/>
          <w:sz w:val="17"/>
          <w:szCs w:val="17"/>
          <w:color w:val="0E0E0E"/>
        </w:rPr>
        <w:t>convertible preferred shares were converted into 32,489,398 shares of common stock upon the completion of the IPO, June 1, 2021. As of September 30, 2021, the Company did not have any outstanding shares of redeemable convertible preferred shares.</w:t>
      </w:r>
    </w:p>
    <w:p>
      <w:pPr>
        <w:spacing w:after="0" w:line="178" w:lineRule="exact"/>
        <w:rPr>
          <w:sz w:val="20"/>
          <w:szCs w:val="20"/>
          <w:color w:val="auto"/>
        </w:rPr>
      </w:pPr>
    </w:p>
    <w:p>
      <w:pPr>
        <w:ind w:left="512" w:right="160" w:firstLine="509"/>
        <w:spacing w:after="0" w:line="293" w:lineRule="auto"/>
        <w:rPr>
          <w:sz w:val="20"/>
          <w:szCs w:val="20"/>
          <w:color w:val="auto"/>
        </w:rPr>
      </w:pPr>
      <w:r>
        <w:rPr>
          <w:rFonts w:ascii="Arial" w:cs="Arial" w:eastAsia="Arial" w:hAnsi="Arial"/>
          <w:sz w:val="18"/>
          <w:szCs w:val="18"/>
          <w:color w:val="auto"/>
        </w:rPr>
        <w:t>In February 2021, the Company issued 9,638,141 Series B redeemable convertible preferred shares at a price of $13.488 per share for gross cash proceeds of $130.0 million. The Company incurred issuance costs of $243,000.</w:t>
      </w:r>
    </w:p>
    <w:p>
      <w:pPr>
        <w:spacing w:after="0" w:line="200" w:lineRule="exact"/>
        <w:rPr>
          <w:sz w:val="20"/>
          <w:szCs w:val="20"/>
          <w:color w:val="auto"/>
        </w:rPr>
      </w:pPr>
    </w:p>
    <w:p>
      <w:pPr>
        <w:spacing w:after="0" w:line="213" w:lineRule="exact"/>
        <w:rPr>
          <w:sz w:val="20"/>
          <w:szCs w:val="20"/>
          <w:color w:val="auto"/>
        </w:rPr>
      </w:pPr>
    </w:p>
    <w:p>
      <w:pPr>
        <w:ind w:left="512" w:right="60" w:firstLine="509"/>
        <w:spacing w:after="0" w:line="266" w:lineRule="auto"/>
        <w:rPr>
          <w:sz w:val="20"/>
          <w:szCs w:val="20"/>
          <w:color w:val="auto"/>
        </w:rPr>
      </w:pPr>
      <w:r>
        <w:rPr>
          <w:rFonts w:ascii="Arial" w:cs="Arial" w:eastAsia="Arial" w:hAnsi="Arial"/>
          <w:sz w:val="18"/>
          <w:szCs w:val="18"/>
          <w:color w:val="auto"/>
        </w:rPr>
        <w:t>In December 2019, the Company issued 10,348,507 Series A redeemable convertible preferred shares at a price of $2.899 per share for gross cash proceeds of $30.0 million and issued 2,154,245 shares upon the conversion of the outstanding convertible note and accrued interest of $2.1 million. The Company incurred issuance costs of $95,000.</w:t>
      </w:r>
    </w:p>
    <w:p>
      <w:pPr>
        <w:sectPr>
          <w:pgSz w:w="11900" w:h="16838" w:orient="portrait"/>
          <w:cols w:equalWidth="0" w:num="1">
            <w:col w:w="11232"/>
          </w:cols>
          <w:pgMar w:left="328" w:top="135" w:right="339" w:bottom="1440" w:gutter="0" w:footer="0" w:header="0"/>
        </w:sectPr>
      </w:pPr>
    </w:p>
    <w:p>
      <w:pPr>
        <w:spacing w:after="0" w:line="1"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76200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5"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0" w:right="60" w:firstLine="509"/>
        <w:spacing w:after="0" w:line="271" w:lineRule="auto"/>
        <w:rPr>
          <w:sz w:val="20"/>
          <w:szCs w:val="20"/>
          <w:color w:val="auto"/>
        </w:rPr>
      </w:pPr>
      <w:r>
        <w:rPr>
          <w:rFonts w:ascii="Arial" w:cs="Arial" w:eastAsia="Arial" w:hAnsi="Arial"/>
          <w:sz w:val="18"/>
          <w:szCs w:val="18"/>
          <w:color w:val="auto"/>
        </w:rPr>
        <w:t>In connection with the initial issuance of the Series A redeemable convertible preferred shares, the Company had an obligation to sell an additional 10,348,505 Series A shares at $2.899 per share upon achievement of certain milestones in two tranche. The Company determined that the obligation to sell additional shares is a freestanding financing instrument and a liability. The Company estimated the fair value of the liability to be $1.5 million and recorded it as a reduction to redeemable convertible preferred shares and as a derivative tranche liability in its condensed consolidated balance sheet at the issuance date in December 2019. For the three months ended March 31, 2020, the Company remeasured the derivative tranche liability by $0.2 million.</w:t>
      </w:r>
    </w:p>
    <w:p>
      <w:pPr>
        <w:spacing w:after="0" w:line="200" w:lineRule="exact"/>
        <w:rPr>
          <w:sz w:val="20"/>
          <w:szCs w:val="20"/>
          <w:color w:val="auto"/>
        </w:rPr>
      </w:pPr>
    </w:p>
    <w:p>
      <w:pPr>
        <w:spacing w:after="0" w:line="234" w:lineRule="exact"/>
        <w:rPr>
          <w:sz w:val="20"/>
          <w:szCs w:val="20"/>
          <w:color w:val="auto"/>
        </w:rPr>
      </w:pPr>
    </w:p>
    <w:p>
      <w:pPr>
        <w:ind w:left="520" w:right="240" w:firstLine="509"/>
        <w:spacing w:after="0" w:line="279" w:lineRule="auto"/>
        <w:rPr>
          <w:sz w:val="20"/>
          <w:szCs w:val="20"/>
          <w:color w:val="auto"/>
        </w:rPr>
      </w:pPr>
      <w:r>
        <w:rPr>
          <w:rFonts w:ascii="Arial" w:cs="Arial" w:eastAsia="Arial" w:hAnsi="Arial"/>
          <w:sz w:val="18"/>
          <w:szCs w:val="18"/>
          <w:color w:val="auto"/>
        </w:rPr>
        <w:t>In November and December 2020, the Board approved the settlement of tranche and the Company issued 10,348,505 shares for gross cash proceeds of $30.0 million. The Company incurred issuance costs of $22,000. As of December 31, 2020, no derivative tranche liabilities were outstanding.</w:t>
      </w:r>
    </w:p>
    <w:p>
      <w:pPr>
        <w:spacing w:after="0" w:line="196"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authorized, issued, and outstanding Series A redeemable convertible preferred shares as of December 31, 2020 were as follows:</w:t>
      </w: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42"/>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79"/>
        </w:trPr>
        <w:tc>
          <w:tcPr>
            <w:tcW w:w="5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5720" w:type="dxa"/>
            <w:vAlign w:val="bottom"/>
          </w:tcPr>
          <w:p>
            <w:pPr>
              <w:spacing w:after="0"/>
              <w:rPr>
                <w:sz w:val="15"/>
                <w:szCs w:val="15"/>
                <w:color w:val="auto"/>
              </w:rPr>
            </w:pPr>
          </w:p>
        </w:tc>
        <w:tc>
          <w:tcPr>
            <w:tcW w:w="1200" w:type="dxa"/>
            <w:vAlign w:val="bottom"/>
          </w:tcPr>
          <w:p>
            <w:pPr>
              <w:ind w:left="40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Issued and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102"/>
              <w:spacing w:after="0"/>
              <w:rPr>
                <w:sz w:val="20"/>
                <w:szCs w:val="20"/>
                <w:color w:val="auto"/>
              </w:rPr>
            </w:pPr>
            <w:r>
              <w:rPr>
                <w:rFonts w:ascii="Arial" w:cs="Arial" w:eastAsia="Arial" w:hAnsi="Arial"/>
                <w:sz w:val="14"/>
                <w:szCs w:val="14"/>
                <w:b w:val="1"/>
                <w:bCs w:val="1"/>
                <w:color w:val="auto"/>
                <w:w w:val="95"/>
              </w:rPr>
              <w:t>Liquidation</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142"/>
              <w:spacing w:after="0"/>
              <w:rPr>
                <w:sz w:val="20"/>
                <w:szCs w:val="20"/>
                <w:color w:val="auto"/>
              </w:rPr>
            </w:pPr>
            <w:r>
              <w:rPr>
                <w:rFonts w:ascii="Arial" w:cs="Arial" w:eastAsia="Arial" w:hAnsi="Arial"/>
                <w:sz w:val="14"/>
                <w:szCs w:val="14"/>
                <w:b w:val="1"/>
                <w:bCs w:val="1"/>
                <w:color w:val="auto"/>
                <w:w w:val="97"/>
              </w:rPr>
              <w:t>Carrying</w:t>
            </w:r>
          </w:p>
        </w:tc>
      </w:tr>
      <w:tr>
        <w:trPr>
          <w:trHeight w:val="192"/>
        </w:trPr>
        <w:tc>
          <w:tcPr>
            <w:tcW w:w="5720" w:type="dxa"/>
            <w:vAlign w:val="bottom"/>
          </w:tcPr>
          <w:p>
            <w:pPr>
              <w:spacing w:after="0"/>
              <w:rPr>
                <w:sz w:val="16"/>
                <w:szCs w:val="16"/>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Authorized</w:t>
            </w:r>
          </w:p>
        </w:tc>
        <w:tc>
          <w:tcPr>
            <w:tcW w:w="24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0"/>
              </w:rPr>
              <w:t>Value</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Series A redeemable convertible preferred shares</w:t>
            </w:r>
          </w:p>
        </w:tc>
        <w:tc>
          <w:tcPr>
            <w:tcW w:w="1200" w:type="dxa"/>
            <w:vAlign w:val="bottom"/>
          </w:tcPr>
          <w:p>
            <w:pPr>
              <w:ind w:left="380"/>
              <w:spacing w:after="0"/>
              <w:rPr>
                <w:sz w:val="20"/>
                <w:szCs w:val="20"/>
                <w:color w:val="auto"/>
              </w:rPr>
            </w:pPr>
            <w:r>
              <w:rPr>
                <w:rFonts w:ascii="Arial" w:cs="Arial" w:eastAsia="Arial" w:hAnsi="Arial"/>
                <w:sz w:val="18"/>
                <w:szCs w:val="18"/>
                <w:color w:val="auto"/>
                <w:w w:val="88"/>
              </w:rPr>
              <w:t>22,851,257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22,851,257</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66,245,059</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91,964,055</w:t>
            </w:r>
          </w:p>
        </w:tc>
      </w:tr>
    </w:tbl>
    <w:p>
      <w:pPr>
        <w:spacing w:after="0" w:line="387"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35"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Upon completion of the IPO, the Company is authorized to issue 500.0 million shares of common stock at a par value $0.0001. As of September 30, 2021, 61,928,939 shares of common stock were issued and outstanding.</w:t>
      </w:r>
    </w:p>
    <w:p>
      <w:pPr>
        <w:spacing w:after="0" w:line="62" w:lineRule="exact"/>
        <w:rPr>
          <w:sz w:val="20"/>
          <w:szCs w:val="20"/>
          <w:color w:val="auto"/>
        </w:rPr>
      </w:pPr>
    </w:p>
    <w:p>
      <w:pPr>
        <w:ind w:right="100" w:firstLine="509"/>
        <w:spacing w:after="0" w:line="303" w:lineRule="auto"/>
        <w:rPr>
          <w:sz w:val="20"/>
          <w:szCs w:val="20"/>
          <w:color w:val="auto"/>
        </w:rPr>
      </w:pPr>
      <w:r>
        <w:rPr>
          <w:rFonts w:ascii="Arial" w:cs="Arial" w:eastAsia="Arial" w:hAnsi="Arial"/>
          <w:sz w:val="17"/>
          <w:szCs w:val="17"/>
          <w:color w:val="auto"/>
        </w:rPr>
        <w:t>As of December 31, 2020, the Company was authorized to issue 28,887,127 common shares. Common shares’ holders are entitled to vote and elect one Board member. As of December 31, 2020, the Company had 6,035,869 issued and outstanding common shares. As of December 31, 2020, the Company reserved 22,851,257 shares upon conversion of redeemable convertible preferred shares into common shares, respectively.</w:t>
      </w:r>
    </w:p>
    <w:p>
      <w:pPr>
        <w:spacing w:after="0" w:line="164"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In November 2018, the Company entered into common shares purchase agreements with two founders of the Company. The individuals purchased a total of 2,790,000 common shares for a total purchase price of $300. Shares vest monthly for two and four years, respectively. Vesting for a certain number of shares was accelerated upon the Company’s closing of its Series A redeemable convertible preferred share financing. The Company also has an option for a period of ninety days after the individual’s employment is terminated either voluntarily or involuntarily to repurchase the unvested common shares at a price that is the lower of the original price per share paid by the founder for such stock or the fair value as of the date of such repurchase. As of December 31, 2020, there were 193,766 shares unvested. The founders’ shares were converted to common stock in the Conversion. As of September 30, 2021, all founders’ common stock were vested.</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reserved shares of common stock for future issuances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860" w:type="dxa"/>
            <w:vAlign w:val="bottom"/>
          </w:tcPr>
          <w:p>
            <w:pPr>
              <w:spacing w:after="0"/>
              <w:rPr>
                <w:sz w:val="15"/>
                <w:szCs w:val="15"/>
                <w:color w:val="auto"/>
              </w:rPr>
            </w:pPr>
          </w:p>
        </w:tc>
        <w:tc>
          <w:tcPr>
            <w:tcW w:w="2300" w:type="dxa"/>
            <w:vAlign w:val="bottom"/>
          </w:tcPr>
          <w:p>
            <w:pPr>
              <w:jc w:val="right"/>
              <w:ind w:right="615"/>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r>
      <w:tr>
        <w:trPr>
          <w:trHeight w:val="192"/>
        </w:trPr>
        <w:tc>
          <w:tcPr>
            <w:tcW w:w="8860" w:type="dxa"/>
            <w:vAlign w:val="bottom"/>
          </w:tcPr>
          <w:p>
            <w:pPr>
              <w:spacing w:after="0"/>
              <w:rPr>
                <w:sz w:val="16"/>
                <w:szCs w:val="16"/>
                <w:color w:val="auto"/>
              </w:rPr>
            </w:pPr>
          </w:p>
        </w:tc>
        <w:tc>
          <w:tcPr>
            <w:tcW w:w="2300" w:type="dxa"/>
            <w:vAlign w:val="bottom"/>
            <w:tcBorders>
              <w:bottom w:val="single" w:sz="8" w:color="auto"/>
            </w:tcBorders>
          </w:tcPr>
          <w:p>
            <w:pPr>
              <w:jc w:val="right"/>
              <w:ind w:right="91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49"/>
        </w:trPr>
        <w:tc>
          <w:tcPr>
            <w:tcW w:w="8860" w:type="dxa"/>
            <w:vAlign w:val="bottom"/>
          </w:tcPr>
          <w:p>
            <w:pPr>
              <w:ind w:left="20"/>
              <w:spacing w:after="0"/>
              <w:rPr>
                <w:sz w:val="20"/>
                <w:szCs w:val="20"/>
                <w:color w:val="auto"/>
              </w:rPr>
            </w:pPr>
            <w:r>
              <w:rPr>
                <w:rFonts w:ascii="Arial" w:cs="Arial" w:eastAsia="Arial" w:hAnsi="Arial"/>
                <w:sz w:val="18"/>
                <w:szCs w:val="18"/>
                <w:color w:val="auto"/>
              </w:rPr>
              <w:t>Common stock options issued and outstanding</w:t>
            </w:r>
          </w:p>
        </w:tc>
        <w:tc>
          <w:tcPr>
            <w:tcW w:w="2300" w:type="dxa"/>
            <w:vAlign w:val="bottom"/>
          </w:tcPr>
          <w:p>
            <w:pPr>
              <w:jc w:val="right"/>
              <w:spacing w:after="0"/>
              <w:rPr>
                <w:sz w:val="20"/>
                <w:szCs w:val="20"/>
                <w:color w:val="auto"/>
              </w:rPr>
            </w:pPr>
            <w:r>
              <w:rPr>
                <w:rFonts w:ascii="Arial" w:cs="Arial" w:eastAsia="Arial" w:hAnsi="Arial"/>
                <w:sz w:val="18"/>
                <w:szCs w:val="18"/>
                <w:color w:val="auto"/>
              </w:rPr>
              <w:t>4,888,996</w:t>
            </w:r>
          </w:p>
        </w:tc>
        <w:tc>
          <w:tcPr>
            <w:tcW w:w="80" w:type="dxa"/>
            <w:vAlign w:val="bottom"/>
          </w:tcPr>
          <w:p>
            <w:pPr>
              <w:spacing w:after="0"/>
              <w:rPr>
                <w:sz w:val="21"/>
                <w:szCs w:val="21"/>
                <w:color w:val="auto"/>
              </w:rPr>
            </w:pPr>
          </w:p>
        </w:tc>
      </w:tr>
      <w:tr>
        <w:trPr>
          <w:trHeight w:val="263"/>
        </w:trPr>
        <w:tc>
          <w:tcPr>
            <w:tcW w:w="8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units issued and outstanding</w:t>
            </w:r>
          </w:p>
        </w:tc>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66,420</w:t>
            </w:r>
          </w:p>
        </w:tc>
        <w:tc>
          <w:tcPr>
            <w:tcW w:w="80" w:type="dxa"/>
            <w:vAlign w:val="bottom"/>
            <w:shd w:val="clear" w:color="auto" w:fill="CFF0FC"/>
          </w:tcPr>
          <w:p>
            <w:pPr>
              <w:spacing w:after="0"/>
              <w:rPr>
                <w:sz w:val="22"/>
                <w:szCs w:val="22"/>
                <w:color w:val="auto"/>
              </w:rPr>
            </w:pPr>
          </w:p>
        </w:tc>
      </w:tr>
      <w:tr>
        <w:trPr>
          <w:trHeight w:val="250"/>
        </w:trPr>
        <w:tc>
          <w:tcPr>
            <w:tcW w:w="8860" w:type="dxa"/>
            <w:vAlign w:val="bottom"/>
          </w:tcPr>
          <w:p>
            <w:pPr>
              <w:ind w:left="20"/>
              <w:spacing w:after="0"/>
              <w:rPr>
                <w:sz w:val="20"/>
                <w:szCs w:val="20"/>
                <w:color w:val="auto"/>
              </w:rPr>
            </w:pPr>
            <w:r>
              <w:rPr>
                <w:rFonts w:ascii="Arial" w:cs="Arial" w:eastAsia="Arial" w:hAnsi="Arial"/>
                <w:sz w:val="18"/>
                <w:szCs w:val="18"/>
                <w:color w:val="auto"/>
              </w:rPr>
              <w:t>Common stock available for future grants</w:t>
            </w:r>
          </w:p>
        </w:tc>
        <w:tc>
          <w:tcPr>
            <w:tcW w:w="2300" w:type="dxa"/>
            <w:vAlign w:val="bottom"/>
          </w:tcPr>
          <w:p>
            <w:pPr>
              <w:jc w:val="right"/>
              <w:spacing w:after="0"/>
              <w:rPr>
                <w:sz w:val="20"/>
                <w:szCs w:val="20"/>
                <w:color w:val="auto"/>
              </w:rPr>
            </w:pPr>
            <w:r>
              <w:rPr>
                <w:rFonts w:ascii="Arial" w:cs="Arial" w:eastAsia="Arial" w:hAnsi="Arial"/>
                <w:sz w:val="18"/>
                <w:szCs w:val="18"/>
                <w:color w:val="auto"/>
              </w:rPr>
              <w:t>1,413,584</w:t>
            </w:r>
          </w:p>
        </w:tc>
        <w:tc>
          <w:tcPr>
            <w:tcW w:w="80" w:type="dxa"/>
            <w:vAlign w:val="bottom"/>
          </w:tcPr>
          <w:p>
            <w:pPr>
              <w:spacing w:after="0"/>
              <w:rPr>
                <w:sz w:val="21"/>
                <w:szCs w:val="21"/>
                <w:color w:val="auto"/>
              </w:rPr>
            </w:pPr>
          </w:p>
        </w:tc>
      </w:tr>
      <w:tr>
        <w:trPr>
          <w:trHeight w:val="257"/>
        </w:trPr>
        <w:tc>
          <w:tcPr>
            <w:tcW w:w="8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Common stock available for ESPP</w:t>
            </w:r>
          </w:p>
        </w:tc>
        <w:tc>
          <w:tcPr>
            <w:tcW w:w="2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603,000</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8860" w:type="dxa"/>
            <w:vAlign w:val="bottom"/>
          </w:tcPr>
          <w:p>
            <w:pPr>
              <w:ind w:left="20"/>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6,972,000</w:t>
            </w:r>
          </w:p>
        </w:tc>
        <w:tc>
          <w:tcPr>
            <w:tcW w:w="80" w:type="dxa"/>
            <w:vAlign w:val="bottom"/>
          </w:tcPr>
          <w:p>
            <w:pPr>
              <w:spacing w:after="0"/>
              <w:rPr>
                <w:sz w:val="21"/>
                <w:szCs w:val="21"/>
                <w:color w:val="auto"/>
              </w:rPr>
            </w:pPr>
          </w:p>
        </w:tc>
      </w:tr>
      <w:tr>
        <w:trPr>
          <w:trHeight w:val="20"/>
        </w:trPr>
        <w:tc>
          <w:tcPr>
            <w:tcW w:w="886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-193675</wp:posOffset>
            </wp:positionV>
            <wp:extent cx="5143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353"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SHARES AND SHARE/STOCK-BASED COMPENSATION</w:t>
      </w:r>
    </w:p>
    <w:p>
      <w:pPr>
        <w:spacing w:after="0" w:line="135" w:lineRule="exact"/>
        <w:rPr>
          <w:sz w:val="20"/>
          <w:szCs w:val="20"/>
          <w:color w:val="auto"/>
        </w:rPr>
      </w:pPr>
    </w:p>
    <w:p>
      <w:pPr>
        <w:ind w:left="520" w:right="100" w:firstLine="509"/>
        <w:spacing w:after="0" w:line="266" w:lineRule="auto"/>
        <w:rPr>
          <w:sz w:val="20"/>
          <w:szCs w:val="20"/>
          <w:color w:val="auto"/>
        </w:rPr>
      </w:pPr>
      <w:r>
        <w:rPr>
          <w:rFonts w:ascii="Arial" w:cs="Arial" w:eastAsia="Arial" w:hAnsi="Arial"/>
          <w:sz w:val="18"/>
          <w:szCs w:val="18"/>
          <w:color w:val="auto"/>
        </w:rPr>
        <w:t>Prior to the Conversion, Day One Holding LLC granted incentive shares under the Incentive Share Plan and was authorized to issue 8,924,177 incentive shares. Incentive shares were a separate non-voting class of shares that participate in distributions only after incentive shares vest, unless it is approved by the Board and include at least two of the preferred members, and a participation threshold is met. The incentive shares represented profits interests in Day One Holding LLC, which is an interest in the increase in the Company’s value over the participation threshold, as defined in the Operating</w:t>
      </w:r>
    </w:p>
    <w:p>
      <w:pPr>
        <w:sectPr>
          <w:pgSz w:w="11900" w:h="16838" w:orient="portrait"/>
          <w:cols w:equalWidth="0" w:num="1">
            <w:col w:w="11240"/>
          </w:cols>
          <w:pgMar w:left="320" w:top="135" w:right="339" w:bottom="1440" w:gutter="0" w:footer="0" w:header="0"/>
        </w:sectPr>
      </w:pP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35" w:lineRule="exact"/>
        <w:rPr>
          <w:sz w:val="20"/>
          <w:szCs w:val="20"/>
          <w:color w:val="auto"/>
        </w:rPr>
      </w:pPr>
    </w:p>
    <w:p>
      <w:pPr>
        <w:ind w:left="520" w:right="60"/>
        <w:spacing w:after="0" w:line="359" w:lineRule="auto"/>
        <w:rPr>
          <w:sz w:val="20"/>
          <w:szCs w:val="20"/>
          <w:color w:val="auto"/>
        </w:rPr>
      </w:pPr>
      <w:r>
        <w:rPr>
          <w:rFonts w:ascii="Arial" w:cs="Arial" w:eastAsia="Arial" w:hAnsi="Arial"/>
          <w:sz w:val="16"/>
          <w:szCs w:val="16"/>
          <w:color w:val="auto"/>
        </w:rPr>
        <w:t>Agreement and as determined at the time of grant. A holder of incentive share had the right to participate in distributions of profits only in excess of the participation threshold. The participation threshold was based on the valuation of the Company’s common shares on or around the grant date.</w:t>
      </w:r>
    </w:p>
    <w:p>
      <w:pPr>
        <w:spacing w:after="0" w:line="17" w:lineRule="exact"/>
        <w:rPr>
          <w:sz w:val="20"/>
          <w:szCs w:val="20"/>
          <w:color w:val="auto"/>
        </w:rPr>
      </w:pPr>
    </w:p>
    <w:p>
      <w:pPr>
        <w:ind w:left="520" w:right="120" w:firstLine="509"/>
        <w:spacing w:after="0" w:line="275" w:lineRule="auto"/>
        <w:rPr>
          <w:sz w:val="20"/>
          <w:szCs w:val="20"/>
          <w:color w:val="auto"/>
        </w:rPr>
      </w:pPr>
      <w:r>
        <w:rPr>
          <w:rFonts w:ascii="Arial" w:cs="Arial" w:eastAsia="Arial" w:hAnsi="Arial"/>
          <w:sz w:val="18"/>
          <w:szCs w:val="18"/>
          <w:color w:val="auto"/>
        </w:rPr>
        <w:t>Day One Holding LLC granted incentive shares to employees and non-employees, which generally vested over a four-year period with cliff vesting for the first year. The Board approved vesting terms and conditions of each award and could accelerate vesting of incentive shares on an award-by-award basis. Vesting of incentive shares would be accelerated for all unvested shares upon a termination of services without cause within 12 months after the consummation of a change of control transaction.</w:t>
      </w:r>
    </w:p>
    <w:p>
      <w:pPr>
        <w:spacing w:after="0" w:line="7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fair value of the incentive shares was estimated using an option pricing model with the following assumptions: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580" w:type="dxa"/>
            <w:vAlign w:val="bottom"/>
          </w:tcPr>
          <w:p>
            <w:pPr>
              <w:spacing w:after="0"/>
              <w:rPr>
                <w:sz w:val="15"/>
                <w:szCs w:val="15"/>
                <w:color w:val="auto"/>
              </w:rPr>
            </w:pPr>
          </w:p>
        </w:tc>
        <w:tc>
          <w:tcPr>
            <w:tcW w:w="3040" w:type="dxa"/>
            <w:vAlign w:val="bottom"/>
            <w:gridSpan w:val="3"/>
          </w:tcPr>
          <w:p>
            <w:pPr>
              <w:jc w:val="center"/>
              <w:ind w:left="1296"/>
              <w:spacing w:after="0"/>
              <w:rPr>
                <w:sz w:val="20"/>
                <w:szCs w:val="20"/>
                <w:color w:val="auto"/>
              </w:rPr>
            </w:pPr>
            <w:r>
              <w:rPr>
                <w:rFonts w:ascii="Arial" w:cs="Arial" w:eastAsia="Arial" w:hAnsi="Arial"/>
                <w:sz w:val="14"/>
                <w:szCs w:val="14"/>
                <w:b w:val="1"/>
                <w:bCs w:val="1"/>
                <w:color w:val="auto"/>
                <w:w w:val="93"/>
              </w:rPr>
              <w:t>Nine Months Ended</w:t>
            </w: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5580" w:type="dxa"/>
            <w:vAlign w:val="bottom"/>
          </w:tcPr>
          <w:p>
            <w:pPr>
              <w:spacing w:after="0"/>
              <w:rPr>
                <w:sz w:val="16"/>
                <w:szCs w:val="16"/>
                <w:color w:val="auto"/>
              </w:rPr>
            </w:pPr>
          </w:p>
        </w:tc>
        <w:tc>
          <w:tcPr>
            <w:tcW w:w="3040" w:type="dxa"/>
            <w:vAlign w:val="bottom"/>
            <w:tcBorders>
              <w:bottom w:val="single" w:sz="8" w:color="auto"/>
            </w:tcBorders>
            <w:gridSpan w:val="3"/>
          </w:tcPr>
          <w:p>
            <w:pPr>
              <w:jc w:val="center"/>
              <w:ind w:left="1316"/>
              <w:spacing w:after="0"/>
              <w:rPr>
                <w:sz w:val="20"/>
                <w:szCs w:val="20"/>
                <w:color w:val="auto"/>
              </w:rPr>
            </w:pPr>
            <w:r>
              <w:rPr>
                <w:rFonts w:ascii="Arial" w:cs="Arial" w:eastAsia="Arial" w:hAnsi="Arial"/>
                <w:sz w:val="14"/>
                <w:szCs w:val="14"/>
                <w:b w:val="1"/>
                <w:bCs w:val="1"/>
                <w:color w:val="auto"/>
                <w:w w:val="91"/>
              </w:rPr>
              <w:t>September 30,</w:t>
            </w:r>
          </w:p>
        </w:tc>
        <w:tc>
          <w:tcPr>
            <w:tcW w:w="1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5580" w:type="dxa"/>
            <w:vAlign w:val="bottom"/>
          </w:tcPr>
          <w:p>
            <w:pPr>
              <w:spacing w:after="0"/>
              <w:rPr>
                <w:sz w:val="17"/>
                <w:szCs w:val="17"/>
                <w:color w:val="auto"/>
              </w:rPr>
            </w:pPr>
          </w:p>
        </w:tc>
        <w:tc>
          <w:tcPr>
            <w:tcW w:w="194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Common share fair value</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$ 6.36 - 8.89</w:t>
            </w:r>
          </w:p>
        </w:tc>
        <w:tc>
          <w:tcPr>
            <w:tcW w:w="42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$ 0.81 - 0.89</w:t>
            </w:r>
          </w:p>
        </w:tc>
        <w:tc>
          <w:tcPr>
            <w:tcW w:w="80" w:type="dxa"/>
            <w:vAlign w:val="bottom"/>
            <w:shd w:val="clear" w:color="auto" w:fill="CFF0FC"/>
          </w:tcPr>
          <w:p>
            <w:pPr>
              <w:spacing w:after="0"/>
              <w:rPr>
                <w:sz w:val="22"/>
                <w:szCs w:val="22"/>
                <w:color w:val="auto"/>
              </w:rPr>
            </w:pPr>
          </w:p>
        </w:tc>
      </w:tr>
      <w:tr>
        <w:trPr>
          <w:trHeight w:val="250"/>
        </w:trPr>
        <w:tc>
          <w:tcPr>
            <w:tcW w:w="5580" w:type="dxa"/>
            <w:vAlign w:val="bottom"/>
          </w:tcPr>
          <w:p>
            <w:pPr>
              <w:spacing w:after="0"/>
              <w:rPr>
                <w:sz w:val="20"/>
                <w:szCs w:val="20"/>
                <w:color w:val="auto"/>
              </w:rPr>
            </w:pPr>
            <w:r>
              <w:rPr>
                <w:rFonts w:ascii="Arial" w:cs="Arial" w:eastAsia="Arial" w:hAnsi="Arial"/>
                <w:sz w:val="18"/>
                <w:szCs w:val="18"/>
                <w:color w:val="auto"/>
              </w:rPr>
              <w:t>Participating threshold</w:t>
            </w:r>
          </w:p>
        </w:tc>
        <w:tc>
          <w:tcPr>
            <w:tcW w:w="1940" w:type="dxa"/>
            <w:vAlign w:val="bottom"/>
          </w:tcPr>
          <w:p>
            <w:pPr>
              <w:jc w:val="right"/>
              <w:spacing w:after="0"/>
              <w:rPr>
                <w:sz w:val="20"/>
                <w:szCs w:val="20"/>
                <w:color w:val="auto"/>
              </w:rPr>
            </w:pPr>
            <w:r>
              <w:rPr>
                <w:rFonts w:ascii="Arial" w:cs="Arial" w:eastAsia="Arial" w:hAnsi="Arial"/>
                <w:sz w:val="18"/>
                <w:szCs w:val="18"/>
                <w:color w:val="auto"/>
              </w:rPr>
              <w:t>$ 6.36 - 7.51</w:t>
            </w:r>
          </w:p>
        </w:tc>
        <w:tc>
          <w:tcPr>
            <w:tcW w:w="42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0.27</w:t>
            </w:r>
          </w:p>
        </w:tc>
        <w:tc>
          <w:tcPr>
            <w:tcW w:w="80" w:type="dxa"/>
            <w:vAlign w:val="bottom"/>
          </w:tcPr>
          <w:p>
            <w:pPr>
              <w:spacing w:after="0"/>
              <w:rPr>
                <w:sz w:val="21"/>
                <w:szCs w:val="21"/>
                <w:color w:val="auto"/>
              </w:rPr>
            </w:pPr>
          </w:p>
        </w:tc>
      </w:tr>
      <w:tr>
        <w:trPr>
          <w:trHeight w:val="263"/>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Risk free rate</w:t>
            </w:r>
          </w:p>
        </w:tc>
        <w:tc>
          <w:tcPr>
            <w:tcW w:w="2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0.14 %</w:t>
            </w:r>
          </w:p>
        </w:tc>
        <w:tc>
          <w:tcPr>
            <w:tcW w:w="68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0.18 - 0.3%</w:t>
            </w:r>
          </w:p>
        </w:tc>
        <w:tc>
          <w:tcPr>
            <w:tcW w:w="80" w:type="dxa"/>
            <w:vAlign w:val="bottom"/>
            <w:shd w:val="clear" w:color="auto" w:fill="CFF0FC"/>
          </w:tcPr>
          <w:p>
            <w:pPr>
              <w:spacing w:after="0"/>
              <w:rPr>
                <w:sz w:val="22"/>
                <w:szCs w:val="22"/>
                <w:color w:val="auto"/>
              </w:rPr>
            </w:pPr>
          </w:p>
        </w:tc>
      </w:tr>
      <w:tr>
        <w:trPr>
          <w:trHeight w:val="250"/>
        </w:trPr>
        <w:tc>
          <w:tcPr>
            <w:tcW w:w="5580" w:type="dxa"/>
            <w:vAlign w:val="bottom"/>
          </w:tcPr>
          <w:p>
            <w:pPr>
              <w:spacing w:after="0"/>
              <w:rPr>
                <w:sz w:val="20"/>
                <w:szCs w:val="20"/>
                <w:color w:val="auto"/>
              </w:rPr>
            </w:pPr>
            <w:r>
              <w:rPr>
                <w:rFonts w:ascii="Arial" w:cs="Arial" w:eastAsia="Arial" w:hAnsi="Arial"/>
                <w:sz w:val="18"/>
                <w:szCs w:val="18"/>
                <w:color w:val="auto"/>
              </w:rPr>
              <w:t>Volatility</w:t>
            </w:r>
          </w:p>
        </w:tc>
        <w:tc>
          <w:tcPr>
            <w:tcW w:w="2360" w:type="dxa"/>
            <w:vAlign w:val="bottom"/>
            <w:gridSpan w:val="2"/>
          </w:tcPr>
          <w:p>
            <w:pPr>
              <w:jc w:val="right"/>
              <w:ind w:right="260"/>
              <w:spacing w:after="0"/>
              <w:rPr>
                <w:sz w:val="20"/>
                <w:szCs w:val="20"/>
                <w:color w:val="auto"/>
              </w:rPr>
            </w:pPr>
            <w:r>
              <w:rPr>
                <w:rFonts w:ascii="Arial" w:cs="Arial" w:eastAsia="Arial" w:hAnsi="Arial"/>
                <w:sz w:val="18"/>
                <w:szCs w:val="18"/>
                <w:color w:val="auto"/>
              </w:rPr>
              <w:t>72.90 %</w:t>
            </w:r>
          </w:p>
        </w:tc>
        <w:tc>
          <w:tcPr>
            <w:tcW w:w="6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78 - 80%</w:t>
            </w:r>
          </w:p>
        </w:tc>
        <w:tc>
          <w:tcPr>
            <w:tcW w:w="80" w:type="dxa"/>
            <w:vAlign w:val="bottom"/>
          </w:tcPr>
          <w:p>
            <w:pPr>
              <w:spacing w:after="0"/>
              <w:rPr>
                <w:sz w:val="21"/>
                <w:szCs w:val="21"/>
                <w:color w:val="auto"/>
              </w:rPr>
            </w:pPr>
          </w:p>
        </w:tc>
      </w:tr>
      <w:tr>
        <w:trPr>
          <w:trHeight w:val="263"/>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Time to liquidity (in years)</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0.20 - 1.80</w:t>
            </w:r>
          </w:p>
        </w:tc>
        <w:tc>
          <w:tcPr>
            <w:tcW w:w="42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3.03 - 3.30</w:t>
            </w:r>
          </w:p>
        </w:tc>
        <w:tc>
          <w:tcPr>
            <w:tcW w:w="80" w:type="dxa"/>
            <w:vAlign w:val="bottom"/>
            <w:shd w:val="clear" w:color="auto" w:fill="CFF0FC"/>
          </w:tcPr>
          <w:p>
            <w:pPr>
              <w:spacing w:after="0"/>
              <w:rPr>
                <w:sz w:val="22"/>
                <w:szCs w:val="22"/>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Grant date fair value</w:t>
            </w:r>
          </w:p>
        </w:tc>
        <w:tc>
          <w:tcPr>
            <w:tcW w:w="1940" w:type="dxa"/>
            <w:vAlign w:val="bottom"/>
          </w:tcPr>
          <w:p>
            <w:pPr>
              <w:jc w:val="right"/>
              <w:spacing w:after="0"/>
              <w:rPr>
                <w:sz w:val="20"/>
                <w:szCs w:val="20"/>
                <w:color w:val="auto"/>
              </w:rPr>
            </w:pPr>
            <w:r>
              <w:rPr>
                <w:rFonts w:ascii="Arial" w:cs="Arial" w:eastAsia="Arial" w:hAnsi="Arial"/>
                <w:sz w:val="18"/>
                <w:szCs w:val="18"/>
                <w:color w:val="auto"/>
              </w:rPr>
              <w:t>$ 4.24 - 4.52</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$ 0.71 - 0.74</w:t>
            </w:r>
          </w:p>
        </w:tc>
        <w:tc>
          <w:tcPr>
            <w:tcW w:w="80" w:type="dxa"/>
            <w:vAlign w:val="bottom"/>
          </w:tcPr>
          <w:p>
            <w:pPr>
              <w:spacing w:after="0"/>
              <w:rPr>
                <w:sz w:val="21"/>
                <w:szCs w:val="21"/>
                <w:color w:val="auto"/>
              </w:rPr>
            </w:pPr>
          </w:p>
        </w:tc>
      </w:tr>
    </w:tbl>
    <w:p>
      <w:pPr>
        <w:spacing w:after="0" w:line="283" w:lineRule="exact"/>
        <w:rPr>
          <w:sz w:val="20"/>
          <w:szCs w:val="20"/>
          <w:color w:val="auto"/>
        </w:rPr>
      </w:pPr>
    </w:p>
    <w:p>
      <w:pPr>
        <w:ind w:left="520" w:right="80" w:firstLine="509"/>
        <w:spacing w:after="0" w:line="311" w:lineRule="auto"/>
        <w:rPr>
          <w:sz w:val="20"/>
          <w:szCs w:val="20"/>
          <w:color w:val="auto"/>
        </w:rPr>
      </w:pPr>
      <w:r>
        <w:rPr>
          <w:rFonts w:ascii="Arial" w:cs="Arial" w:eastAsia="Arial" w:hAnsi="Arial"/>
          <w:sz w:val="16"/>
          <w:szCs w:val="16"/>
          <w:color w:val="auto"/>
        </w:rPr>
        <w:t>The Company used the option pricing model to estimate the fair value of each incentive shares award on the date of grant. The members’ equity value was based on a recent enterprise valuation analysis performed and common share fair value. The participation threshold amounts are determined by the Board at the time of grant. The expected life of the awards granted during the period was determined based on an expected time to the liquidation event. The Company applied the risk-free interest rate based on the U.S. Treasury yield in effect at the time of the grant consistent with the life of the award. The expected volatility is based on a peer group in the industry in which the Company does business consistent with the expected time to liquidity. The dividend yield was set at zero as the underlying security does not and is not expected to pay a dividend.</w:t>
      </w:r>
    </w:p>
    <w:p>
      <w:pPr>
        <w:spacing w:after="0" w:line="2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of Common Share</w:t>
      </w:r>
    </w:p>
    <w:p>
      <w:pPr>
        <w:spacing w:after="0" w:line="131" w:lineRule="exact"/>
        <w:rPr>
          <w:sz w:val="20"/>
          <w:szCs w:val="20"/>
          <w:color w:val="auto"/>
        </w:rPr>
      </w:pPr>
    </w:p>
    <w:p>
      <w:pPr>
        <w:ind w:left="520" w:firstLine="509"/>
        <w:spacing w:after="0" w:line="305" w:lineRule="auto"/>
        <w:rPr>
          <w:sz w:val="20"/>
          <w:szCs w:val="20"/>
          <w:color w:val="auto"/>
        </w:rPr>
      </w:pPr>
      <w:r>
        <w:rPr>
          <w:rFonts w:ascii="Arial" w:cs="Arial" w:eastAsia="Arial" w:hAnsi="Arial"/>
          <w:sz w:val="16"/>
          <w:szCs w:val="16"/>
          <w:color w:val="auto"/>
        </w:rPr>
        <w:t xml:space="preserve">Prior to the IPO, management’s approach to estimate the fair value of the common share is consistent with the methods outlined in the American Institute of Certified Public Accountants’ Practice Aid,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the “Practice Aid”), considering a number of objective and subjective factors including: valuations of common shares performed with the assistance</w:t>
      </w:r>
      <w:r>
        <w:rPr>
          <w:rFonts w:ascii="Arial" w:cs="Arial" w:eastAsia="Arial" w:hAnsi="Arial"/>
          <w:sz w:val="16"/>
          <w:szCs w:val="16"/>
          <w:i w:val="1"/>
          <w:iCs w:val="1"/>
          <w:color w:val="auto"/>
        </w:rPr>
        <w:t xml:space="preserve"> </w:t>
      </w:r>
      <w:r>
        <w:rPr>
          <w:rFonts w:ascii="Arial" w:cs="Arial" w:eastAsia="Arial" w:hAnsi="Arial"/>
          <w:sz w:val="16"/>
          <w:szCs w:val="16"/>
          <w:color w:val="auto"/>
        </w:rPr>
        <w:t>of independent third-party valuation specialists; the Company’s stage of development and business strategy, including the status of research and development efforts, and the material risks related to the business and industry; the Company’s results of operations and financial position, including levels of available capital resources; the valuation of publicly traded companies in the life sciences and biotechnology sectors, as well as recently completed mergers and acquisitions of peer companies; the lack of marketability of the common shares; the prices of redeemable convertible preferred shares sold to investors in arm’s length transactions and the rights, preferences, and privileges of the Company’s redeemable convertible preferred shares relative to those of common shares; the likelihood of achieving a liquidity event for the holders of the common and redeemable convertible preferred shares, such as an initial public offering or a sale, given prevailing market conditions. The fair value of the common shares was approved by the Board until such time as the Company shares are listed on an established stock exchange or national market system.</w:t>
      </w:r>
    </w:p>
    <w:p>
      <w:pPr>
        <w:spacing w:after="0" w:line="61" w:lineRule="exact"/>
        <w:rPr>
          <w:sz w:val="20"/>
          <w:szCs w:val="20"/>
          <w:color w:val="auto"/>
        </w:rPr>
      </w:pPr>
    </w:p>
    <w:p>
      <w:pPr>
        <w:ind w:left="520" w:right="180" w:firstLine="509"/>
        <w:spacing w:after="0" w:line="293" w:lineRule="auto"/>
        <w:rPr>
          <w:sz w:val="20"/>
          <w:szCs w:val="20"/>
          <w:color w:val="auto"/>
        </w:rPr>
      </w:pPr>
      <w:r>
        <w:rPr>
          <w:rFonts w:ascii="Arial" w:cs="Arial" w:eastAsia="Arial" w:hAnsi="Arial"/>
          <w:sz w:val="18"/>
          <w:szCs w:val="18"/>
          <w:color w:val="auto"/>
        </w:rPr>
        <w:t>The incentive shares have been classified as equity awards and share-based compensation expense was based on the grant date fair value of the award.</w:t>
      </w:r>
    </w:p>
    <w:p>
      <w:pPr>
        <w:spacing w:after="0" w:line="6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provides a summary of the incentive shares activity: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6"/>
        </w:trPr>
        <w:tc>
          <w:tcPr>
            <w:tcW w:w="17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5"/>
                <w:szCs w:val="15"/>
                <w:color w:val="auto"/>
              </w:rPr>
            </w:pPr>
          </w:p>
        </w:tc>
        <w:tc>
          <w:tcPr>
            <w:tcW w:w="1060" w:type="dxa"/>
            <w:vAlign w:val="bottom"/>
          </w:tcPr>
          <w:p>
            <w:pPr>
              <w:jc w:val="center"/>
              <w:ind w:right="115"/>
              <w:spacing w:after="0"/>
              <w:rPr>
                <w:sz w:val="20"/>
                <w:szCs w:val="20"/>
                <w:color w:val="auto"/>
              </w:rPr>
            </w:pPr>
            <w:r>
              <w:rPr>
                <w:rFonts w:ascii="Arial" w:cs="Arial" w:eastAsia="Arial" w:hAnsi="Arial"/>
                <w:sz w:val="14"/>
                <w:szCs w:val="14"/>
                <w:b w:val="1"/>
                <w:bCs w:val="1"/>
                <w:color w:val="auto"/>
                <w:w w:val="97"/>
              </w:rPr>
              <w:t>Grant Date</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92"/>
        </w:trPr>
        <w:tc>
          <w:tcPr>
            <w:tcW w:w="17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56"/>
        </w:trPr>
        <w:tc>
          <w:tcPr>
            <w:tcW w:w="1700" w:type="dxa"/>
            <w:vAlign w:val="bottom"/>
          </w:tcPr>
          <w:p>
            <w:pPr>
              <w:spacing w:after="0"/>
              <w:rPr>
                <w:sz w:val="22"/>
                <w:szCs w:val="22"/>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2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4,112,017</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FF0FC"/>
          </w:tcPr>
          <w:p>
            <w:pPr>
              <w:spacing w:after="0"/>
              <w:rPr>
                <w:sz w:val="22"/>
                <w:szCs w:val="22"/>
                <w:color w:val="auto"/>
              </w:rPr>
            </w:pPr>
          </w:p>
        </w:tc>
        <w:tc>
          <w:tcPr>
            <w:tcW w:w="1680" w:type="dxa"/>
            <w:vAlign w:val="bottom"/>
          </w:tcPr>
          <w:p>
            <w:pPr>
              <w:spacing w:after="0"/>
              <w:rPr>
                <w:sz w:val="22"/>
                <w:szCs w:val="22"/>
                <w:color w:val="auto"/>
              </w:rPr>
            </w:pPr>
          </w:p>
        </w:tc>
      </w:tr>
      <w:tr>
        <w:trPr>
          <w:trHeight w:val="250"/>
        </w:trPr>
        <w:tc>
          <w:tcPr>
            <w:tcW w:w="1700" w:type="dxa"/>
            <w:vAlign w:val="bottom"/>
          </w:tcPr>
          <w:p>
            <w:pPr>
              <w:spacing w:after="0"/>
              <w:rPr>
                <w:sz w:val="21"/>
                <w:szCs w:val="21"/>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Granted</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2,959,795</w:t>
            </w:r>
          </w:p>
        </w:tc>
        <w:tc>
          <w:tcPr>
            <w:tcW w:w="2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63"/>
        </w:trPr>
        <w:tc>
          <w:tcPr>
            <w:tcW w:w="1700" w:type="dxa"/>
            <w:vAlign w:val="bottom"/>
          </w:tcPr>
          <w:p>
            <w:pPr>
              <w:spacing w:after="0"/>
              <w:rPr>
                <w:sz w:val="22"/>
                <w:szCs w:val="22"/>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32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(265,596 )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FF0FC"/>
          </w:tcPr>
          <w:p>
            <w:pPr>
              <w:spacing w:after="0"/>
              <w:rPr>
                <w:sz w:val="22"/>
                <w:szCs w:val="22"/>
                <w:color w:val="auto"/>
              </w:rPr>
            </w:pPr>
          </w:p>
        </w:tc>
        <w:tc>
          <w:tcPr>
            <w:tcW w:w="1680" w:type="dxa"/>
            <w:vAlign w:val="bottom"/>
          </w:tcPr>
          <w:p>
            <w:pPr>
              <w:spacing w:after="0"/>
              <w:rPr>
                <w:sz w:val="22"/>
                <w:szCs w:val="22"/>
                <w:color w:val="auto"/>
              </w:rPr>
            </w:pPr>
          </w:p>
        </w:tc>
      </w:tr>
      <w:tr>
        <w:trPr>
          <w:trHeight w:val="250"/>
        </w:trPr>
        <w:tc>
          <w:tcPr>
            <w:tcW w:w="1700" w:type="dxa"/>
            <w:vAlign w:val="bottom"/>
          </w:tcPr>
          <w:p>
            <w:pPr>
              <w:spacing w:after="0"/>
              <w:rPr>
                <w:sz w:val="21"/>
                <w:szCs w:val="21"/>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Converted to unvested common stock</w:t>
            </w:r>
          </w:p>
        </w:tc>
        <w:tc>
          <w:tcPr>
            <w:tcW w:w="3220" w:type="dxa"/>
            <w:vAlign w:val="bottom"/>
            <w:gridSpan w:val="3"/>
          </w:tcPr>
          <w:p>
            <w:pPr>
              <w:jc w:val="right"/>
              <w:ind w:right="160"/>
              <w:spacing w:after="0"/>
              <w:rPr>
                <w:sz w:val="20"/>
                <w:szCs w:val="20"/>
                <w:color w:val="auto"/>
              </w:rPr>
            </w:pPr>
            <w:r>
              <w:rPr>
                <w:rFonts w:ascii="Arial" w:cs="Arial" w:eastAsia="Arial" w:hAnsi="Arial"/>
                <w:sz w:val="18"/>
                <w:szCs w:val="18"/>
                <w:color w:val="auto"/>
              </w:rPr>
              <w:t>(6,806,216 )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63"/>
        </w:trPr>
        <w:tc>
          <w:tcPr>
            <w:tcW w:w="1700" w:type="dxa"/>
            <w:vAlign w:val="bottom"/>
          </w:tcPr>
          <w:p>
            <w:pPr>
              <w:spacing w:after="0"/>
              <w:rPr>
                <w:sz w:val="22"/>
                <w:szCs w:val="22"/>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September 30, 2021</w:t>
            </w:r>
          </w:p>
        </w:tc>
        <w:tc>
          <w:tcPr>
            <w:tcW w:w="164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1680" w:type="dxa"/>
            <w:vAlign w:val="bottom"/>
          </w:tcPr>
          <w:p>
            <w:pPr>
              <w:spacing w:after="0"/>
              <w:rPr>
                <w:sz w:val="22"/>
                <w:szCs w:val="22"/>
                <w:color w:val="auto"/>
              </w:rPr>
            </w:pPr>
          </w:p>
        </w:tc>
      </w:tr>
      <w:tr>
        <w:trPr>
          <w:trHeight w:val="459"/>
        </w:trPr>
        <w:tc>
          <w:tcPr>
            <w:tcW w:w="1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40" w:type="dxa"/>
            <w:vAlign w:val="bottom"/>
          </w:tcPr>
          <w:p>
            <w:pPr>
              <w:jc w:val="right"/>
              <w:ind w:right="830"/>
              <w:spacing w:after="0"/>
              <w:rPr>
                <w:sz w:val="20"/>
                <w:szCs w:val="20"/>
                <w:color w:val="auto"/>
              </w:rPr>
            </w:pPr>
            <w:r>
              <w:rPr>
                <w:rFonts w:ascii="Arial" w:cs="Arial" w:eastAsia="Arial" w:hAnsi="Arial"/>
                <w:sz w:val="18"/>
                <w:szCs w:val="18"/>
                <w:color w:val="auto"/>
              </w:rPr>
              <w:t>17</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ind w:left="28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31" w:lineRule="exact"/>
        <w:rPr>
          <w:sz w:val="20"/>
          <w:szCs w:val="20"/>
          <w:color w:val="auto"/>
        </w:rPr>
      </w:pPr>
    </w:p>
    <w:p>
      <w:pPr>
        <w:jc w:val="both"/>
        <w:ind w:right="380" w:firstLine="509"/>
        <w:spacing w:after="0" w:line="279" w:lineRule="auto"/>
        <w:rPr>
          <w:sz w:val="20"/>
          <w:szCs w:val="20"/>
          <w:color w:val="auto"/>
        </w:rPr>
      </w:pPr>
      <w:r>
        <w:rPr>
          <w:rFonts w:ascii="Arial" w:cs="Arial" w:eastAsia="Arial" w:hAnsi="Arial"/>
          <w:sz w:val="18"/>
          <w:szCs w:val="18"/>
          <w:color w:val="auto"/>
        </w:rPr>
        <w:t>Immediately prior to consummation of the IPO, all of the outstanding incentive shares were converted into 5,433,290 shares of common stock, of which 4,719,605 were unvested common stock. The following table provides a summary of the unvested common stock grant activity during the nine months ended September 30, 2021.</w:t>
      </w:r>
    </w:p>
    <w:p>
      <w:pPr>
        <w:spacing w:after="0" w:line="242" w:lineRule="exact"/>
        <w:rPr>
          <w:sz w:val="20"/>
          <w:szCs w:val="20"/>
          <w:color w:val="auto"/>
        </w:rPr>
      </w:pPr>
    </w:p>
    <w:tbl>
      <w:tblPr>
        <w:tblLayout w:type="fixed"/>
        <w:tblInd w:w="1180" w:type="dxa"/>
        <w:tblCellMar>
          <w:top w:w="0" w:type="dxa"/>
          <w:left w:w="0" w:type="dxa"/>
          <w:bottom w:w="0" w:type="dxa"/>
          <w:right w:w="0" w:type="dxa"/>
        </w:tblCellMar>
      </w:tblPr>
      <w:tr>
        <w:trPr>
          <w:trHeight w:val="176"/>
        </w:trPr>
        <w:tc>
          <w:tcPr>
            <w:tcW w:w="4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80" w:type="dxa"/>
            <w:vAlign w:val="bottom"/>
          </w:tcPr>
          <w:p>
            <w:pPr>
              <w:spacing w:after="0"/>
              <w:rPr>
                <w:sz w:val="15"/>
                <w:szCs w:val="15"/>
                <w:color w:val="auto"/>
              </w:rPr>
            </w:pPr>
          </w:p>
        </w:tc>
      </w:tr>
      <w:tr>
        <w:trPr>
          <w:trHeight w:val="176"/>
        </w:trPr>
        <w:tc>
          <w:tcPr>
            <w:tcW w:w="4960" w:type="dxa"/>
            <w:vAlign w:val="bottom"/>
          </w:tcPr>
          <w:p>
            <w:pPr>
              <w:spacing w:after="0"/>
              <w:rPr>
                <w:sz w:val="15"/>
                <w:szCs w:val="15"/>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5"/>
                <w:szCs w:val="15"/>
                <w:color w:val="auto"/>
              </w:rPr>
            </w:pPr>
          </w:p>
        </w:tc>
        <w:tc>
          <w:tcPr>
            <w:tcW w:w="1060" w:type="dxa"/>
            <w:vAlign w:val="bottom"/>
          </w:tcPr>
          <w:p>
            <w:pPr>
              <w:jc w:val="center"/>
              <w:ind w:right="116"/>
              <w:spacing w:after="0"/>
              <w:rPr>
                <w:sz w:val="20"/>
                <w:szCs w:val="20"/>
                <w:color w:val="auto"/>
              </w:rPr>
            </w:pPr>
            <w:r>
              <w:rPr>
                <w:rFonts w:ascii="Arial" w:cs="Arial" w:eastAsia="Arial" w:hAnsi="Arial"/>
                <w:sz w:val="14"/>
                <w:szCs w:val="14"/>
                <w:b w:val="1"/>
                <w:bCs w:val="1"/>
                <w:color w:val="auto"/>
                <w:w w:val="97"/>
              </w:rPr>
              <w:t>Grant Date</w:t>
            </w:r>
          </w:p>
        </w:tc>
        <w:tc>
          <w:tcPr>
            <w:tcW w:w="80" w:type="dxa"/>
            <w:vAlign w:val="bottom"/>
          </w:tcPr>
          <w:p>
            <w:pPr>
              <w:spacing w:after="0"/>
              <w:rPr>
                <w:sz w:val="15"/>
                <w:szCs w:val="15"/>
                <w:color w:val="auto"/>
              </w:rPr>
            </w:pPr>
          </w:p>
        </w:tc>
      </w:tr>
      <w:tr>
        <w:trPr>
          <w:trHeight w:val="192"/>
        </w:trPr>
        <w:tc>
          <w:tcPr>
            <w:tcW w:w="4960" w:type="dxa"/>
            <w:vAlign w:val="bottom"/>
          </w:tcPr>
          <w:p>
            <w:pPr>
              <w:spacing w:after="0"/>
              <w:rPr>
                <w:sz w:val="16"/>
                <w:szCs w:val="16"/>
                <w:color w:val="auto"/>
              </w:rPr>
            </w:pPr>
          </w:p>
        </w:tc>
        <w:tc>
          <w:tcPr>
            <w:tcW w:w="13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6"/>
                <w:szCs w:val="16"/>
                <w:color w:val="auto"/>
              </w:rPr>
            </w:pPr>
          </w:p>
        </w:tc>
      </w:tr>
      <w:tr>
        <w:trPr>
          <w:trHeight w:val="25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 as of December 31, 2020</w:t>
            </w: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Conversion of incentive shares</w:t>
            </w:r>
          </w:p>
        </w:tc>
        <w:tc>
          <w:tcPr>
            <w:tcW w:w="1320" w:type="dxa"/>
            <w:vAlign w:val="bottom"/>
          </w:tcPr>
          <w:p>
            <w:pPr>
              <w:jc w:val="right"/>
              <w:spacing w:after="0"/>
              <w:rPr>
                <w:sz w:val="20"/>
                <w:szCs w:val="20"/>
                <w:color w:val="auto"/>
              </w:rPr>
            </w:pPr>
            <w:r>
              <w:rPr>
                <w:rFonts w:ascii="Arial" w:cs="Arial" w:eastAsia="Arial" w:hAnsi="Arial"/>
                <w:sz w:val="18"/>
                <w:szCs w:val="18"/>
                <w:color w:val="auto"/>
              </w:rPr>
              <w:t>4,719,605</w:t>
            </w:r>
          </w:p>
        </w:tc>
        <w:tc>
          <w:tcPr>
            <w:tcW w:w="2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16.00</w:t>
            </w:r>
          </w:p>
        </w:tc>
        <w:tc>
          <w:tcPr>
            <w:tcW w:w="80" w:type="dxa"/>
            <w:vAlign w:val="bottom"/>
          </w:tcPr>
          <w:p>
            <w:pPr>
              <w:spacing w:after="0"/>
              <w:rPr>
                <w:sz w:val="21"/>
                <w:szCs w:val="21"/>
                <w:color w:val="auto"/>
              </w:rPr>
            </w:pPr>
          </w:p>
        </w:tc>
      </w:tr>
      <w:tr>
        <w:trPr>
          <w:trHeight w:val="26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(638,389 )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80" w:type="dxa"/>
            <w:vAlign w:val="bottom"/>
            <w:shd w:val="clear" w:color="auto" w:fill="CFF0FC"/>
          </w:tcPr>
          <w:p>
            <w:pPr>
              <w:spacing w:after="0"/>
              <w:rPr>
                <w:sz w:val="22"/>
                <w:szCs w:val="22"/>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8"/>
                <w:szCs w:val="18"/>
                <w:color w:val="auto"/>
              </w:rPr>
              <w:t>Unvested restricted stock as of September 30, 2021</w:t>
            </w:r>
          </w:p>
        </w:tc>
        <w:tc>
          <w:tcPr>
            <w:tcW w:w="1320" w:type="dxa"/>
            <w:vAlign w:val="bottom"/>
          </w:tcPr>
          <w:p>
            <w:pPr>
              <w:jc w:val="right"/>
              <w:spacing w:after="0"/>
              <w:rPr>
                <w:sz w:val="20"/>
                <w:szCs w:val="20"/>
                <w:color w:val="auto"/>
              </w:rPr>
            </w:pPr>
            <w:r>
              <w:rPr>
                <w:rFonts w:ascii="Arial" w:cs="Arial" w:eastAsia="Arial" w:hAnsi="Arial"/>
                <w:sz w:val="18"/>
                <w:szCs w:val="18"/>
                <w:color w:val="auto"/>
              </w:rPr>
              <w:t>4,081,216</w:t>
            </w:r>
          </w:p>
        </w:tc>
        <w:tc>
          <w:tcPr>
            <w:tcW w:w="2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16.00</w:t>
            </w:r>
          </w:p>
        </w:tc>
        <w:tc>
          <w:tcPr>
            <w:tcW w:w="80" w:type="dxa"/>
            <w:vAlign w:val="bottom"/>
          </w:tcPr>
          <w:p>
            <w:pPr>
              <w:spacing w:after="0"/>
              <w:rPr>
                <w:sz w:val="21"/>
                <w:szCs w:val="21"/>
                <w:color w:val="auto"/>
              </w:rPr>
            </w:pPr>
          </w:p>
        </w:tc>
      </w:tr>
    </w:tbl>
    <w:p>
      <w:pPr>
        <w:spacing w:after="0" w:line="283" w:lineRule="exact"/>
        <w:rPr>
          <w:sz w:val="20"/>
          <w:szCs w:val="20"/>
          <w:color w:val="auto"/>
        </w:rPr>
      </w:pPr>
    </w:p>
    <w:p>
      <w:pPr>
        <w:ind w:right="100" w:firstLine="509"/>
        <w:spacing w:after="0" w:line="305" w:lineRule="auto"/>
        <w:rPr>
          <w:sz w:val="20"/>
          <w:szCs w:val="20"/>
          <w:color w:val="auto"/>
        </w:rPr>
      </w:pPr>
      <w:r>
        <w:rPr>
          <w:rFonts w:ascii="Arial" w:cs="Arial" w:eastAsia="Arial" w:hAnsi="Arial"/>
          <w:sz w:val="16"/>
          <w:szCs w:val="16"/>
          <w:color w:val="auto"/>
        </w:rPr>
        <w:t>In May 2021, in connection with the IPO, the Board of Directors and stockholders approved the 2021 Equity Incentive Plan (the “2021 Plan”), which became effective on the day before the date of the effectiveness of the IPO. The 2021 Plan provides for the grant of incentive stock options, non-statutory stock options, stock appreciation rights, awards of restricted stock, restricted stock units and other stock-based awards. The number of shares of common stock reserved for issuance under the 2021 Plan is equal to the sum of: (1) 6,369,000; plus (2) 4,719,605 shares of common stock issued in respect of the Conversion of incentive shares that were subject to vesting immediately prior to the effectiveness of the registration statement for the IPO that expire, terminate or are otherwise surrendered, canceled, forfeited or repurchased by us at their original issuance price pursuant to a contractual repurchase right. The number of shares available for grant and issuance under the 2021 Plan will be automatically increased on January 1 of each of 2022 through 2031, by the lesser of (a) 5% of the number of shares of all classes of the Company’s common stock, plus the total number of shares of Company common stock issuable upon conversion of any preferred stock or exercise of any warrants to acquire shares of Company common stock for a nominal exercise price issued and outstanding on each December 31 immediately prior to the date of increase or (b) such number of shares determined by the Board of Directors.</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provides a summary of stock option activity under the 2021 Plan during the nine months ended September 30, 2021.</w:t>
      </w:r>
    </w:p>
    <w:p>
      <w:pPr>
        <w:spacing w:after="0" w:line="321" w:lineRule="exact"/>
        <w:rPr>
          <w:sz w:val="20"/>
          <w:szCs w:val="20"/>
          <w:color w:val="auto"/>
        </w:rPr>
      </w:pPr>
    </w:p>
    <w:tbl>
      <w:tblPr>
        <w:tblLayout w:type="fixed"/>
        <w:tblInd w:w="1180" w:type="dxa"/>
        <w:tblCellMar>
          <w:top w:w="0" w:type="dxa"/>
          <w:left w:w="0" w:type="dxa"/>
          <w:bottom w:w="0" w:type="dxa"/>
          <w:right w:w="0" w:type="dxa"/>
        </w:tblCellMar>
      </w:tblPr>
      <w:tr>
        <w:trPr>
          <w:trHeight w:val="175"/>
        </w:trPr>
        <w:tc>
          <w:tcPr>
            <w:tcW w:w="5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80" w:type="dxa"/>
            <w:vAlign w:val="bottom"/>
          </w:tcPr>
          <w:p>
            <w:pPr>
              <w:spacing w:after="0"/>
              <w:rPr>
                <w:sz w:val="15"/>
                <w:szCs w:val="15"/>
                <w:color w:val="auto"/>
              </w:rPr>
            </w:pPr>
          </w:p>
        </w:tc>
      </w:tr>
      <w:tr>
        <w:trPr>
          <w:trHeight w:val="175"/>
        </w:trPr>
        <w:tc>
          <w:tcPr>
            <w:tcW w:w="5000" w:type="dxa"/>
            <w:vAlign w:val="bottom"/>
          </w:tcPr>
          <w:p>
            <w:pPr>
              <w:spacing w:after="0"/>
              <w:rPr>
                <w:sz w:val="15"/>
                <w:szCs w:val="15"/>
                <w:color w:val="auto"/>
              </w:rPr>
            </w:pPr>
          </w:p>
        </w:tc>
        <w:tc>
          <w:tcPr>
            <w:tcW w:w="1320" w:type="dxa"/>
            <w:vAlign w:val="bottom"/>
          </w:tcPr>
          <w:p>
            <w:pPr>
              <w:jc w:val="right"/>
              <w:ind w:right="256"/>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16"/>
              <w:spacing w:after="0"/>
              <w:rPr>
                <w:sz w:val="20"/>
                <w:szCs w:val="20"/>
                <w:color w:val="auto"/>
              </w:rPr>
            </w:pPr>
            <w:r>
              <w:rPr>
                <w:rFonts w:ascii="Arial" w:cs="Arial" w:eastAsia="Arial" w:hAnsi="Arial"/>
                <w:sz w:val="14"/>
                <w:szCs w:val="14"/>
                <w:b w:val="1"/>
                <w:bCs w:val="1"/>
                <w:color w:val="auto"/>
                <w:w w:val="97"/>
              </w:rPr>
              <w:t>Grant Date</w:t>
            </w:r>
          </w:p>
        </w:tc>
        <w:tc>
          <w:tcPr>
            <w:tcW w:w="80" w:type="dxa"/>
            <w:vAlign w:val="bottom"/>
          </w:tcPr>
          <w:p>
            <w:pPr>
              <w:spacing w:after="0"/>
              <w:rPr>
                <w:sz w:val="15"/>
                <w:szCs w:val="15"/>
                <w:color w:val="auto"/>
              </w:rPr>
            </w:pPr>
          </w:p>
        </w:tc>
      </w:tr>
      <w:tr>
        <w:trPr>
          <w:trHeight w:val="192"/>
        </w:trPr>
        <w:tc>
          <w:tcPr>
            <w:tcW w:w="5000" w:type="dxa"/>
            <w:vAlign w:val="bottom"/>
          </w:tcPr>
          <w:p>
            <w:pPr>
              <w:spacing w:after="0"/>
              <w:rPr>
                <w:sz w:val="16"/>
                <w:szCs w:val="16"/>
                <w:color w:val="auto"/>
              </w:rPr>
            </w:pPr>
          </w:p>
        </w:tc>
        <w:tc>
          <w:tcPr>
            <w:tcW w:w="13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6"/>
                <w:szCs w:val="16"/>
                <w:color w:val="auto"/>
              </w:rPr>
            </w:pPr>
          </w:p>
        </w:tc>
      </w:tr>
      <w:tr>
        <w:trPr>
          <w:trHeight w:val="256"/>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4,888,996</w:t>
            </w:r>
          </w:p>
        </w:tc>
        <w:tc>
          <w:tcPr>
            <w:tcW w:w="4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16.75</w:t>
            </w:r>
          </w:p>
        </w:tc>
        <w:tc>
          <w:tcPr>
            <w:tcW w:w="80" w:type="dxa"/>
            <w:vAlign w:val="bottom"/>
          </w:tcPr>
          <w:p>
            <w:pPr>
              <w:spacing w:after="0"/>
              <w:rPr>
                <w:sz w:val="21"/>
                <w:szCs w:val="21"/>
                <w:color w:val="auto"/>
              </w:rPr>
            </w:pPr>
          </w:p>
        </w:tc>
      </w:tr>
      <w:tr>
        <w:trPr>
          <w:trHeight w:val="26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September 30, 2021</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4,888,996</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w:t>
            </w:r>
          </w:p>
        </w:tc>
        <w:tc>
          <w:tcPr>
            <w:tcW w:w="80" w:type="dxa"/>
            <w:vAlign w:val="bottom"/>
            <w:shd w:val="clear" w:color="auto" w:fill="CFF0FC"/>
          </w:tcPr>
          <w:p>
            <w:pPr>
              <w:spacing w:after="0"/>
              <w:rPr>
                <w:sz w:val="22"/>
                <w:szCs w:val="22"/>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Exercisable at September 30, 2021</w:t>
            </w:r>
          </w:p>
        </w:tc>
        <w:tc>
          <w:tcPr>
            <w:tcW w:w="1320" w:type="dxa"/>
            <w:vAlign w:val="bottom"/>
          </w:tcPr>
          <w:p>
            <w:pPr>
              <w:jc w:val="right"/>
              <w:spacing w:after="0"/>
              <w:rPr>
                <w:sz w:val="20"/>
                <w:szCs w:val="20"/>
                <w:color w:val="auto"/>
              </w:rPr>
            </w:pPr>
            <w:r>
              <w:rPr>
                <w:rFonts w:ascii="Arial" w:cs="Arial" w:eastAsia="Arial" w:hAnsi="Arial"/>
                <w:sz w:val="18"/>
                <w:szCs w:val="18"/>
                <w:color w:val="auto"/>
              </w:rPr>
              <w:t>37,447</w:t>
            </w:r>
          </w:p>
        </w:tc>
        <w:tc>
          <w:tcPr>
            <w:tcW w:w="4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16.31</w:t>
            </w:r>
          </w:p>
        </w:tc>
        <w:tc>
          <w:tcPr>
            <w:tcW w:w="80" w:type="dxa"/>
            <w:vAlign w:val="bottom"/>
          </w:tcPr>
          <w:p>
            <w:pPr>
              <w:spacing w:after="0"/>
              <w:rPr>
                <w:sz w:val="21"/>
                <w:szCs w:val="2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31"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In May 2021, the Board of Directors adopted and the stockholders approved the 2021 Employee Stock Purchase Plan, (“the ESPP”), which became effective on May 26, 2021. A total of 603,000 shares of common stock were reserved for issuance under the ESPP. The number of shares of the common stock reserved for issuance under the ESPP will automatically increase on the first day of each fiscal year, beginning with the fiscal year commencing on January 1, 2021 and continuing for each fiscal year until, and including, the fiscal year commencing on January 1, 2031, by the lesser of: a) 1% of the total number of outstanding shares of common stock of the Company (on an as converted basis outstanding on the immediately preceding December 31 (rounded down to the nearest whole share); b) an amount determined by the Board of Directors. No shares have been issued under the ESPP as of September 30, 2021. The Company recognized $0.1 million compensation expense related to the ESPP plan for the three and nine months ending September 30, 2021.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Share/Stock-based compensation</w:t>
      </w:r>
    </w:p>
    <w:p>
      <w:pPr>
        <w:spacing w:after="0" w:line="131" w:lineRule="exact"/>
        <w:rPr>
          <w:sz w:val="20"/>
          <w:szCs w:val="20"/>
          <w:color w:val="auto"/>
        </w:rPr>
      </w:pPr>
    </w:p>
    <w:p>
      <w:pPr>
        <w:ind w:right="320" w:firstLine="509"/>
        <w:spacing w:after="0" w:line="266" w:lineRule="auto"/>
        <w:rPr>
          <w:sz w:val="20"/>
          <w:szCs w:val="20"/>
          <w:color w:val="auto"/>
        </w:rPr>
      </w:pPr>
      <w:r>
        <w:rPr>
          <w:rFonts w:ascii="Arial" w:cs="Arial" w:eastAsia="Arial" w:hAnsi="Arial"/>
          <w:sz w:val="18"/>
          <w:szCs w:val="18"/>
          <w:color w:val="auto"/>
        </w:rPr>
        <w:t>The Company uses intrinsic value to value its unvested common stock and stock options, which is the difference between the Company’s common stock market value and the exercise price of a share and recognizes expense over the vesting term of</w:t>
      </w:r>
    </w:p>
    <w:p>
      <w:pPr>
        <w:spacing w:after="0" w:line="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40" w:top="135" w:right="3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35" w:lineRule="exact"/>
        <w:rPr>
          <w:sz w:val="20"/>
          <w:szCs w:val="20"/>
          <w:color w:val="auto"/>
        </w:rPr>
      </w:pPr>
    </w:p>
    <w:p>
      <w:pPr>
        <w:ind w:left="520" w:right="740"/>
        <w:spacing w:after="0" w:line="293" w:lineRule="auto"/>
        <w:rPr>
          <w:sz w:val="20"/>
          <w:szCs w:val="20"/>
          <w:color w:val="auto"/>
        </w:rPr>
      </w:pPr>
      <w:r>
        <w:rPr>
          <w:rFonts w:ascii="Arial" w:cs="Arial" w:eastAsia="Arial" w:hAnsi="Arial"/>
          <w:sz w:val="18"/>
          <w:szCs w:val="18"/>
          <w:color w:val="auto"/>
        </w:rPr>
        <w:t>the award. The Company uses the Black-Scholes option pricing model to estimate the fair value of stock option granted with the following assumption for awards granted in May 2021:</w:t>
      </w:r>
    </w:p>
    <w:p>
      <w:pPr>
        <w:spacing w:after="0" w:line="229" w:lineRule="exact"/>
        <w:rPr>
          <w:sz w:val="20"/>
          <w:szCs w:val="20"/>
          <w:color w:val="auto"/>
        </w:rPr>
      </w:pPr>
    </w:p>
    <w:tbl>
      <w:tblPr>
        <w:tblLayout w:type="fixed"/>
        <w:tblInd w:w="2260" w:type="dxa"/>
        <w:tblCellMar>
          <w:top w:w="0" w:type="dxa"/>
          <w:left w:w="0" w:type="dxa"/>
          <w:bottom w:w="0" w:type="dxa"/>
          <w:right w:w="0" w:type="dxa"/>
        </w:tblCellMar>
      </w:tblPr>
      <w:tr>
        <w:trPr>
          <w:trHeight w:val="175"/>
        </w:trPr>
        <w:tc>
          <w:tcPr>
            <w:tcW w:w="3260" w:type="dxa"/>
            <w:vAlign w:val="bottom"/>
          </w:tcPr>
          <w:p>
            <w:pPr>
              <w:spacing w:after="0"/>
              <w:rPr>
                <w:sz w:val="15"/>
                <w:szCs w:val="15"/>
                <w:color w:val="auto"/>
              </w:rPr>
            </w:pPr>
          </w:p>
        </w:tc>
        <w:tc>
          <w:tcPr>
            <w:tcW w:w="1620" w:type="dxa"/>
            <w:vAlign w:val="bottom"/>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620" w:type="dxa"/>
            <w:vAlign w:val="bottom"/>
          </w:tcPr>
          <w:p>
            <w:pPr>
              <w:jc w:val="right"/>
              <w:ind w:right="122"/>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5"/>
                <w:szCs w:val="15"/>
                <w:color w:val="auto"/>
              </w:rPr>
            </w:pPr>
          </w:p>
        </w:tc>
      </w:tr>
      <w:tr>
        <w:trPr>
          <w:trHeight w:val="192"/>
        </w:trPr>
        <w:tc>
          <w:tcPr>
            <w:tcW w:w="3260" w:type="dxa"/>
            <w:vAlign w:val="bottom"/>
          </w:tcPr>
          <w:p>
            <w:pPr>
              <w:spacing w:after="0"/>
              <w:rPr>
                <w:sz w:val="16"/>
                <w:szCs w:val="16"/>
                <w:color w:val="auto"/>
              </w:rPr>
            </w:pPr>
          </w:p>
        </w:tc>
        <w:tc>
          <w:tcPr>
            <w:tcW w:w="16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6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6"/>
                <w:szCs w:val="16"/>
                <w:color w:val="auto"/>
              </w:rPr>
            </w:pPr>
          </w:p>
        </w:tc>
      </w:tr>
      <w:tr>
        <w:trPr>
          <w:trHeight w:val="256"/>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5.77 - 6.08</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5.28 - 6.08</w:t>
            </w:r>
          </w:p>
        </w:tc>
        <w:tc>
          <w:tcPr>
            <w:tcW w:w="60" w:type="dxa"/>
            <w:vAlign w:val="bottom"/>
            <w:shd w:val="clear" w:color="auto" w:fill="CFF0FC"/>
          </w:tcPr>
          <w:p>
            <w:pPr>
              <w:spacing w:after="0"/>
              <w:rPr>
                <w:sz w:val="22"/>
                <w:szCs w:val="22"/>
                <w:color w:val="auto"/>
              </w:rPr>
            </w:pPr>
          </w:p>
        </w:tc>
      </w:tr>
      <w:tr>
        <w:trPr>
          <w:trHeight w:val="250"/>
        </w:trPr>
        <w:tc>
          <w:tcPr>
            <w:tcW w:w="3260" w:type="dxa"/>
            <w:vAlign w:val="bottom"/>
          </w:tcPr>
          <w:p>
            <w:pPr>
              <w:spacing w:after="0"/>
              <w:rPr>
                <w:sz w:val="20"/>
                <w:szCs w:val="20"/>
                <w:color w:val="auto"/>
              </w:rPr>
            </w:pPr>
            <w:r>
              <w:rPr>
                <w:rFonts w:ascii="Arial" w:cs="Arial" w:eastAsia="Arial" w:hAnsi="Arial"/>
                <w:sz w:val="18"/>
                <w:szCs w:val="18"/>
                <w:color w:val="auto"/>
              </w:rPr>
              <w:t>Expected volatility</w:t>
            </w:r>
          </w:p>
        </w:tc>
        <w:tc>
          <w:tcPr>
            <w:tcW w:w="1620" w:type="dxa"/>
            <w:vAlign w:val="bottom"/>
          </w:tcPr>
          <w:p>
            <w:pPr>
              <w:jc w:val="right"/>
              <w:spacing w:after="0"/>
              <w:rPr>
                <w:sz w:val="20"/>
                <w:szCs w:val="20"/>
                <w:color w:val="auto"/>
              </w:rPr>
            </w:pPr>
            <w:r>
              <w:rPr>
                <w:rFonts w:ascii="Arial" w:cs="Arial" w:eastAsia="Arial" w:hAnsi="Arial"/>
                <w:sz w:val="18"/>
                <w:szCs w:val="18"/>
                <w:color w:val="auto"/>
              </w:rPr>
              <w:t>64.88% - 65.38%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64.88% - 66.51%</w:t>
            </w:r>
          </w:p>
        </w:tc>
        <w:tc>
          <w:tcPr>
            <w:tcW w:w="60" w:type="dxa"/>
            <w:vAlign w:val="bottom"/>
          </w:tcPr>
          <w:p>
            <w:pPr>
              <w:spacing w:after="0"/>
              <w:rPr>
                <w:sz w:val="21"/>
                <w:szCs w:val="21"/>
                <w:color w:val="auto"/>
              </w:rPr>
            </w:pPr>
          </w:p>
        </w:tc>
      </w:tr>
      <w:tr>
        <w:trPr>
          <w:trHeight w:val="263"/>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 - 0.99%</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0.82% - 1.00%</w:t>
            </w:r>
          </w:p>
        </w:tc>
        <w:tc>
          <w:tcPr>
            <w:tcW w:w="60" w:type="dxa"/>
            <w:vAlign w:val="bottom"/>
            <w:shd w:val="clear" w:color="auto" w:fill="CFF0FC"/>
          </w:tcPr>
          <w:p>
            <w:pPr>
              <w:spacing w:after="0"/>
              <w:rPr>
                <w:sz w:val="22"/>
                <w:szCs w:val="22"/>
                <w:color w:val="auto"/>
              </w:rPr>
            </w:pP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bl>
    <w:p>
      <w:pPr>
        <w:spacing w:after="0" w:line="283"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Share/stock-based compensation expense recorded in the accompanying Condensed Consolidated Statements of Operations and</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Comprehensive Loss is as follows (in thousands):</w:t>
      </w:r>
    </w:p>
    <w:p>
      <w:pPr>
        <w:spacing w:after="0" w:line="297"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5040" w:type="dxa"/>
            <w:vAlign w:val="bottom"/>
          </w:tcPr>
          <w:p>
            <w:pPr>
              <w:spacing w:after="0"/>
              <w:rPr>
                <w:sz w:val="15"/>
                <w:szCs w:val="15"/>
                <w:color w:val="auto"/>
              </w:rPr>
            </w:pPr>
          </w:p>
        </w:tc>
        <w:tc>
          <w:tcPr>
            <w:tcW w:w="212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2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5"/>
                <w:szCs w:val="15"/>
                <w:color w:val="auto"/>
              </w:rPr>
            </w:pPr>
          </w:p>
        </w:tc>
      </w:tr>
      <w:tr>
        <w:trPr>
          <w:trHeight w:val="192"/>
        </w:trPr>
        <w:tc>
          <w:tcPr>
            <w:tcW w:w="50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w w:val="96"/>
              </w:rPr>
              <w:t>September 30,</w:t>
            </w:r>
          </w:p>
        </w:tc>
        <w:tc>
          <w:tcPr>
            <w:tcW w:w="2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504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7"/>
                <w:szCs w:val="17"/>
                <w:color w:val="auto"/>
              </w:rPr>
            </w:pPr>
          </w:p>
        </w:tc>
      </w:tr>
      <w:tr>
        <w:trPr>
          <w:trHeight w:val="25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w:t>
            </w:r>
          </w:p>
        </w:tc>
        <w:tc>
          <w:tcPr>
            <w:tcW w:w="700" w:type="dxa"/>
            <w:vAlign w:val="bottom"/>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1,489</w:t>
            </w:r>
          </w:p>
        </w:tc>
        <w:tc>
          <w:tcPr>
            <w:tcW w:w="1000" w:type="dxa"/>
            <w:vAlign w:val="bottom"/>
            <w:gridSpan w:val="2"/>
            <w:shd w:val="clear" w:color="auto" w:fill="CFF0FC"/>
          </w:tcPr>
          <w:p>
            <w:pPr>
              <w:jc w:val="right"/>
              <w:ind w:right="599"/>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w:t>
            </w:r>
          </w:p>
        </w:tc>
        <w:tc>
          <w:tcPr>
            <w:tcW w:w="5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FF0FC"/>
          </w:tcPr>
          <w:p>
            <w:pPr>
              <w:spacing w:after="0"/>
              <w:rPr>
                <w:sz w:val="22"/>
                <w:szCs w:val="22"/>
                <w:color w:val="auto"/>
              </w:rPr>
            </w:pPr>
          </w:p>
        </w:tc>
      </w:tr>
      <w:tr>
        <w:trPr>
          <w:trHeight w:val="250"/>
        </w:trPr>
        <w:tc>
          <w:tcPr>
            <w:tcW w:w="504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7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3,660</w:t>
            </w:r>
          </w:p>
        </w:tc>
        <w:tc>
          <w:tcPr>
            <w:tcW w:w="2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5,903</w:t>
            </w:r>
          </w:p>
        </w:tc>
        <w:tc>
          <w:tcPr>
            <w:tcW w:w="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1"/>
                <w:szCs w:val="21"/>
                <w:color w:val="auto"/>
              </w:rPr>
            </w:pPr>
          </w:p>
        </w:tc>
      </w:tr>
      <w:tr>
        <w:trPr>
          <w:trHeight w:val="290"/>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share-based compensation expense</w:t>
            </w: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5,149</w:t>
            </w:r>
          </w:p>
        </w:tc>
        <w:tc>
          <w:tcPr>
            <w:tcW w:w="22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8,224</w:t>
            </w:r>
          </w:p>
        </w:tc>
        <w:tc>
          <w:tcPr>
            <w:tcW w:w="2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-25400</wp:posOffset>
            </wp:positionV>
            <wp:extent cx="1371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137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12001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1200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1200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200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-25400</wp:posOffset>
            </wp:positionV>
            <wp:extent cx="514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ind w:left="520" w:right="200" w:firstLine="509"/>
        <w:spacing w:after="0" w:line="275" w:lineRule="auto"/>
        <w:rPr>
          <w:sz w:val="20"/>
          <w:szCs w:val="20"/>
          <w:color w:val="auto"/>
        </w:rPr>
      </w:pPr>
      <w:r>
        <w:rPr>
          <w:rFonts w:ascii="Arial" w:cs="Arial" w:eastAsia="Arial" w:hAnsi="Arial"/>
          <w:sz w:val="18"/>
          <w:szCs w:val="18"/>
          <w:color w:val="auto"/>
        </w:rPr>
        <w:t>As of September 30, 2021, there was $58.4 million of unrecognized compensation cost related to unvested restricted stock, unvested RSUs and stock options that is expected to be recognized over a weighted-average period of approximately 2.8 years. The Company did not recognize incremental share-based compensation expense related to the conversion of the incentive shares to unvested common stock in accordance with the Conversion, as such exchange was at fair value.</w:t>
      </w:r>
    </w:p>
    <w:p>
      <w:pPr>
        <w:spacing w:after="0" w:line="289" w:lineRule="exact"/>
        <w:rPr>
          <w:sz w:val="20"/>
          <w:szCs w:val="20"/>
          <w:color w:val="auto"/>
        </w:rPr>
      </w:pPr>
    </w:p>
    <w:p>
      <w:pPr>
        <w:ind w:left="520" w:right="8840" w:hanging="512"/>
        <w:spacing w:after="0" w:line="416" w:lineRule="auto"/>
        <w:tabs>
          <w:tab w:leader="none" w:pos="452"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NET LOSS PER SHARE </w:t>
      </w:r>
      <w:r>
        <w:rPr>
          <w:rFonts w:ascii="Arial" w:cs="Arial" w:eastAsia="Arial" w:hAnsi="Arial"/>
          <w:sz w:val="17"/>
          <w:szCs w:val="17"/>
          <w:b w:val="1"/>
          <w:bCs w:val="1"/>
          <w:i w:val="1"/>
          <w:iCs w:val="1"/>
          <w:color w:val="auto"/>
        </w:rPr>
        <w:t>Net Loss Per Share</w:t>
      </w:r>
    </w:p>
    <w:p>
      <w:pPr>
        <w:spacing w:after="0" w:line="1" w:lineRule="exact"/>
        <w:rPr>
          <w:sz w:val="20"/>
          <w:szCs w:val="20"/>
          <w:color w:val="auto"/>
        </w:rPr>
      </w:pPr>
    </w:p>
    <w:p>
      <w:pPr>
        <w:ind w:left="520" w:right="560" w:firstLine="509"/>
        <w:spacing w:after="0" w:line="293" w:lineRule="auto"/>
        <w:rPr>
          <w:sz w:val="20"/>
          <w:szCs w:val="20"/>
          <w:color w:val="auto"/>
        </w:rPr>
      </w:pPr>
      <w:r>
        <w:rPr>
          <w:rFonts w:ascii="Arial" w:cs="Arial" w:eastAsia="Arial" w:hAnsi="Arial"/>
          <w:sz w:val="18"/>
          <w:szCs w:val="18"/>
          <w:color w:val="auto"/>
        </w:rPr>
        <w:t>Basic and diluted net loss per share attributable to common shareholders/stockholders after the Conversion is calculated as follows (in thousands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(19,240 )</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(3,842 )</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(50,816 )</w:t>
            </w: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(8,243 )</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80" w:type="dxa"/>
            <w:vAlign w:val="bottom"/>
          </w:tcPr>
          <w:p>
            <w:pPr>
              <w:spacing w:after="0"/>
              <w:rPr>
                <w:sz w:val="21"/>
                <w:szCs w:val="21"/>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loss attributable to redeemable convertible</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(1,018 )</w:t>
            </w:r>
          </w:p>
        </w:tc>
        <w:tc>
          <w:tcPr>
            <w:tcW w:w="3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(2,109 )</w:t>
            </w:r>
          </w:p>
        </w:tc>
        <w:tc>
          <w:tcPr>
            <w:tcW w:w="4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(2,113 )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Exchange of redeemable noncontrolling interest</w:t>
            </w:r>
          </w:p>
        </w:tc>
        <w:tc>
          <w:tcPr>
            <w:tcW w:w="300" w:type="dxa"/>
            <w:vAlign w:val="bottom"/>
            <w:shd w:val="clear" w:color="auto" w:fill="CFF0FC"/>
          </w:tcPr>
          <w:p>
            <w:pPr>
              <w:spacing w:after="0"/>
              <w:rPr>
                <w:sz w:val="21"/>
                <w:szCs w:val="21"/>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(99,994 )</w:t>
            </w:r>
          </w:p>
        </w:tc>
        <w:tc>
          <w:tcPr>
            <w:tcW w:w="480" w:type="dxa"/>
            <w:vAlign w:val="bottom"/>
            <w:shd w:val="clear" w:color="auto" w:fill="CFF0FC"/>
          </w:tcPr>
          <w:p>
            <w:pPr>
              <w:spacing w:after="0"/>
              <w:rPr>
                <w:sz w:val="21"/>
                <w:szCs w:val="21"/>
                <w:color w:val="auto"/>
              </w:rPr>
            </w:pPr>
          </w:p>
        </w:tc>
        <w:tc>
          <w:tcPr>
            <w:tcW w:w="9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 deemed dividend (refer to Note 13)</w:t>
            </w:r>
          </w:p>
        </w:tc>
        <w:tc>
          <w:tcPr>
            <w:tcW w:w="30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240" w:type="dxa"/>
            <w:vAlign w:val="bottom"/>
            <w:vMerge w:val="continue"/>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00" w:type="dxa"/>
            <w:vAlign w:val="bottom"/>
            <w:vMerge w:val="continue"/>
            <w:shd w:val="clear" w:color="auto" w:fill="CFF0FC"/>
          </w:tcPr>
          <w:p>
            <w:pPr>
              <w:spacing w:after="0"/>
              <w:rPr>
                <w:sz w:val="20"/>
                <w:szCs w:val="20"/>
                <w:color w:val="auto"/>
              </w:rPr>
            </w:pPr>
          </w:p>
        </w:tc>
        <w:tc>
          <w:tcPr>
            <w:tcW w:w="220" w:type="dxa"/>
            <w:vAlign w:val="bottom"/>
            <w:vMerge w:val="continue"/>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gridSpan w:val="2"/>
            <w:vMerge w:val="continue"/>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00" w:type="dxa"/>
            <w:vAlign w:val="bottom"/>
            <w:gridSpan w:val="2"/>
            <w:vMerge w:val="continue"/>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loss attributable to common share</w:t>
            </w:r>
          </w:p>
        </w:tc>
        <w:tc>
          <w:tcPr>
            <w:tcW w:w="300" w:type="dxa"/>
            <w:vAlign w:val="bottom"/>
          </w:tcPr>
          <w:p>
            <w:pPr>
              <w:spacing w:after="0"/>
              <w:rPr>
                <w:sz w:val="20"/>
                <w:szCs w:val="20"/>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(19,240 )</w:t>
            </w:r>
          </w:p>
        </w:tc>
        <w:tc>
          <w:tcPr>
            <w:tcW w:w="400" w:type="dxa"/>
            <w:vAlign w:val="bottom"/>
          </w:tcPr>
          <w:p>
            <w:pPr>
              <w:spacing w:after="0"/>
              <w:rPr>
                <w:sz w:val="20"/>
                <w:szCs w:val="20"/>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(2,824 )</w:t>
            </w:r>
          </w:p>
        </w:tc>
        <w:tc>
          <w:tcPr>
            <w:tcW w:w="340" w:type="dxa"/>
            <w:vAlign w:val="bottom"/>
          </w:tcPr>
          <w:p>
            <w:pPr>
              <w:spacing w:after="0"/>
              <w:rPr>
                <w:sz w:val="20"/>
                <w:szCs w:val="20"/>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(148,701 )</w:t>
            </w:r>
          </w:p>
        </w:tc>
        <w:tc>
          <w:tcPr>
            <w:tcW w:w="480" w:type="dxa"/>
            <w:vAlign w:val="bottom"/>
          </w:tcPr>
          <w:p>
            <w:pPr>
              <w:spacing w:after="0"/>
              <w:rPr>
                <w:sz w:val="20"/>
                <w:szCs w:val="20"/>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(6,130 )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060" w:type="dxa"/>
            <w:vAlign w:val="bottom"/>
          </w:tcPr>
          <w:p>
            <w:pPr>
              <w:ind w:left="140"/>
              <w:spacing w:after="0" w:line="203" w:lineRule="exact"/>
              <w:rPr>
                <w:sz w:val="20"/>
                <w:szCs w:val="20"/>
                <w:color w:val="auto"/>
              </w:rPr>
            </w:pPr>
            <w:r>
              <w:rPr>
                <w:rFonts w:ascii="Arial" w:cs="Arial" w:eastAsia="Arial" w:hAnsi="Arial"/>
                <w:sz w:val="18"/>
                <w:szCs w:val="18"/>
                <w:color w:val="auto"/>
              </w:rPr>
              <w:t>members/common stockholders</w:t>
            </w:r>
          </w:p>
        </w:tc>
        <w:tc>
          <w:tcPr>
            <w:tcW w:w="3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80" w:type="dxa"/>
            <w:vAlign w:val="bottom"/>
          </w:tcPr>
          <w:p>
            <w:pPr>
              <w:spacing w:after="0"/>
              <w:rPr>
                <w:sz w:val="23"/>
                <w:szCs w:val="23"/>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(0.33 )</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(0.50 )</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(4.98 )</w:t>
            </w: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(1.12 )</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Weighted-average number of common shares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used in computing net loss per share, basic and</w:t>
            </w:r>
          </w:p>
        </w:tc>
        <w:tc>
          <w:tcPr>
            <w:tcW w:w="3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57,514,218</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5,601,511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29,859,883</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w w:val="94"/>
              </w:rPr>
              <w:t>5,456,733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06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55"/>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-1333500</wp:posOffset>
            </wp:positionV>
            <wp:extent cx="15430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-1333500</wp:posOffset>
            </wp:positionV>
            <wp:extent cx="14605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-1333500</wp:posOffset>
            </wp:positionV>
            <wp:extent cx="13716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-1333500</wp:posOffset>
            </wp:positionV>
            <wp:extent cx="6032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-856615</wp:posOffset>
            </wp:positionV>
            <wp:extent cx="1543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-839470</wp:posOffset>
            </wp:positionV>
            <wp:extent cx="15430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-856615</wp:posOffset>
            </wp:positionV>
            <wp:extent cx="14605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-839470</wp:posOffset>
            </wp:positionV>
            <wp:extent cx="14605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-856615</wp:posOffset>
            </wp:positionV>
            <wp:extent cx="137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-839470</wp:posOffset>
            </wp:positionV>
            <wp:extent cx="137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-856615</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-839470</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jc w:val="center"/>
        <w:ind w:right="-91"/>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0" w:lineRule="exact"/>
        <w:rPr>
          <w:sz w:val="20"/>
          <w:szCs w:val="20"/>
          <w:color w:val="auto"/>
        </w:rPr>
      </w:pPr>
    </w:p>
    <w:p>
      <w:pPr>
        <w:spacing w:after="0" w:line="313" w:lineRule="exact"/>
        <w:rPr>
          <w:sz w:val="20"/>
          <w:szCs w:val="20"/>
          <w:color w:val="auto"/>
        </w:rPr>
      </w:pPr>
    </w:p>
    <w:p>
      <w:pPr>
        <w:ind w:left="512" w:right="40" w:firstLine="509"/>
        <w:spacing w:after="0" w:line="293" w:lineRule="auto"/>
        <w:rPr>
          <w:sz w:val="20"/>
          <w:szCs w:val="20"/>
          <w:color w:val="auto"/>
        </w:rPr>
      </w:pPr>
      <w:r>
        <w:rPr>
          <w:rFonts w:ascii="Arial" w:cs="Arial" w:eastAsia="Arial" w:hAnsi="Arial"/>
          <w:sz w:val="18"/>
          <w:szCs w:val="18"/>
          <w:color w:val="auto"/>
        </w:rPr>
        <w:t>The following outstanding potentially dilutive securities have been excluded from the calculation of diluted net loss per share, as their effect is anti-dilutive:</w:t>
      </w:r>
    </w:p>
    <w:p>
      <w:pPr>
        <w:spacing w:after="0" w:line="229" w:lineRule="exact"/>
        <w:rPr>
          <w:sz w:val="20"/>
          <w:szCs w:val="20"/>
          <w:color w:val="auto"/>
        </w:rPr>
      </w:pPr>
    </w:p>
    <w:tbl>
      <w:tblPr>
        <w:tblLayout w:type="fixed"/>
        <w:tblInd w:w="1692"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04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w w:val="90"/>
              </w:rPr>
              <w:t>As of September 30,</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960" w:type="dxa"/>
            <w:vAlign w:val="bottom"/>
          </w:tcPr>
          <w:p>
            <w:pPr>
              <w:spacing w:after="0"/>
              <w:rPr>
                <w:sz w:val="17"/>
                <w:szCs w:val="17"/>
                <w:color w:val="auto"/>
              </w:rPr>
            </w:pPr>
          </w:p>
        </w:tc>
        <w:tc>
          <w:tcPr>
            <w:tcW w:w="13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w w:val="83"/>
              </w:rPr>
              <w:t>2020</w:t>
            </w:r>
          </w:p>
        </w:tc>
        <w:tc>
          <w:tcPr>
            <w:tcW w:w="80" w:type="dxa"/>
            <w:vAlign w:val="bottom"/>
          </w:tcPr>
          <w:p>
            <w:pPr>
              <w:spacing w:after="0"/>
              <w:rPr>
                <w:sz w:val="17"/>
                <w:szCs w:val="17"/>
                <w:color w:val="auto"/>
              </w:rPr>
            </w:pPr>
          </w:p>
        </w:tc>
      </w:tr>
      <w:tr>
        <w:trPr>
          <w:trHeight w:val="25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4,888,996</w:t>
            </w: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Unvested common shares</w:t>
            </w:r>
          </w:p>
        </w:tc>
        <w:tc>
          <w:tcPr>
            <w:tcW w:w="1320" w:type="dxa"/>
            <w:vAlign w:val="bottom"/>
          </w:tcPr>
          <w:p>
            <w:pPr>
              <w:jc w:val="right"/>
              <w:spacing w:after="0"/>
              <w:rPr>
                <w:sz w:val="20"/>
                <w:szCs w:val="20"/>
                <w:color w:val="auto"/>
              </w:rPr>
            </w:pPr>
            <w:r>
              <w:rPr>
                <w:rFonts w:ascii="Arial" w:cs="Arial" w:eastAsia="Arial" w:hAnsi="Arial"/>
                <w:sz w:val="18"/>
                <w:szCs w:val="18"/>
                <w:color w:val="auto"/>
              </w:rPr>
              <w:t>4,081,216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339,083</w:t>
            </w:r>
          </w:p>
        </w:tc>
        <w:tc>
          <w:tcPr>
            <w:tcW w:w="80" w:type="dxa"/>
            <w:vAlign w:val="bottom"/>
          </w:tcPr>
          <w:p>
            <w:pPr>
              <w:spacing w:after="0"/>
              <w:rPr>
                <w:sz w:val="21"/>
                <w:szCs w:val="21"/>
                <w:color w:val="auto"/>
              </w:rPr>
            </w:pPr>
          </w:p>
        </w:tc>
      </w:tr>
      <w:tr>
        <w:trPr>
          <w:trHeight w:val="26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RSUs</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66,420</w:t>
            </w: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Convertible preferred shares</w:t>
            </w:r>
          </w:p>
        </w:tc>
        <w:tc>
          <w:tcPr>
            <w:tcW w:w="2040" w:type="dxa"/>
            <w:vAlign w:val="bottom"/>
            <w:gridSpan w:val="4"/>
          </w:tcPr>
          <w:p>
            <w:pPr>
              <w:jc w:val="right"/>
              <w:ind w:right="7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5,377,528</w:t>
            </w:r>
          </w:p>
        </w:tc>
        <w:tc>
          <w:tcPr>
            <w:tcW w:w="80" w:type="dxa"/>
            <w:vAlign w:val="bottom"/>
          </w:tcPr>
          <w:p>
            <w:pPr>
              <w:spacing w:after="0"/>
              <w:rPr>
                <w:sz w:val="21"/>
                <w:szCs w:val="21"/>
                <w:color w:val="auto"/>
              </w:rPr>
            </w:pPr>
          </w:p>
        </w:tc>
      </w:tr>
      <w:tr>
        <w:trPr>
          <w:trHeight w:val="257"/>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Incentive Shares</w:t>
            </w:r>
          </w:p>
        </w:tc>
        <w:tc>
          <w:tcPr>
            <w:tcW w:w="2040" w:type="dxa"/>
            <w:vAlign w:val="bottom"/>
            <w:gridSpan w:val="4"/>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683,379</w:t>
            </w:r>
          </w:p>
        </w:tc>
        <w:tc>
          <w:tcPr>
            <w:tcW w:w="80" w:type="dxa"/>
            <w:vAlign w:val="bottom"/>
            <w:shd w:val="clear" w:color="auto" w:fill="CFF0FC"/>
          </w:tcPr>
          <w:p>
            <w:pPr>
              <w:spacing w:after="0"/>
              <w:rPr>
                <w:sz w:val="22"/>
                <w:szCs w:val="22"/>
                <w:color w:val="auto"/>
              </w:rPr>
            </w:pPr>
          </w:p>
        </w:tc>
      </w:tr>
      <w:tr>
        <w:trPr>
          <w:trHeight w:val="250"/>
        </w:trPr>
        <w:tc>
          <w:tcPr>
            <w:tcW w:w="4960" w:type="dxa"/>
            <w:vAlign w:val="bottom"/>
            <w:tcBorders>
              <w:top w:val="single" w:sz="8" w:color="CFF0FC"/>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9,036,632</w:t>
            </w:r>
          </w:p>
        </w:tc>
        <w:tc>
          <w:tcPr>
            <w:tcW w:w="8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6,399,990</w:t>
            </w:r>
          </w:p>
        </w:tc>
        <w:tc>
          <w:tcPr>
            <w:tcW w:w="80" w:type="dxa"/>
            <w:vAlign w:val="bottom"/>
            <w:tcBorders>
              <w:top w:val="single" w:sz="8" w:color="CFF0FC"/>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5066030</wp:posOffset>
            </wp:positionH>
            <wp:positionV relativeFrom="paragraph">
              <wp:posOffset>-176530</wp:posOffset>
            </wp:positionV>
            <wp:extent cx="5143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-176530</wp:posOffset>
            </wp:positionV>
            <wp:extent cx="4318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53" w:lineRule="exact"/>
        <w:rPr>
          <w:sz w:val="20"/>
          <w:szCs w:val="20"/>
          <w:color w:val="auto"/>
        </w:rPr>
      </w:pPr>
    </w:p>
    <w:p>
      <w:pPr>
        <w:ind w:left="432" w:hanging="432"/>
        <w:spacing w:after="0"/>
        <w:tabs>
          <w:tab w:leader="none" w:pos="43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NONCONTROLLING INTEREST</w:t>
      </w:r>
    </w:p>
    <w:p>
      <w:pPr>
        <w:spacing w:after="0" w:line="135" w:lineRule="exact"/>
        <w:rPr>
          <w:sz w:val="20"/>
          <w:szCs w:val="20"/>
          <w:color w:val="auto"/>
        </w:rPr>
      </w:pPr>
    </w:p>
    <w:p>
      <w:pPr>
        <w:ind w:left="512" w:right="140" w:firstLine="509"/>
        <w:spacing w:after="0" w:line="293" w:lineRule="auto"/>
        <w:rPr>
          <w:sz w:val="20"/>
          <w:szCs w:val="20"/>
          <w:color w:val="auto"/>
        </w:rPr>
      </w:pPr>
      <w:r>
        <w:rPr>
          <w:rFonts w:ascii="Arial" w:cs="Arial" w:eastAsia="Arial" w:hAnsi="Arial"/>
          <w:sz w:val="18"/>
          <w:szCs w:val="18"/>
          <w:color w:val="auto"/>
        </w:rPr>
        <w:t>DOT-1, the Company’s subsidiary, issued Series A redeemable convertible preferred shares to Takeda in accordance with the Takeda Asset Agreement (Note 7). The Company concluded that it represented a redeemable noncontrolling interest.</w:t>
      </w:r>
    </w:p>
    <w:p>
      <w:pPr>
        <w:spacing w:after="0" w:line="62" w:lineRule="exact"/>
        <w:rPr>
          <w:sz w:val="20"/>
          <w:szCs w:val="20"/>
          <w:color w:val="auto"/>
        </w:rPr>
      </w:pPr>
    </w:p>
    <w:p>
      <w:pPr>
        <w:ind w:left="512" w:right="80" w:firstLine="509"/>
        <w:spacing w:after="0" w:line="279" w:lineRule="auto"/>
        <w:rPr>
          <w:sz w:val="20"/>
          <w:szCs w:val="20"/>
          <w:color w:val="auto"/>
        </w:rPr>
      </w:pPr>
      <w:r>
        <w:rPr>
          <w:rFonts w:ascii="Arial" w:cs="Arial" w:eastAsia="Arial" w:hAnsi="Arial"/>
          <w:sz w:val="18"/>
          <w:szCs w:val="18"/>
          <w:color w:val="auto"/>
        </w:rPr>
        <w:t>The Company adjusted the carrying value of redeemable noncontrolling interest to allocate net losses of the subsidiary to Takeda. Transfers to and from the redeemable noncontrolling interest represented changes in ownership and the allocation of Series A redeemable convertible preferred shares issuance costs issued by the subsidiary.</w:t>
      </w:r>
    </w:p>
    <w:p>
      <w:pPr>
        <w:spacing w:after="0" w:line="75" w:lineRule="exact"/>
        <w:rPr>
          <w:sz w:val="20"/>
          <w:szCs w:val="20"/>
          <w:color w:val="auto"/>
        </w:rPr>
      </w:pPr>
    </w:p>
    <w:p>
      <w:pPr>
        <w:ind w:left="512" w:firstLine="509"/>
        <w:spacing w:after="0" w:line="281" w:lineRule="auto"/>
        <w:rPr>
          <w:sz w:val="20"/>
          <w:szCs w:val="20"/>
          <w:color w:val="auto"/>
        </w:rPr>
      </w:pPr>
      <w:r>
        <w:rPr>
          <w:rFonts w:ascii="Arial" w:cs="Arial" w:eastAsia="Arial" w:hAnsi="Arial"/>
          <w:sz w:val="17"/>
          <w:szCs w:val="17"/>
          <w:color w:val="auto"/>
        </w:rPr>
        <w:t>On May 26, 2021, pursuant to the pursuant to the terms of the Millennium Stock Exchange Agreement, Takeda exchanged its 9,857,143 shares of Series A redeemable convertible preferred stock in DOT-1, for 6,470,382 shares of common stock of the Company. Prior to the Exchange, the Company accounted for the redeemable noncontrolling interest as discussed in the paragraph above and allocated $2.1 million and $0.9 million of net losses for the period from January 1 to May 26, 2021 and from April 1 to May 26, 2021, respectively, to Takeda. The Exchange resulted in DOT-1 becoming a wholly owned subsidiary of the Company and was recorded for accounting purposes as an extinguishment of the redeemable noncontrolling interest. As such, the Company also recognized an extinguishment loss of $100.0 million to additional paid in capital, which was calculated as a difference between the fair value of common stock issued to Takeda in the conversion and the carrying value of redeemable noncontrolling interest at the conversion date. The all-stock exchange was treated as a deemed dividend in the calculation of net loss attributable to common stockholders and net loss and per share.</w:t>
      </w:r>
    </w:p>
    <w:p>
      <w:pPr>
        <w:spacing w:after="0" w:line="7"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135" w:right="4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spacing w:after="0" w:line="290" w:lineRule="auto"/>
        <w:rPr>
          <w:sz w:val="20"/>
          <w:szCs w:val="20"/>
          <w:color w:val="auto"/>
        </w:rPr>
      </w:pPr>
      <w:r>
        <w:rPr>
          <w:rFonts w:ascii="Arial" w:cs="Arial" w:eastAsia="Arial" w:hAnsi="Arial"/>
          <w:sz w:val="17"/>
          <w:szCs w:val="17"/>
          <w:i w:val="1"/>
          <w:iCs w:val="1"/>
          <w:color w:val="auto"/>
        </w:rPr>
        <w:t>You should read the following discussion and analysis of financial condition and operating results together with the summary consolidated financial data, our consolidated financial statements and related notes, our interim condensed consolidated financial statements and related notes, and other financial information appearing in this Quarterly Report on Form 10-Q. This discussion contains forward-looking statements that involve risks and uncertainties. As a result of many factors, such as those set forth in the section of the report titled “Risk Factors” and elsewhere in this this Quarterly Report on Form 10-Q, our actual results may differ materially from those anticipated in or implied by these forward-looking statements. Please also see the section of this Quarterly Report on Form 10-Q titled “Cautionary Note Regarding Forward-Looking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right="40" w:firstLine="1153"/>
        <w:spacing w:after="0" w:line="275" w:lineRule="auto"/>
        <w:rPr>
          <w:sz w:val="20"/>
          <w:szCs w:val="20"/>
          <w:color w:val="auto"/>
        </w:rPr>
      </w:pPr>
      <w:r>
        <w:rPr>
          <w:rFonts w:ascii="Arial" w:cs="Arial" w:eastAsia="Arial" w:hAnsi="Arial"/>
          <w:sz w:val="18"/>
          <w:szCs w:val="18"/>
          <w:color w:val="auto"/>
        </w:rPr>
        <w:t>Day One was founded to address a critical unmet need: children with cancer are being left behind in a cancer drug development revolution. Our name was inspired by the “The Day One Talk” that physicians have with patients and their families about an initial cancer diagnosis and treatment plan. We aim to re-envision cancer drug development and redefine what’s possible for all people living with cancer—regardless of age—starting from Day One.</w:t>
      </w:r>
    </w:p>
    <w:p>
      <w:pPr>
        <w:spacing w:after="0" w:line="185" w:lineRule="exact"/>
        <w:rPr>
          <w:sz w:val="20"/>
          <w:szCs w:val="20"/>
          <w:color w:val="auto"/>
        </w:rPr>
      </w:pPr>
    </w:p>
    <w:p>
      <w:pPr>
        <w:ind w:right="20" w:firstLine="1153"/>
        <w:spacing w:after="0" w:line="303" w:lineRule="auto"/>
        <w:rPr>
          <w:sz w:val="20"/>
          <w:szCs w:val="20"/>
          <w:color w:val="auto"/>
        </w:rPr>
      </w:pPr>
      <w:r>
        <w:rPr>
          <w:rFonts w:ascii="Arial" w:cs="Arial" w:eastAsia="Arial" w:hAnsi="Arial"/>
          <w:sz w:val="16"/>
          <w:szCs w:val="16"/>
          <w:color w:val="auto"/>
        </w:rPr>
        <w:t>We are a clinical-stage biopharmaceutical company dedicated to developing and commercializing targeted therapies for patients of all ages with genomically-defined cancers. Initially, we focus our clinical development efforts on pediatric patients living with cancer, a vulnerable population that has been underserved in the recent revolution in targeted therapeutics and immuno-oncology. Our lead product candidate, DAY101, is an oral, brain-penetrant, highly-selective type II pan-rapidly accelerated fibrosarcoma, or pan-RAF, kinase inhibitor. DAY101 has been studied in over 250 patients and has been shown to be well-tolerated as a monotherapy. DAY101 has demonstrated encouraging anti-tumor activity in pediatric and adult populations with specific genetic alterations that result in the over-activation of the RAS/mitogen- activated protein kinase, or MAPK, pathway leading to uncontrolled cell growth. We have initiated a pivotal Phase 2 trial (FIREFLY-1) of DAY101 for pediatric patients with relapsed or progressive low-grade glioma, or pLGG, the most common brain tumor diagnosed in children, for which there are no approved therapies or standard of care. We dosed the first patient in this trial in the second quarter of 2021, and we expect to report initial data from this trial in the first half of 2022. DAY101 has been granted Breakthrough Therapy designation by the U.S. Food and Drug Administration, or FDA, for the treatment of pLGG based on initial results from a Phase 1 trial which showed evidence of rapid anti-tumor activity, a greater than 50% monotherapy response rate and durable responses in pLGG patients. We received Orphan Drug Designation for the treatment of malignant melanoma from the FDA in September 2020 and from the EU Commission for the treatment of glioma on May 2021. Additionally, the FDA granted Rare Pediatric Designation to DAY101 for treatment of low-grade gliomas (LGGs) harboring an activating RAF alteration in July 2021. We also plan to study DAY101 alone or in combination with other agents that target key signaling nodes in the MAPK pathway in patient populations where various genetic alterations are believed to play an important role in driving disease, including in our Phase 2 adult solid tumor trial, which we initiated as part of our FIRELIGHT-1 master protocol, in the third quarter of 2021.</w:t>
      </w:r>
    </w:p>
    <w:p>
      <w:pPr>
        <w:spacing w:after="0" w:line="171" w:lineRule="exact"/>
        <w:rPr>
          <w:sz w:val="20"/>
          <w:szCs w:val="20"/>
          <w:color w:val="auto"/>
        </w:rPr>
      </w:pPr>
    </w:p>
    <w:p>
      <w:pPr>
        <w:ind w:right="100" w:firstLine="1153"/>
        <w:spacing w:after="0" w:line="311" w:lineRule="auto"/>
        <w:rPr>
          <w:sz w:val="20"/>
          <w:szCs w:val="20"/>
          <w:color w:val="auto"/>
        </w:rPr>
      </w:pPr>
      <w:r>
        <w:rPr>
          <w:rFonts w:ascii="Arial" w:cs="Arial" w:eastAsia="Arial" w:hAnsi="Arial"/>
          <w:sz w:val="16"/>
          <w:szCs w:val="16"/>
          <w:color w:val="auto"/>
        </w:rPr>
        <w:t>Our second product candidate, pimasertib, is an oral, highly-selective small molecule inhibitor of mitogen-activated protein kinase kinases 1 and 2 (MEK), a well-characterized key signaling node in the MAPK pathway. We expect to initiate a Phase 1b/2 trial in the first quarter of 2022 to study the combination of DAY101 and pimasertib in patients 12 years and older with various MAPK-altered solid tumors. We believe our business development capabilities combined with our extensive experience in oncology drug development and deep ties within the research and patient advocacy communities, particularly within the pediatric setting, positions us to be a leader in identifying, acquiring and developing therapies for patients of all ages. We hold exclusive worldwide rights to both DAY101 and pimasertib for all indications subject to certain milestone and royalty payments.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following table summarizes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186055</wp:posOffset>
            </wp:positionV>
            <wp:extent cx="5949315" cy="21856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49315"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FIRELIGHT-1 is a master protocol design</w:t>
      </w:r>
    </w:p>
    <w:p>
      <w:pPr>
        <w:spacing w:after="0" w:line="21" w:lineRule="exact"/>
        <w:rPr>
          <w:sz w:val="20"/>
          <w:szCs w:val="20"/>
          <w:color w:val="auto"/>
        </w:rPr>
      </w:pPr>
    </w:p>
    <w:p>
      <w:pPr>
        <w:ind w:left="120"/>
        <w:spacing w:after="0"/>
        <w:tabs>
          <w:tab w:leader="none" w:pos="1360" w:val="left"/>
        </w:tabs>
        <w:rPr>
          <w:sz w:val="20"/>
          <w:szCs w:val="20"/>
          <w:color w:val="auto"/>
        </w:rPr>
      </w:pPr>
      <w:r>
        <w:rPr>
          <w:rFonts w:ascii="Arial" w:cs="Arial" w:eastAsia="Arial" w:hAnsi="Arial"/>
          <w:sz w:val="14"/>
          <w:szCs w:val="14"/>
          <w:color w:val="auto"/>
        </w:rPr>
        <w:t>* Includes patients</w:t>
      </w:r>
      <w:r>
        <w:rPr>
          <w:sz w:val="20"/>
          <w:szCs w:val="20"/>
          <w:color w:val="auto"/>
        </w:rPr>
        <w:tab/>
      </w:r>
      <w:r>
        <w:rPr>
          <w:rFonts w:ascii="Arial" w:cs="Arial" w:eastAsia="Arial" w:hAnsi="Arial"/>
          <w:sz w:val="12"/>
          <w:szCs w:val="12"/>
          <w:color w:val="auto"/>
        </w:rPr>
        <w:t>12 years of age</w:t>
      </w:r>
    </w:p>
    <w:p>
      <w:pPr>
        <w:ind w:left="240" w:hanging="112"/>
        <w:spacing w:after="0" w:line="201" w:lineRule="auto"/>
        <w:tabs>
          <w:tab w:leader="none" w:pos="240" w:val="left"/>
        </w:tabs>
        <w:numPr>
          <w:ilvl w:val="0"/>
          <w:numId w:val="1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Pivotal Phase 2 trial expected to support registration</w:t>
      </w:r>
    </w:p>
    <w:p>
      <w:pPr>
        <w:ind w:left="240" w:hanging="112"/>
        <w:spacing w:after="0" w:line="200" w:lineRule="auto"/>
        <w:tabs>
          <w:tab w:leader="none" w:pos="240" w:val="left"/>
        </w:tabs>
        <w:numPr>
          <w:ilvl w:val="0"/>
          <w:numId w:val="1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DAY101 adult monotherapy Phase 1 dose escalation and expansion trial previously completed</w:t>
      </w:r>
    </w:p>
    <w:p>
      <w:pPr>
        <w:spacing w:after="0" w:line="5" w:lineRule="exact"/>
        <w:rPr>
          <w:rFonts w:ascii="Arial" w:cs="Arial" w:eastAsia="Arial" w:hAnsi="Arial"/>
          <w:sz w:val="19"/>
          <w:szCs w:val="19"/>
          <w:i w:val="1"/>
          <w:iCs w:val="1"/>
          <w:color w:val="auto"/>
          <w:vertAlign w:val="superscript"/>
        </w:rPr>
      </w:pPr>
    </w:p>
    <w:p>
      <w:pPr>
        <w:ind w:left="120"/>
        <w:spacing w:after="0"/>
        <w:rPr>
          <w:rFonts w:ascii="Arial" w:cs="Arial" w:eastAsia="Arial" w:hAnsi="Arial"/>
          <w:sz w:val="19"/>
          <w:szCs w:val="19"/>
          <w:i w:val="1"/>
          <w:iCs w:val="1"/>
          <w:color w:val="auto"/>
          <w:vertAlign w:val="superscript"/>
        </w:rPr>
      </w:pPr>
      <w:r>
        <w:rPr>
          <w:rFonts w:ascii="Arial" w:cs="Arial" w:eastAsia="Arial" w:hAnsi="Arial"/>
          <w:sz w:val="19"/>
          <w:szCs w:val="19"/>
          <w:i w:val="1"/>
          <w:iCs w:val="1"/>
          <w:color w:val="auto"/>
          <w:vertAlign w:val="superscript"/>
        </w:rPr>
        <w:t>3</w:t>
      </w:r>
      <w:r>
        <w:rPr>
          <w:rFonts w:ascii="Arial" w:cs="Arial" w:eastAsia="Arial" w:hAnsi="Arial"/>
          <w:sz w:val="14"/>
          <w:szCs w:val="14"/>
          <w:i w:val="1"/>
          <w:iCs w:val="1"/>
          <w:color w:val="auto"/>
        </w:rPr>
        <w:t xml:space="preserve">  Pimasertib Phase 1 dose escalation and expansion trial previously completed</w:t>
      </w:r>
    </w:p>
    <w:p>
      <w:pPr>
        <w:spacing w:after="0" w:line="165" w:lineRule="exact"/>
        <w:rPr>
          <w:sz w:val="20"/>
          <w:szCs w:val="20"/>
          <w:color w:val="auto"/>
        </w:rPr>
      </w:pPr>
    </w:p>
    <w:p>
      <w:pPr>
        <w:ind w:firstLine="1153"/>
        <w:spacing w:after="0" w:line="305" w:lineRule="auto"/>
        <w:rPr>
          <w:sz w:val="20"/>
          <w:szCs w:val="20"/>
          <w:color w:val="auto"/>
        </w:rPr>
      </w:pPr>
      <w:r>
        <w:rPr>
          <w:rFonts w:ascii="Arial" w:cs="Arial" w:eastAsia="Arial" w:hAnsi="Arial"/>
          <w:sz w:val="16"/>
          <w:szCs w:val="16"/>
          <w:color w:val="auto"/>
        </w:rPr>
        <w:t>Since our inception in November 2018, we have devoted substantially all of our resources to identifying, acquiring and developing our product candidates and building our pipeline, organizing and staffing our company, business planning, establishing and maintaining our intellectual property portfolio, establishing arrangements with third parties for the manufacture of our product candidates, raising capital and providing general and administrative support for these operations. We do not have any products approved for commercial sale and have not generated any revenues from product sales or any other source and have incurred net losses since commencement of our operations. For the three months ended September 30, 2021 and 2020, we reported a net loss and comprehensive loss of $19.2 million and $3.8 million, respectively. For the nine months ended September 30, 2021 and 2020, we reported a net loss and comprehensive loss $50.8 million and $8.2 million, respectively. We had an accumulated deficit of $105.5 million as of September 30, 2021. We expect a significant increase in expenses and substantial losses for the foreseeable future as we continue our development of, and seek regulatory approvals for our product candidates and commercialize any approved products, seek to expand our product pipeline and invest in our organization. In addition, we expect to continue to incur additional costs associated with operating as a public company, including significant legal, audit, accounting, regulatory, tax-related, director and officer insurance, investor relations and other expenses that we did not incur as a private company.</w:t>
      </w:r>
    </w:p>
    <w:p>
      <w:pPr>
        <w:spacing w:after="0" w:line="169" w:lineRule="exact"/>
        <w:rPr>
          <w:sz w:val="20"/>
          <w:szCs w:val="20"/>
          <w:color w:val="auto"/>
        </w:rPr>
      </w:pPr>
    </w:p>
    <w:p>
      <w:pPr>
        <w:ind w:right="480" w:firstLine="1153"/>
        <w:spacing w:after="0" w:line="293" w:lineRule="auto"/>
        <w:rPr>
          <w:sz w:val="20"/>
          <w:szCs w:val="20"/>
          <w:color w:val="auto"/>
        </w:rPr>
      </w:pPr>
      <w:r>
        <w:rPr>
          <w:rFonts w:ascii="Arial" w:cs="Arial" w:eastAsia="Arial" w:hAnsi="Arial"/>
          <w:sz w:val="18"/>
          <w:szCs w:val="18"/>
          <w:color w:val="auto"/>
        </w:rPr>
        <w:t>To date, we have funded our operations through the sale of our redeemable convertible preferred shares, convertible notes and sale of common stock in the IPO.</w:t>
      </w:r>
    </w:p>
    <w:p>
      <w:pPr>
        <w:spacing w:after="0" w:line="170" w:lineRule="exact"/>
        <w:rPr>
          <w:sz w:val="20"/>
          <w:szCs w:val="20"/>
          <w:color w:val="auto"/>
        </w:rPr>
      </w:pPr>
    </w:p>
    <w:p>
      <w:pPr>
        <w:ind w:right="20" w:firstLine="1153"/>
        <w:spacing w:after="0" w:line="290" w:lineRule="auto"/>
        <w:rPr>
          <w:sz w:val="20"/>
          <w:szCs w:val="20"/>
          <w:color w:val="auto"/>
        </w:rPr>
      </w:pPr>
      <w:r>
        <w:rPr>
          <w:rFonts w:ascii="Arial" w:cs="Arial" w:eastAsia="Arial" w:hAnsi="Arial"/>
          <w:sz w:val="17"/>
          <w:szCs w:val="17"/>
          <w:color w:val="auto"/>
        </w:rPr>
        <w:t>Cash and cash equivalents totaled $297.2 million as of September 30, 2021. Based on Day One’s current operating plan, management believes it has sufficient capital resources to fund anticipated operations into the second half of 2023. Because of the numerous risks and uncertainties associated with product development, we may never achieve profitability, and unless and until then, we will need to continue to raise additional capital. There are no assurances that we will be successful in obtaining an adequate level of financing to support our business plans. If we are unable to raise capital as and when needed or on attractive terms, we may have to significantly delay, reduce or discontinue the development and commercialization of our product candidates or scale back or terminate our pursuit of new in-licenses and acquisitions.</w:t>
      </w:r>
    </w:p>
    <w:p>
      <w:pPr>
        <w:spacing w:after="0" w:line="176" w:lineRule="exact"/>
        <w:rPr>
          <w:sz w:val="20"/>
          <w:szCs w:val="20"/>
          <w:color w:val="auto"/>
        </w:rPr>
      </w:pPr>
    </w:p>
    <w:p>
      <w:pPr>
        <w:ind w:right="60" w:firstLine="1153"/>
        <w:spacing w:after="0" w:line="296" w:lineRule="auto"/>
        <w:rPr>
          <w:sz w:val="20"/>
          <w:szCs w:val="20"/>
          <w:color w:val="auto"/>
        </w:rPr>
      </w:pPr>
      <w:r>
        <w:rPr>
          <w:rFonts w:ascii="Arial" w:cs="Arial" w:eastAsia="Arial" w:hAnsi="Arial"/>
          <w:sz w:val="17"/>
          <w:szCs w:val="17"/>
          <w:color w:val="auto"/>
        </w:rPr>
        <w:t>We do not own or operate, and currently have no plans to establish, any manufacturing facilities. We rely, and expect to continue to rely, on third parties for the manufacture of our product candidates for clinical testing, as well as for commercial manufacturing if any of our product candidates obtain marketing approval. As we advance our product candidates through development, we will explore adding backup suppliers for the API, drug product, packaging and formulation for each of our product candidates to protect against any potential supply disruptions.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31" w:lineRule="exact"/>
        <w:rPr>
          <w:sz w:val="20"/>
          <w:szCs w:val="20"/>
          <w:color w:val="auto"/>
        </w:rPr>
      </w:pPr>
    </w:p>
    <w:p>
      <w:pPr>
        <w:ind w:right="120" w:firstLine="1153"/>
        <w:spacing w:after="0" w:line="266" w:lineRule="auto"/>
        <w:rPr>
          <w:sz w:val="20"/>
          <w:szCs w:val="20"/>
          <w:color w:val="auto"/>
        </w:rPr>
      </w:pPr>
      <w:r>
        <w:rPr>
          <w:rFonts w:ascii="Arial" w:cs="Arial" w:eastAsia="Arial" w:hAnsi="Arial"/>
          <w:sz w:val="18"/>
          <w:szCs w:val="18"/>
          <w:color w:val="auto"/>
        </w:rPr>
        <w:t>The degree to which COVID-19 impacts our business operations, research and development programs and financial condition will depend on future developments, including the ultimate duration and/or severity of the outbreak, the impact of any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ind w:right="160"/>
        <w:spacing w:after="0" w:line="279" w:lineRule="auto"/>
        <w:rPr>
          <w:sz w:val="20"/>
          <w:szCs w:val="20"/>
          <w:color w:val="auto"/>
        </w:rPr>
      </w:pPr>
      <w:r>
        <w:rPr>
          <w:rFonts w:ascii="Arial" w:cs="Arial" w:eastAsia="Arial" w:hAnsi="Arial"/>
          <w:sz w:val="18"/>
          <w:szCs w:val="18"/>
          <w:color w:val="auto"/>
        </w:rPr>
        <w:t>resurgences and new strains that emerge, actions by government authorities to contain the spread of the virus, the timing, availability, and effectiveness of any vaccines, and when and to what extent normal economic and operating conditions can resume. Our management team continues to actively monitor this health crisis and its effects on our operations, key vendors and workforce.</w:t>
      </w:r>
    </w:p>
    <w:p>
      <w:pPr>
        <w:spacing w:after="0" w:line="183" w:lineRule="exact"/>
        <w:rPr>
          <w:sz w:val="20"/>
          <w:szCs w:val="20"/>
          <w:color w:val="auto"/>
        </w:rPr>
      </w:pPr>
    </w:p>
    <w:p>
      <w:pPr>
        <w:ind w:right="60" w:firstLine="1153"/>
        <w:spacing w:after="0" w:line="308" w:lineRule="auto"/>
        <w:rPr>
          <w:sz w:val="20"/>
          <w:szCs w:val="20"/>
          <w:color w:val="auto"/>
        </w:rPr>
      </w:pPr>
      <w:r>
        <w:rPr>
          <w:rFonts w:ascii="Arial" w:cs="Arial" w:eastAsia="Arial" w:hAnsi="Arial"/>
          <w:sz w:val="16"/>
          <w:szCs w:val="16"/>
          <w:color w:val="auto"/>
        </w:rPr>
        <w:t>We conduct our clinical trials in the U.S. and internationally in geographic regions that are impacted by COVID-19 to varying degrees. We expect to see volatility in services rendered from our third-party service providers as local governments respond to resurgences and the emergence of new strains, each of which may result in the prolonged reinstitution, extension or enhancement of protective measures. The American Cancer Society has also reported that the pandemic has led to declines in screening, diagnosis and treatment for cancer patients, which will impact the enrollment of patients in clinical trials targeting early-stage cancers and retention of patients overall in our trials. Patient safety remains our paramount concern and we continue to collaborate with our existing and with new investigational sites to implement measures to minimize disruptions to patients and ensure continued access to treatment, in accordance with health authority guidance. We are unable to predict the ultimate impact of this pandemic on our ongoing and planned clinical programs. With respect to manufacturing and supply, we do not anticipate any disruptions to our drug supply chain.</w:t>
      </w:r>
    </w:p>
    <w:p>
      <w:pPr>
        <w:spacing w:after="0" w:line="163" w:lineRule="exact"/>
        <w:rPr>
          <w:sz w:val="20"/>
          <w:szCs w:val="20"/>
          <w:color w:val="auto"/>
        </w:rPr>
      </w:pPr>
    </w:p>
    <w:p>
      <w:pPr>
        <w:ind w:right="180" w:firstLine="1153"/>
        <w:spacing w:after="0" w:line="275" w:lineRule="auto"/>
        <w:rPr>
          <w:sz w:val="20"/>
          <w:szCs w:val="20"/>
          <w:color w:val="auto"/>
        </w:rPr>
      </w:pPr>
      <w:r>
        <w:rPr>
          <w:rFonts w:ascii="Arial" w:cs="Arial" w:eastAsia="Arial" w:hAnsi="Arial"/>
          <w:sz w:val="18"/>
          <w:szCs w:val="18"/>
          <w:color w:val="auto"/>
        </w:rPr>
        <w:t>The full impact of the COVID-19 outbreak remains highly uncertain and subject to change. The safety, health and well-being of our employees remains a primary concern, and we instituted remote work arrangements for our office-based employees. There are many uncertainties around the COVID-19 pandemic and future developments, which are unpredictable, may result in a material, negative impact to our operations and financial condition.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agreements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Takeda asset agreement</w:t>
      </w:r>
    </w:p>
    <w:p>
      <w:pPr>
        <w:spacing w:after="0" w:line="131" w:lineRule="exact"/>
        <w:rPr>
          <w:sz w:val="20"/>
          <w:szCs w:val="20"/>
          <w:color w:val="auto"/>
        </w:rPr>
      </w:pPr>
    </w:p>
    <w:p>
      <w:pPr>
        <w:ind w:firstLine="1153"/>
        <w:spacing w:after="0" w:line="304" w:lineRule="auto"/>
        <w:rPr>
          <w:sz w:val="20"/>
          <w:szCs w:val="20"/>
          <w:color w:val="auto"/>
        </w:rPr>
      </w:pPr>
      <w:r>
        <w:rPr>
          <w:rFonts w:ascii="Arial" w:cs="Arial" w:eastAsia="Arial" w:hAnsi="Arial"/>
          <w:sz w:val="16"/>
          <w:szCs w:val="16"/>
          <w:color w:val="auto"/>
        </w:rPr>
        <w:t>On December 16, 2019, DOT-1, our subsidiary, entered into an asset purchase agreement, or the Takeda Asset Agreement, with Millennium Pharmaceuticals, Inc., an affiliate of Takeda Pharmaceutical Company Limited, or Takeda. Pursuant to the Takeda Asset Agreement, we purchased certain technology rights and know-how related to TAK-580 (which is now DAY101) which was being developed to treat patients with primary brain tumors or brain metastases of solid tumors. We also received clinical inventory supplies to use in our research and development activities of such RAF-inhibitor and an assigned investigator clinical trial agreement. Takeda also assigned to us its exclusive license agreement, or the Viracta License Agreement, with Sunesis Pharmaceuticals, Inc. (now Viracta Therapeutics, Inc. or Viracta). Takeda also granted us a worldwide, sublicensable exclusive license under specified patents and know-how and non-exclusive license under other patents and know-how generated by Takeda under the Takeda Asset Agreement or otherwise through practice of the technology assigned or licensed to us under the Takeda Asset Agreement, in each case, to develop, manufacture and commercialize products containing DAY101 in all fields of use. We also granted Takeda an exclusive license under the technology assigned or licensed to us under the Takeda Asset Agreement and a non-exclusive license under any patents and know-how generated by us under the Takeda Asset Agreement or otherwise through the practice of the technology assigned or licensed to us under the Takeda Asset Agreement, in each case, only for Takeda to develop, manufacture and commercialize products containing DAY101 in the field excluded from our license grant. This grant back license to Takeda was terminated at the time of Conversion in connection with the Millennium Stock Exchange Agreement.</w:t>
      </w:r>
    </w:p>
    <w:p>
      <w:pPr>
        <w:spacing w:after="0" w:line="62" w:lineRule="exact"/>
        <w:rPr>
          <w:sz w:val="20"/>
          <w:szCs w:val="20"/>
          <w:color w:val="auto"/>
        </w:rPr>
      </w:pPr>
    </w:p>
    <w:p>
      <w:pPr>
        <w:ind w:right="80" w:firstLine="1153"/>
        <w:spacing w:after="0" w:line="270" w:lineRule="auto"/>
        <w:rPr>
          <w:sz w:val="20"/>
          <w:szCs w:val="20"/>
          <w:color w:val="auto"/>
        </w:rPr>
      </w:pPr>
      <w:r>
        <w:rPr>
          <w:rFonts w:ascii="Arial" w:cs="Arial" w:eastAsia="Arial" w:hAnsi="Arial"/>
          <w:sz w:val="18"/>
          <w:szCs w:val="18"/>
          <w:color w:val="auto"/>
        </w:rPr>
        <w:t>In consideration for the sale and assignment of assets and the grant of the license under the Takeda Asset Agreement, DOT-1 made an upfront payment of $1.0 million in cash and issued 9,857,143 shares of Series A redeemable convertible preferred stock in DOT-1. The fair value of issued shares was estimated as $9.9 million, based on the price paid by other investors for issued shares in the Series A financing of DOT-1 Therapeutics, Inc. Pursuant to the terms of the Millennium Stock Exchange Agreement, Takeda agreed to exchange the 9,857,143 shares of Series A redeemable convertible preferred stock of DOT-1, Inc. for 6,470,382 shares of the Company’s common stock pursuant to and contingent upon the effectiveness of the Conversion (refer to Note 1). During the nine months ended, September 30, 2021, the Company recorded a total of $10.9 million consideration for license and clinical supplies as research and development expenses.</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Viracta license agreement</w:t>
      </w:r>
    </w:p>
    <w:p>
      <w:pPr>
        <w:spacing w:after="0" w:line="131" w:lineRule="exact"/>
        <w:rPr>
          <w:sz w:val="20"/>
          <w:szCs w:val="20"/>
          <w:color w:val="auto"/>
        </w:rPr>
      </w:pPr>
    </w:p>
    <w:p>
      <w:pPr>
        <w:ind w:right="80" w:firstLine="1153"/>
        <w:spacing w:after="0" w:line="279" w:lineRule="auto"/>
        <w:rPr>
          <w:sz w:val="20"/>
          <w:szCs w:val="20"/>
          <w:color w:val="auto"/>
        </w:rPr>
      </w:pPr>
      <w:r>
        <w:rPr>
          <w:rFonts w:ascii="Arial" w:cs="Arial" w:eastAsia="Arial" w:hAnsi="Arial"/>
          <w:sz w:val="18"/>
          <w:szCs w:val="18"/>
          <w:color w:val="auto"/>
        </w:rPr>
        <w:t>On December 16, 2019, we amended and restated the Viracta License Agreement that was assigned to us pursuant to the Takeda Asset Agreement. Under the Viracta License Agreement, we received a worldwide exclusive license under specified patent rights and know-how to develop, use, manufacture, and commercialize products containing compounds binding the RAF protein family.</w:t>
      </w:r>
    </w:p>
    <w:p>
      <w:pPr>
        <w:spacing w:after="0" w:line="183" w:lineRule="exact"/>
        <w:rPr>
          <w:sz w:val="20"/>
          <w:szCs w:val="20"/>
          <w:color w:val="auto"/>
        </w:rPr>
      </w:pPr>
    </w:p>
    <w:p>
      <w:pPr>
        <w:ind w:right="120" w:firstLine="1153"/>
        <w:spacing w:after="0" w:line="299" w:lineRule="auto"/>
        <w:rPr>
          <w:sz w:val="20"/>
          <w:szCs w:val="20"/>
          <w:color w:val="auto"/>
        </w:rPr>
      </w:pPr>
      <w:r>
        <w:rPr>
          <w:rFonts w:ascii="Arial" w:cs="Arial" w:eastAsia="Arial" w:hAnsi="Arial"/>
          <w:sz w:val="16"/>
          <w:szCs w:val="16"/>
          <w:color w:val="auto"/>
        </w:rPr>
        <w:t>Under the Viracta License Agreement, we paid $2.0 million upfront in cash to Viracta, which was recorded as research and development expenses. We made a milestone payment of $3.0 million to Viracta in February 2021, which is recorded was research and development expenses when the milestone was achieved in April 2021. We are also required to make milestone payments of up to $54 million upon achievement of specified development and regulatory milestones. The total amount of consideration for the assets and the license acquired related to the Takeda Asset Agreement and Viracta License Agreement of $12.9 million was recorded as research and development expenses in the consolidated income statement in December 2019.</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b w:val="1"/>
          <w:bCs w:val="1"/>
          <w:i w:val="1"/>
          <w:iCs w:val="1"/>
          <w:color w:val="auto"/>
        </w:rPr>
        <w:t>License agreement with Merck KGaA, Darmstadt, Germany</w:t>
      </w:r>
    </w:p>
    <w:p>
      <w:pPr>
        <w:spacing w:after="0" w:line="131" w:lineRule="exact"/>
        <w:rPr>
          <w:sz w:val="20"/>
          <w:szCs w:val="20"/>
          <w:color w:val="auto"/>
        </w:rPr>
      </w:pPr>
    </w:p>
    <w:p>
      <w:pPr>
        <w:ind w:right="60" w:firstLine="1153"/>
        <w:spacing w:after="0" w:line="286" w:lineRule="auto"/>
        <w:rPr>
          <w:sz w:val="20"/>
          <w:szCs w:val="20"/>
          <w:color w:val="auto"/>
        </w:rPr>
      </w:pPr>
      <w:r>
        <w:rPr>
          <w:rFonts w:ascii="Arial" w:cs="Arial" w:eastAsia="Arial" w:hAnsi="Arial"/>
          <w:sz w:val="17"/>
          <w:szCs w:val="17"/>
          <w:color w:val="auto"/>
        </w:rPr>
        <w:t>On February 10, 2021, DOT Therapeutics-2, or DOT-2, our subsidiary, entered into a license agreement, or MRKDG License Agreement, with Merck KGaA, Darmstadt, Germany, a pharmaceutical corporation located in Darmstadt, Germany. Under the MRKDG License Agreement, Merck KGaA, Darmstadt, Germany as licensor granted to DOT-2, an exclusive worldwide license, with the right to grant sublicenses through multiple tiers, under specified patent rights and know-how for us to research, develop, manufacture and commercialize products containing and comprising the pimasertib and MSC2015103B compounds. Our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 In consideration for the rights granted under the MRKDG License Agreement, we made an upfront payment of $8.0 million to the licensor, which was recorded as research and development expenses. We may also be required to make additional payments of up to $367.0 million based upon the achievement of specified development, regulatory, and commercial milestones, as well a high, single-digit royalty percentage on future net sales of licensed products, if any. Milestones and royalties are contingent upon future events and will be recorded when the milestones are achieved and when payments are due.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ind w:right="200" w:firstLine="1153"/>
        <w:spacing w:after="0" w:line="359" w:lineRule="auto"/>
        <w:rPr>
          <w:sz w:val="20"/>
          <w:szCs w:val="20"/>
          <w:color w:val="auto"/>
        </w:rPr>
      </w:pPr>
      <w:r>
        <w:rPr>
          <w:rFonts w:ascii="Arial" w:cs="Arial" w:eastAsia="Arial" w:hAnsi="Arial"/>
          <w:sz w:val="16"/>
          <w:szCs w:val="16"/>
          <w:color w:val="auto"/>
        </w:rPr>
        <w:t>Research and development expenses consist primarily of external and internal expenses incurred for our research activities, including our discovery and in-licensing undertakings, and the development of our lead product candidate, DAY101 and our second product candidate, pimasertib.</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External expenses include:</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costs associated with acquiring technology and intellectual property licenses that have no alternative future uses;</w:t>
      </w:r>
    </w:p>
    <w:p>
      <w:pPr>
        <w:spacing w:after="0" w:line="131" w:lineRule="exact"/>
        <w:rPr>
          <w:sz w:val="20"/>
          <w:szCs w:val="20"/>
          <w:color w:val="auto"/>
        </w:rPr>
      </w:pPr>
    </w:p>
    <w:p>
      <w:pPr>
        <w:ind w:left="1100" w:right="500"/>
        <w:spacing w:after="0" w:line="293" w:lineRule="auto"/>
        <w:rPr>
          <w:sz w:val="20"/>
          <w:szCs w:val="20"/>
          <w:color w:val="auto"/>
        </w:rPr>
      </w:pPr>
      <w:r>
        <w:rPr>
          <w:rFonts w:ascii="Arial" w:cs="Arial" w:eastAsia="Arial" w:hAnsi="Arial"/>
          <w:sz w:val="18"/>
          <w:szCs w:val="18"/>
          <w:color w:val="auto"/>
        </w:rPr>
        <w:t>costs incurred under agreements with third-party contract research organizations, or CROs, CMOs and other third parties that conduct clinical trials on our behalf; and</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other costs associated with our research and development programs, including laboratory materials and supplies.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Internal expenses include:</w:t>
      </w:r>
    </w:p>
    <w:p>
      <w:pPr>
        <w:spacing w:after="0" w:line="131" w:lineRule="exact"/>
        <w:rPr>
          <w:sz w:val="20"/>
          <w:szCs w:val="20"/>
          <w:color w:val="auto"/>
        </w:rPr>
      </w:pPr>
    </w:p>
    <w:p>
      <w:pPr>
        <w:ind w:left="1100"/>
        <w:spacing w:after="0" w:line="457" w:lineRule="auto"/>
        <w:rPr>
          <w:sz w:val="20"/>
          <w:szCs w:val="20"/>
          <w:color w:val="auto"/>
        </w:rPr>
      </w:pPr>
      <w:r>
        <w:rPr>
          <w:rFonts w:ascii="Arial" w:cs="Arial" w:eastAsia="Arial" w:hAnsi="Arial"/>
          <w:sz w:val="17"/>
          <w:szCs w:val="17"/>
          <w:color w:val="auto"/>
        </w:rPr>
        <w:t>employee-related costs, including salaries, benefits and share-based compensation expense, for our research and development personnel; and facilities and other overhead expenses, including expenses for rent and facilities maintenance, and amortization.</w:t>
      </w:r>
    </w:p>
    <w:p>
      <w:pPr>
        <w:spacing w:after="0" w:line="39" w:lineRule="exact"/>
        <w:rPr>
          <w:sz w:val="20"/>
          <w:szCs w:val="20"/>
          <w:color w:val="auto"/>
        </w:rPr>
      </w:pPr>
    </w:p>
    <w:p>
      <w:pPr>
        <w:ind w:right="120" w:firstLine="1146"/>
        <w:spacing w:after="0" w:line="292" w:lineRule="auto"/>
        <w:rPr>
          <w:sz w:val="20"/>
          <w:szCs w:val="20"/>
          <w:color w:val="auto"/>
        </w:rPr>
      </w:pPr>
      <w:r>
        <w:rPr>
          <w:rFonts w:ascii="Arial" w:cs="Arial" w:eastAsia="Arial" w:hAnsi="Arial"/>
          <w:sz w:val="17"/>
          <w:szCs w:val="17"/>
          <w:color w:val="auto"/>
        </w:rPr>
        <w:t>We expense research and development expenses as incurred. We track external costs by program, which currently consist of expenses for our DAY101 program and our pimasertib program. Our pimasertib product candidate was licensed from Merck KGaA, Darmstadt, Germany in February 2021, and we did not have significant external costs for pimasertib during the three months ended September 30, 2021. In the future, external expenses for any additional clinical programs will separately be broken out. However, we do not track indirect costs on a program specific basis because these costs are deployed across multiple programs and, as such, are not separately classified.</w:t>
      </w:r>
    </w:p>
    <w:p>
      <w:pPr>
        <w:spacing w:after="0" w:line="174" w:lineRule="exact"/>
        <w:rPr>
          <w:sz w:val="20"/>
          <w:szCs w:val="20"/>
          <w:color w:val="auto"/>
        </w:rPr>
      </w:pPr>
    </w:p>
    <w:p>
      <w:pPr>
        <w:ind w:right="20" w:firstLine="1146"/>
        <w:spacing w:after="0" w:line="296" w:lineRule="auto"/>
        <w:rPr>
          <w:sz w:val="20"/>
          <w:szCs w:val="20"/>
          <w:color w:val="auto"/>
        </w:rPr>
      </w:pPr>
      <w:r>
        <w:rPr>
          <w:rFonts w:ascii="Arial" w:cs="Arial" w:eastAsia="Arial" w:hAnsi="Arial"/>
          <w:sz w:val="17"/>
          <w:szCs w:val="17"/>
          <w:color w:val="auto"/>
        </w:rPr>
        <w:t>Research and development activities are central to our business model. We expect that our research and development expenses will increase substantially for the foreseeable future as we continue to implement our business strategy, advance DAY101 and pimasertib through clinical trials and conduct larger clinical trials, expand our research and development efforts, and identify, acquire and develop additional product candidates, particularly as more of our product candidates move into clinical development and later stages of clinical development.</w:t>
      </w:r>
    </w:p>
    <w:p>
      <w:pPr>
        <w:spacing w:after="0" w:line="170" w:lineRule="exact"/>
        <w:rPr>
          <w:sz w:val="20"/>
          <w:szCs w:val="20"/>
          <w:color w:val="auto"/>
        </w:rPr>
      </w:pPr>
    </w:p>
    <w:p>
      <w:pPr>
        <w:ind w:right="300" w:firstLine="1146"/>
        <w:spacing w:after="0" w:line="272" w:lineRule="auto"/>
        <w:rPr>
          <w:sz w:val="20"/>
          <w:szCs w:val="20"/>
          <w:color w:val="auto"/>
        </w:rPr>
      </w:pPr>
      <w:r>
        <w:rPr>
          <w:rFonts w:ascii="Arial" w:cs="Arial" w:eastAsia="Arial" w:hAnsi="Arial"/>
          <w:sz w:val="18"/>
          <w:szCs w:val="18"/>
          <w:color w:val="auto"/>
        </w:rPr>
        <w:t>We cannot reasonably determine the duration and costs to complete future clinical trials of DAY101, pimasertib or any other product candidate we may develop or acquire, or to what extent we will generate revenue from the commercialization and sale of any of our product candidates. The successful development and commercialization of our product candidates, as well as our ability to obtain the necessary regulatory and marketing approvals are highly uncertain. This is due to numerous risks and uncertainties associated with developing new drugs, many of which are outside of our control, including:</w:t>
      </w:r>
    </w:p>
    <w:p>
      <w:pPr>
        <w:spacing w:after="0" w:line="83" w:lineRule="exact"/>
        <w:rPr>
          <w:sz w:val="20"/>
          <w:szCs w:val="20"/>
          <w:color w:val="auto"/>
        </w:rPr>
      </w:pPr>
    </w:p>
    <w:p>
      <w:pPr>
        <w:ind w:left="1100" w:right="280"/>
        <w:spacing w:after="0" w:line="293" w:lineRule="auto"/>
        <w:rPr>
          <w:sz w:val="20"/>
          <w:szCs w:val="20"/>
          <w:color w:val="auto"/>
        </w:rPr>
      </w:pPr>
      <w:r>
        <w:rPr>
          <w:rFonts w:ascii="Arial" w:cs="Arial" w:eastAsia="Arial" w:hAnsi="Arial"/>
          <w:sz w:val="18"/>
          <w:szCs w:val="18"/>
          <w:color w:val="auto"/>
        </w:rPr>
        <w:t>the scope, rate of progress, expense and results of preclinical development activities, as well as of any future clinical trials of our product candidates, and other research and development activities we may conduct;</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uncertainties in clinical trial design;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ind w:left="1100"/>
        <w:spacing w:after="0"/>
        <w:rPr>
          <w:sz w:val="20"/>
          <w:szCs w:val="20"/>
          <w:color w:val="auto"/>
        </w:rPr>
      </w:pPr>
      <w:r>
        <w:rPr>
          <w:rFonts w:ascii="Arial" w:cs="Arial" w:eastAsia="Arial" w:hAnsi="Arial"/>
          <w:sz w:val="18"/>
          <w:szCs w:val="18"/>
          <w:color w:val="auto"/>
        </w:rPr>
        <w:t>per patient trial costs;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number of trials required for approval;</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number of sites included in the trials;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number of patients that participate in the trials;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countries in which the trials are conducted;</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length of time required to enroll eligible patients;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drop-out or discontinuation rates of patients, particularly in light of the COVID-19 pandemic environment;</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safety and efficacy profiles of our product candidates;</w:t>
      </w:r>
    </w:p>
    <w:p>
      <w:pPr>
        <w:spacing w:after="0" w:line="131" w:lineRule="exact"/>
        <w:rPr>
          <w:sz w:val="20"/>
          <w:szCs w:val="20"/>
          <w:color w:val="auto"/>
        </w:rPr>
      </w:pPr>
    </w:p>
    <w:p>
      <w:pPr>
        <w:ind w:left="1100" w:right="220"/>
        <w:spacing w:after="0" w:line="279" w:lineRule="auto"/>
        <w:rPr>
          <w:sz w:val="20"/>
          <w:szCs w:val="20"/>
          <w:color w:val="auto"/>
        </w:rPr>
      </w:pPr>
      <w:r>
        <w:rPr>
          <w:rFonts w:ascii="Arial" w:cs="Arial" w:eastAsia="Arial" w:hAnsi="Arial"/>
          <w:sz w:val="18"/>
          <w:szCs w:val="18"/>
          <w:color w:val="auto"/>
        </w:rPr>
        <w:t>The timing, receipt and terms of any approvals from applicable regulatory authorities, including the FDA, European Medicines Agency, Health Canada or other regulatory agencies of the investigational NDAs, clinical trial applications or other regulatory filings for DAY101 and future product candidates;</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obtaining and maintaining intellectual property protection and regulatory exclusivity for our product candidates;</w:t>
      </w:r>
    </w:p>
    <w:p>
      <w:pPr>
        <w:spacing w:after="0" w:line="131" w:lineRule="exact"/>
        <w:rPr>
          <w:sz w:val="20"/>
          <w:szCs w:val="20"/>
          <w:color w:val="auto"/>
        </w:rPr>
      </w:pPr>
    </w:p>
    <w:p>
      <w:pPr>
        <w:ind w:left="1100" w:right="180"/>
        <w:spacing w:after="0" w:line="293" w:lineRule="auto"/>
        <w:rPr>
          <w:sz w:val="20"/>
          <w:szCs w:val="20"/>
          <w:color w:val="auto"/>
        </w:rPr>
      </w:pPr>
      <w:r>
        <w:rPr>
          <w:rFonts w:ascii="Arial" w:cs="Arial" w:eastAsia="Arial" w:hAnsi="Arial"/>
          <w:sz w:val="18"/>
          <w:szCs w:val="18"/>
          <w:color w:val="auto"/>
        </w:rPr>
        <w:t>establishing clinical and commercial manufacturing capabilities or making arrangements with third-party manufacturers in order to ensure that we or our third-party manufacturers are able to make product successfully;</w:t>
      </w:r>
    </w:p>
    <w:p>
      <w:pPr>
        <w:spacing w:after="0" w:line="62" w:lineRule="exact"/>
        <w:rPr>
          <w:sz w:val="20"/>
          <w:szCs w:val="20"/>
          <w:color w:val="auto"/>
        </w:rPr>
      </w:pPr>
    </w:p>
    <w:p>
      <w:pPr>
        <w:ind w:left="1100"/>
        <w:spacing w:after="0" w:line="391" w:lineRule="auto"/>
        <w:rPr>
          <w:sz w:val="20"/>
          <w:szCs w:val="20"/>
          <w:color w:val="auto"/>
        </w:rPr>
      </w:pPr>
      <w:r>
        <w:rPr>
          <w:rFonts w:ascii="Arial" w:cs="Arial" w:eastAsia="Arial" w:hAnsi="Arial"/>
          <w:sz w:val="18"/>
          <w:szCs w:val="18"/>
          <w:color w:val="auto"/>
        </w:rPr>
        <w:t>retention and expansion of a workforce of experienced scientists and others to continue research and development of our product candidates; maintaining a continued acceptable safety profile of the products following any marketing approvals. significant and changing government regulation and regulatory guidance;</w:t>
      </w:r>
    </w:p>
    <w:p>
      <w:pPr>
        <w:spacing w:after="0" w:line="1" w:lineRule="exact"/>
        <w:rPr>
          <w:sz w:val="20"/>
          <w:szCs w:val="20"/>
          <w:color w:val="auto"/>
        </w:rPr>
      </w:pPr>
    </w:p>
    <w:p>
      <w:pPr>
        <w:ind w:left="1100" w:right="220"/>
        <w:spacing w:after="0" w:line="293" w:lineRule="auto"/>
        <w:rPr>
          <w:sz w:val="20"/>
          <w:szCs w:val="20"/>
          <w:color w:val="auto"/>
        </w:rPr>
      </w:pPr>
      <w:r>
        <w:rPr>
          <w:rFonts w:ascii="Arial" w:cs="Arial" w:eastAsia="Arial" w:hAnsi="Arial"/>
          <w:sz w:val="18"/>
          <w:szCs w:val="18"/>
          <w:color w:val="auto"/>
        </w:rPr>
        <w:t>the impact of any business interruptions to our operations or to those of the third parties with whom we work, particularly considering the COVID-19 pandemic environment; and</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extent to which we establish additional strategic collaborations or other arrangements.</w:t>
      </w:r>
    </w:p>
    <w:p>
      <w:pPr>
        <w:spacing w:after="0" w:line="239" w:lineRule="exact"/>
        <w:rPr>
          <w:sz w:val="20"/>
          <w:szCs w:val="20"/>
          <w:color w:val="auto"/>
        </w:rPr>
      </w:pPr>
    </w:p>
    <w:p>
      <w:pPr>
        <w:ind w:firstLine="1146"/>
        <w:spacing w:after="0" w:line="272" w:lineRule="auto"/>
        <w:rPr>
          <w:sz w:val="20"/>
          <w:szCs w:val="20"/>
          <w:color w:val="auto"/>
        </w:rPr>
      </w:pPr>
      <w:r>
        <w:rPr>
          <w:rFonts w:ascii="Arial" w:cs="Arial" w:eastAsia="Arial" w:hAnsi="Arial"/>
          <w:sz w:val="18"/>
          <w:szCs w:val="18"/>
          <w:color w:val="auto"/>
        </w:rPr>
        <w:t>A change in estimates of any of these factors could mean a significant change in the costs and timing associated with the development of our current and future product candidates. For example, if the FDA or another regulatory authority were to require us to conduct clinical trials beyond those that we currently anticipate will be required for the completion of clinical development of a product candidate, or if we experience significant delays in our clinical trials due to patient enrollment or other reasons, we could be required to expend significant additional financial resources and time on the completion of clinical development.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31" w:lineRule="exact"/>
        <w:rPr>
          <w:sz w:val="20"/>
          <w:szCs w:val="20"/>
          <w:color w:val="auto"/>
        </w:rPr>
      </w:pPr>
    </w:p>
    <w:p>
      <w:pPr>
        <w:ind w:right="100" w:firstLine="1146"/>
        <w:spacing w:after="0" w:line="314" w:lineRule="auto"/>
        <w:rPr>
          <w:sz w:val="20"/>
          <w:szCs w:val="20"/>
          <w:color w:val="auto"/>
        </w:rPr>
      </w:pPr>
      <w:r>
        <w:rPr>
          <w:rFonts w:ascii="Arial" w:cs="Arial" w:eastAsia="Arial" w:hAnsi="Arial"/>
          <w:sz w:val="16"/>
          <w:szCs w:val="16"/>
          <w:color w:val="auto"/>
        </w:rPr>
        <w:t>General and administrative expenses consist primarily of personnel-related costs, legal and professional service costs, insurance costs, and facility-related costs. Personnel-related costs include salaries, bonuses, benefits, stock-based compensation, travel expenses, and other related costs, for personnel in our executive, finance, corporate, business development and administrative functions. Legal and professional service expenses include legal fees related to intellectual property and corporate matters; professional fees for accounting, auditing, tax, human resources, business development, and other consulting services, stock-based compensation issued to certain nonemployee consultants, and travel expenses and facilities-related expenses.</w:t>
      </w:r>
    </w:p>
    <w:p>
      <w:pPr>
        <w:spacing w:after="0" w:line="160" w:lineRule="exact"/>
        <w:rPr>
          <w:sz w:val="20"/>
          <w:szCs w:val="20"/>
          <w:color w:val="auto"/>
        </w:rPr>
      </w:pPr>
    </w:p>
    <w:p>
      <w:pPr>
        <w:ind w:right="60" w:firstLine="1146"/>
        <w:spacing w:after="0" w:line="296" w:lineRule="auto"/>
        <w:rPr>
          <w:sz w:val="20"/>
          <w:szCs w:val="20"/>
          <w:color w:val="auto"/>
        </w:rPr>
      </w:pPr>
      <w:r>
        <w:rPr>
          <w:rFonts w:ascii="Arial" w:cs="Arial" w:eastAsia="Arial" w:hAnsi="Arial"/>
          <w:sz w:val="17"/>
          <w:szCs w:val="17"/>
          <w:color w:val="auto"/>
        </w:rPr>
        <w:t>We expect that our general and administrative expenses will increase substantially for the foreseeable future as we anticipate an increase in our personnel headcount to support expansion of research and development efforts for our product candidates, as well as to support our operations generally. We also expect an increase in expenses associated with being a public company, including costs related to compliance with the Nasdaq and SEC requirements; additional director and officer insurance costs; and investor and public relations costs.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fair value of derivative tranche liability</w:t>
      </w:r>
    </w:p>
    <w:p>
      <w:pPr>
        <w:spacing w:after="0" w:line="131" w:lineRule="exact"/>
        <w:rPr>
          <w:sz w:val="20"/>
          <w:szCs w:val="20"/>
          <w:color w:val="auto"/>
        </w:rPr>
      </w:pPr>
    </w:p>
    <w:p>
      <w:pPr>
        <w:ind w:right="200" w:firstLine="1146"/>
        <w:spacing w:after="0" w:line="281" w:lineRule="auto"/>
        <w:rPr>
          <w:sz w:val="20"/>
          <w:szCs w:val="20"/>
          <w:color w:val="auto"/>
        </w:rPr>
      </w:pPr>
      <w:r>
        <w:rPr>
          <w:rFonts w:ascii="Arial" w:cs="Arial" w:eastAsia="Arial" w:hAnsi="Arial"/>
          <w:sz w:val="17"/>
          <w:szCs w:val="17"/>
          <w:color w:val="auto"/>
        </w:rPr>
        <w:t>Our obligation to issue additional redeemable convertible preferred shares upon the occurrence of certain milestone events represented a freestanding financial instrument. The instrument was classified as a liability in the consolidated balance sheets and re-measured at each reporting period end and at the settlement date. Changes in the fair value were recognized in other income (expense) in the Consolidated Statements of Operations and Comprehensive Loss. The tranches were settled and reclassified to redeemable convertible preferred shares upon our issuance of additional Series A redeemable convertible preferred shares in November and December 2020.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Net loss attributable to redeemable convertible noncontrolling interest</w:t>
      </w:r>
    </w:p>
    <w:p>
      <w:pPr>
        <w:spacing w:after="0" w:line="131" w:lineRule="exact"/>
        <w:rPr>
          <w:sz w:val="20"/>
          <w:szCs w:val="20"/>
          <w:color w:val="auto"/>
        </w:rPr>
      </w:pPr>
    </w:p>
    <w:p>
      <w:pPr>
        <w:jc w:val="both"/>
        <w:ind w:right="80" w:firstLine="1146"/>
        <w:spacing w:after="0" w:line="329" w:lineRule="auto"/>
        <w:rPr>
          <w:sz w:val="20"/>
          <w:szCs w:val="20"/>
          <w:color w:val="auto"/>
        </w:rPr>
      </w:pPr>
      <w:r>
        <w:rPr>
          <w:rFonts w:ascii="Arial" w:cs="Arial" w:eastAsia="Arial" w:hAnsi="Arial"/>
          <w:sz w:val="16"/>
          <w:szCs w:val="16"/>
          <w:color w:val="auto"/>
        </w:rPr>
        <w:t>Net loss attributable to redeemable convertible noncontrolling interest represented a portion of the net loss that is not allocated to us in our subsidiary, DOT-1. On May 26, 2021, in connection with the terms of the Millennium Stock Exchange Agreement, Takeda exchanged its shares in DOT-1 for our common stock. At that time, redeemable convertible noncontrolling interest was extinguished and DOT-1 became our wholly owned subsidiary.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2021 and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2021 and 2020 (unaudited):</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6"/>
        </w:trPr>
        <w:tc>
          <w:tcPr>
            <w:tcW w:w="4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top w:val="single" w:sz="8" w:color="auto"/>
            </w:tcBorders>
            <w:shd w:val="clear" w:color="auto" w:fill="CFF0FC"/>
          </w:tcPr>
          <w:p>
            <w:pPr>
              <w:spacing w:after="0"/>
              <w:rPr>
                <w:sz w:val="22"/>
                <w:szCs w:val="22"/>
                <w:color w:val="auto"/>
              </w:rPr>
            </w:pPr>
          </w:p>
        </w:tc>
        <w:tc>
          <w:tcPr>
            <w:tcW w:w="860" w:type="dxa"/>
            <w:vAlign w:val="bottom"/>
            <w:tcBorders>
              <w:top w:val="single" w:sz="8" w:color="auto"/>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40" w:type="dxa"/>
            <w:vAlign w:val="bottom"/>
            <w:tcBorders>
              <w:top w:val="single" w:sz="8" w:color="auto"/>
            </w:tcBorders>
            <w:shd w:val="clear" w:color="auto" w:fill="CFF0FC"/>
          </w:tcPr>
          <w:p>
            <w:pPr>
              <w:spacing w:after="0"/>
              <w:rPr>
                <w:sz w:val="22"/>
                <w:szCs w:val="22"/>
                <w:color w:val="auto"/>
              </w:rPr>
            </w:pPr>
          </w:p>
        </w:tc>
        <w:tc>
          <w:tcPr>
            <w:tcW w:w="74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92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9,849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2,537</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7,312</w:t>
            </w:r>
          </w:p>
        </w:tc>
        <w:tc>
          <w:tcPr>
            <w:tcW w:w="2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257"/>
        </w:trPr>
        <w:tc>
          <w:tcPr>
            <w:tcW w:w="4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9,392</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8,368</w:t>
            </w:r>
          </w:p>
        </w:tc>
        <w:tc>
          <w:tcPr>
            <w:tcW w:w="20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817 %</w:t>
            </w:r>
          </w:p>
        </w:tc>
        <w:tc>
          <w:tcPr>
            <w:tcW w:w="0" w:type="dxa"/>
            <w:vAlign w:val="bottom"/>
          </w:tcPr>
          <w:p>
            <w:pPr>
              <w:spacing w:after="0"/>
              <w:rPr>
                <w:sz w:val="1"/>
                <w:szCs w:val="1"/>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3,561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15,680</w:t>
            </w:r>
          </w:p>
        </w:tc>
        <w:tc>
          <w:tcPr>
            <w:tcW w:w="2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440 %</w:t>
            </w:r>
          </w:p>
        </w:tc>
        <w:tc>
          <w:tcPr>
            <w:tcW w:w="0" w:type="dxa"/>
            <w:vAlign w:val="bottom"/>
          </w:tcPr>
          <w:p>
            <w:pPr>
              <w:spacing w:after="0"/>
              <w:rPr>
                <w:sz w:val="1"/>
                <w:szCs w:val="1"/>
                <w:color w:val="auto"/>
              </w:rPr>
            </w:pPr>
          </w:p>
        </w:tc>
      </w:tr>
      <w:tr>
        <w:trPr>
          <w:trHeight w:val="256"/>
        </w:trPr>
        <w:tc>
          <w:tcPr>
            <w:tcW w:w="4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(19,241 )</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(3,561 )</w:t>
            </w:r>
          </w:p>
        </w:tc>
        <w:tc>
          <w:tcPr>
            <w:tcW w:w="1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(15,680 )</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440 %</w:t>
            </w:r>
          </w:p>
        </w:tc>
        <w:tc>
          <w:tcPr>
            <w:tcW w:w="0" w:type="dxa"/>
            <w:vAlign w:val="bottom"/>
          </w:tcPr>
          <w:p>
            <w:pPr>
              <w:spacing w:after="0"/>
              <w:rPr>
                <w:sz w:val="1"/>
                <w:szCs w:val="1"/>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(9 )</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6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(1 )</w:t>
            </w:r>
          </w:p>
        </w:tc>
        <w:tc>
          <w:tcPr>
            <w:tcW w:w="1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Changes in fair value of derivative tranche liability</w:t>
            </w:r>
          </w:p>
        </w:tc>
        <w:tc>
          <w:tcPr>
            <w:tcW w:w="260" w:type="dxa"/>
            <w:vAlign w:val="bottom"/>
          </w:tcPr>
          <w:p>
            <w:pPr>
              <w:spacing w:after="0"/>
              <w:rPr>
                <w:sz w:val="21"/>
                <w:szCs w:val="21"/>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(271 )</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and comprehensive loss</w:t>
            </w:r>
          </w:p>
        </w:tc>
        <w:tc>
          <w:tcPr>
            <w:tcW w:w="26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(19,240 )</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(3,842 )</w:t>
            </w:r>
          </w:p>
        </w:tc>
        <w:tc>
          <w:tcPr>
            <w:tcW w:w="1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(15,398 )</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401 %</w:t>
            </w:r>
          </w:p>
        </w:tc>
        <w:tc>
          <w:tcPr>
            <w:tcW w:w="0" w:type="dxa"/>
            <w:vAlign w:val="bottom"/>
          </w:tcPr>
          <w:p>
            <w:pPr>
              <w:spacing w:after="0"/>
              <w:rPr>
                <w:sz w:val="1"/>
                <w:szCs w:val="1"/>
                <w:color w:val="auto"/>
              </w:rPr>
            </w:pPr>
          </w:p>
        </w:tc>
      </w:tr>
      <w:tr>
        <w:trPr>
          <w:trHeight w:val="242"/>
        </w:trPr>
        <w:tc>
          <w:tcPr>
            <w:tcW w:w="49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Net loss attributable to redeemable convertible</w:t>
            </w: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1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0"/>
                <w:szCs w:val="20"/>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(1,018 )</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1,018</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common share</w:t>
            </w: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(19,240 )</w:t>
            </w:r>
          </w:p>
        </w:tc>
        <w:tc>
          <w:tcPr>
            <w:tcW w:w="120" w:type="dxa"/>
            <w:vAlign w:val="bottom"/>
            <w:shd w:val="clear" w:color="auto" w:fill="CFF0FC"/>
          </w:tcPr>
          <w:p>
            <w:pPr>
              <w:spacing w:after="0"/>
              <w:rPr>
                <w:sz w:val="21"/>
                <w:szCs w:val="21"/>
                <w:color w:val="auto"/>
              </w:rPr>
            </w:pPr>
          </w:p>
        </w:tc>
        <w:tc>
          <w:tcPr>
            <w:tcW w:w="340" w:type="dxa"/>
            <w:vAlign w:val="bottom"/>
            <w:vMerge w:val="restart"/>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(2,824 )</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(16,416 )</w:t>
            </w:r>
          </w:p>
        </w:tc>
        <w:tc>
          <w:tcPr>
            <w:tcW w:w="12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581 %</w:t>
            </w: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members / common stockholders</w:t>
            </w:r>
          </w:p>
        </w:tc>
        <w:tc>
          <w:tcPr>
            <w:tcW w:w="260" w:type="dxa"/>
            <w:vAlign w:val="bottom"/>
            <w:vMerge w:val="continue"/>
            <w:shd w:val="clear" w:color="auto" w:fill="CFF0FC"/>
          </w:tcPr>
          <w:p>
            <w:pPr>
              <w:spacing w:after="0"/>
              <w:rPr>
                <w:sz w:val="19"/>
                <w:szCs w:val="19"/>
                <w:color w:val="auto"/>
              </w:rPr>
            </w:pPr>
          </w:p>
        </w:tc>
        <w:tc>
          <w:tcPr>
            <w:tcW w:w="98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vMerge w:val="continue"/>
            <w:shd w:val="clear" w:color="auto" w:fill="CFF0FC"/>
          </w:tcPr>
          <w:p>
            <w:pPr>
              <w:spacing w:after="0"/>
              <w:rPr>
                <w:sz w:val="19"/>
                <w:szCs w:val="19"/>
                <w:color w:val="auto"/>
              </w:rPr>
            </w:pPr>
          </w:p>
        </w:tc>
        <w:tc>
          <w:tcPr>
            <w:tcW w:w="980" w:type="dxa"/>
            <w:vAlign w:val="bottom"/>
            <w:gridSpan w:val="2"/>
            <w:vMerge w:val="continue"/>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12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-1616710</wp:posOffset>
            </wp:positionV>
            <wp:extent cx="14605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-1616710</wp:posOffset>
            </wp:positionV>
            <wp:extent cx="14605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-1616710</wp:posOffset>
            </wp:positionV>
            <wp:extent cx="12890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-1616710</wp:posOffset>
            </wp:positionV>
            <wp:extent cx="163195"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-1282065</wp:posOffset>
            </wp:positionV>
            <wp:extent cx="14605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-1282065</wp:posOffset>
            </wp:positionV>
            <wp:extent cx="14605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-1282065</wp:posOffset>
            </wp:positionV>
            <wp:extent cx="12890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-1282065</wp:posOffset>
            </wp:positionV>
            <wp:extent cx="163195"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-622300</wp:posOffset>
            </wp:positionV>
            <wp:extent cx="6858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-622300</wp:posOffset>
            </wp:positionV>
            <wp:extent cx="14605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-622300</wp:posOffset>
            </wp:positionV>
            <wp:extent cx="12890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-622300</wp:posOffset>
            </wp:positionV>
            <wp:extent cx="163195"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-24765</wp:posOffset>
            </wp:positionV>
            <wp:extent cx="14605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14605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14605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14605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12890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12890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-24765</wp:posOffset>
            </wp:positionV>
            <wp:extent cx="16319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-7620</wp:posOffset>
            </wp:positionV>
            <wp:extent cx="16319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31" w:lineRule="exact"/>
        <w:rPr>
          <w:sz w:val="20"/>
          <w:szCs w:val="20"/>
          <w:color w:val="auto"/>
        </w:rPr>
      </w:pPr>
    </w:p>
    <w:p>
      <w:pPr>
        <w:ind w:firstLine="1146"/>
        <w:spacing w:after="0" w:line="311" w:lineRule="auto"/>
        <w:rPr>
          <w:sz w:val="20"/>
          <w:szCs w:val="20"/>
          <w:color w:val="auto"/>
        </w:rPr>
      </w:pPr>
      <w:r>
        <w:rPr>
          <w:rFonts w:ascii="Arial" w:cs="Arial" w:eastAsia="Arial" w:hAnsi="Arial"/>
          <w:sz w:val="16"/>
          <w:szCs w:val="16"/>
          <w:color w:val="auto"/>
        </w:rPr>
        <w:t>Research and development expenses for the three months ended September 30, 2021 were $9.8 million, compared to $2.5 million for the three months ended September 30, 2020. Third-party expenses increased by $4.5 million in the three months ended September 30, 2021 as compared to September 30, 2020, due primarily to an increase in clinical trial, manufacturing, and other product development expenses. Our personnel related expenses increased by $2.7 million resulting from additional headcount, and stock-based compensation expense recognized in the three months ended September 30, 2021 compared to the same period in 2020. We expect that our research and development expenses will continue to increase to support our clinical development and licensing of new product candidates and hiring and expanding our internal research and developments operations.</w:t>
      </w:r>
    </w:p>
    <w:p>
      <w:pPr>
        <w:spacing w:after="0" w:line="16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following table summarizes our external and internal research and development expenses for the three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and 2020:</w:t>
      </w:r>
    </w:p>
    <w:p>
      <w:pPr>
        <w:spacing w:after="0" w:line="297" w:lineRule="exact"/>
        <w:rPr>
          <w:sz w:val="20"/>
          <w:szCs w:val="20"/>
          <w:color w:val="auto"/>
        </w:rPr>
      </w:pPr>
    </w:p>
    <w:p>
      <w:pPr>
        <w:jc w:val="center"/>
        <w:ind w:left="502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p>
      <w:pPr>
        <w:jc w:val="center"/>
        <w:ind w:left="50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17145</wp:posOffset>
            </wp:positionV>
            <wp:extent cx="16973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4"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196"/>
        </w:trPr>
        <w:tc>
          <w:tcPr>
            <w:tcW w:w="5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9"/>
              </w:rPr>
              <w:t>(in thousands)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2"/>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External costs:</w:t>
            </w:r>
          </w:p>
        </w:tc>
        <w:tc>
          <w:tcPr>
            <w:tcW w:w="8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20"/>
        </w:trPr>
        <w:tc>
          <w:tcPr>
            <w:tcW w:w="5100" w:type="dxa"/>
            <w:vAlign w:val="bottom"/>
          </w:tcPr>
          <w:p>
            <w:pPr>
              <w:spacing w:after="0"/>
              <w:rPr>
                <w:sz w:val="20"/>
                <w:szCs w:val="20"/>
                <w:color w:val="auto"/>
              </w:rPr>
            </w:pPr>
            <w:r>
              <w:rPr>
                <w:rFonts w:ascii="Arial" w:cs="Arial" w:eastAsia="Arial" w:hAnsi="Arial"/>
                <w:sz w:val="18"/>
                <w:szCs w:val="18"/>
                <w:color w:val="auto"/>
              </w:rPr>
              <w:t>Third-party CRO, CMO and other third-party clinical</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66"/>
        </w:trPr>
        <w:tc>
          <w:tcPr>
            <w:tcW w:w="5100" w:type="dxa"/>
            <w:vAlign w:val="bottom"/>
          </w:tcPr>
          <w:p>
            <w:pPr>
              <w:ind w:left="140"/>
              <w:spacing w:after="0" w:line="266" w:lineRule="exact"/>
              <w:rPr>
                <w:sz w:val="20"/>
                <w:szCs w:val="20"/>
                <w:color w:val="auto"/>
              </w:rPr>
            </w:pPr>
            <w:r>
              <w:rPr>
                <w:rFonts w:ascii="Arial" w:cs="Arial" w:eastAsia="Arial" w:hAnsi="Arial"/>
                <w:sz w:val="18"/>
                <w:szCs w:val="18"/>
                <w:color w:val="auto"/>
              </w:rPr>
              <w:t xml:space="preserve">trial costs </w:t>
            </w:r>
            <w:r>
              <w:rPr>
                <w:rFonts w:ascii="Arial" w:cs="Arial" w:eastAsia="Arial" w:hAnsi="Arial"/>
                <w:sz w:val="24"/>
                <w:szCs w:val="24"/>
                <w:color w:val="auto"/>
                <w:vertAlign w:val="superscript"/>
              </w:rPr>
              <w:t>(1)</w:t>
            </w: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6,391</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1,845</w:t>
            </w:r>
          </w:p>
        </w:tc>
        <w:tc>
          <w:tcPr>
            <w:tcW w:w="80" w:type="dxa"/>
            <w:vAlign w:val="bottom"/>
          </w:tcPr>
          <w:p>
            <w:pPr>
              <w:spacing w:after="0"/>
              <w:rPr>
                <w:sz w:val="23"/>
                <w:szCs w:val="23"/>
                <w:color w:val="auto"/>
              </w:rPr>
            </w:pPr>
          </w:p>
        </w:tc>
      </w:tr>
      <w:tr>
        <w:trPr>
          <w:trHeight w:val="242"/>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Other research and development costs, including laboratory</w:t>
            </w:r>
          </w:p>
        </w:tc>
        <w:tc>
          <w:tcPr>
            <w:tcW w:w="8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4"/>
        </w:trPr>
        <w:tc>
          <w:tcPr>
            <w:tcW w:w="5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materials and supplies</w:t>
            </w:r>
          </w:p>
        </w:tc>
        <w:tc>
          <w:tcPr>
            <w:tcW w:w="8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1"/>
                <w:szCs w:val="21"/>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18"/>
                <w:szCs w:val="18"/>
                <w:color w:val="auto"/>
              </w:rPr>
              <w:t>Internal costs:</w:t>
            </w: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7"/>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related expenses</w:t>
            </w:r>
          </w:p>
        </w:tc>
        <w:tc>
          <w:tcPr>
            <w:tcW w:w="80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3,422</w:t>
            </w:r>
          </w:p>
        </w:tc>
        <w:tc>
          <w:tcPr>
            <w:tcW w:w="18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9,849</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2,537</w:t>
            </w:r>
          </w:p>
        </w:tc>
        <w:tc>
          <w:tcPr>
            <w:tcW w:w="80" w:type="dxa"/>
            <w:vAlign w:val="bottom"/>
          </w:tcPr>
          <w:p>
            <w:pPr>
              <w:spacing w:after="0"/>
              <w:rPr>
                <w:sz w:val="21"/>
                <w:szCs w:val="21"/>
                <w:color w:val="auto"/>
              </w:rPr>
            </w:pPr>
          </w:p>
        </w:tc>
      </w:tr>
      <w:tr>
        <w:trPr>
          <w:trHeight w:val="20"/>
        </w:trPr>
        <w:tc>
          <w:tcPr>
            <w:tcW w:w="5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-193675</wp:posOffset>
            </wp:positionV>
            <wp:extent cx="12001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-193675</wp:posOffset>
            </wp:positionV>
            <wp:extent cx="5143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49" w:lineRule="exact"/>
        <w:rPr>
          <w:sz w:val="20"/>
          <w:szCs w:val="20"/>
          <w:color w:val="auto"/>
        </w:rPr>
      </w:pPr>
    </w:p>
    <w:p>
      <w:pPr>
        <w:jc w:val="both"/>
        <w:ind w:left="440" w:right="160" w:hanging="432"/>
        <w:spacing w:after="0" w:line="266"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Third-party CRO, CMO and other third-party clinical trial costs for DAY 101 program and pimasertib program were $6.2 million and $0.2 million for three months ended September 30, 2021. For the three months ended September 30, 2020, third-party CRO, CMO and other third-party clinical trial costs were attributable to the DAY101 program.</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41"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1" w:lineRule="exact"/>
        <w:rPr>
          <w:sz w:val="20"/>
          <w:szCs w:val="20"/>
          <w:color w:val="auto"/>
        </w:rPr>
      </w:pPr>
    </w:p>
    <w:p>
      <w:pPr>
        <w:ind w:firstLine="1146"/>
        <w:spacing w:after="0" w:line="275" w:lineRule="auto"/>
        <w:rPr>
          <w:sz w:val="20"/>
          <w:szCs w:val="20"/>
          <w:color w:val="auto"/>
        </w:rPr>
      </w:pPr>
      <w:r>
        <w:rPr>
          <w:rFonts w:ascii="Arial" w:cs="Arial" w:eastAsia="Arial" w:hAnsi="Arial"/>
          <w:sz w:val="18"/>
          <w:szCs w:val="18"/>
          <w:color w:val="auto"/>
        </w:rPr>
        <w:t>General and administrative expenses increased $8.4 million, from $1.0 million for the three months ended September 30, 2020 to $9.4 million for the three months ended September 30, 2021. The increase in general and administrative expenses was primarily due to $5.1 million in employee compensation costs driven by headcount growth, approximately $3.0 million in legal and professional services driven by operational support and the cost of operating as a public company, and $0.3 million in facilities costs and other expenses.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fair value of derivative tranche liability</w:t>
      </w:r>
    </w:p>
    <w:p>
      <w:pPr>
        <w:spacing w:after="0" w:line="131" w:lineRule="exact"/>
        <w:rPr>
          <w:sz w:val="20"/>
          <w:szCs w:val="20"/>
          <w:color w:val="auto"/>
        </w:rPr>
      </w:pPr>
    </w:p>
    <w:p>
      <w:pPr>
        <w:ind w:right="180" w:firstLine="1146"/>
        <w:spacing w:after="0" w:line="303" w:lineRule="auto"/>
        <w:rPr>
          <w:sz w:val="20"/>
          <w:szCs w:val="20"/>
          <w:color w:val="auto"/>
        </w:rPr>
      </w:pPr>
      <w:r>
        <w:rPr>
          <w:rFonts w:ascii="Arial" w:cs="Arial" w:eastAsia="Arial" w:hAnsi="Arial"/>
          <w:sz w:val="17"/>
          <w:szCs w:val="17"/>
          <w:color w:val="auto"/>
        </w:rPr>
        <w:t>During three months ended September 30, 2020, we recorded $0.3 million expense relating to changes in the fair value of the derivative tranche liability which resulted from milestone closings of our Series A redeemable convertible preferred shares financing. As of December 31, 2020, the derivative tranche liability was settled and no expense recognized during the three months ended September 30, 2021.</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2021 and 2020</w:t>
      </w:r>
    </w:p>
    <w:p>
      <w:pPr>
        <w:spacing w:after="0" w:line="13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The following table summarizes our results of operations for the nine months ended September 30, 2021 and 2020 (unaudited):</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332"/>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6"/>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top w:val="single" w:sz="8" w:color="auto"/>
            </w:tcBorders>
            <w:shd w:val="clear" w:color="auto" w:fill="CFF0FC"/>
          </w:tcPr>
          <w:p>
            <w:pPr>
              <w:spacing w:after="0"/>
              <w:rPr>
                <w:sz w:val="22"/>
                <w:szCs w:val="22"/>
                <w:color w:val="auto"/>
              </w:rPr>
            </w:pPr>
          </w:p>
        </w:tc>
        <w:tc>
          <w:tcPr>
            <w:tcW w:w="86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60" w:type="dxa"/>
            <w:vAlign w:val="bottom"/>
            <w:tcBorders>
              <w:top w:val="single" w:sz="8" w:color="auto"/>
            </w:tcBorders>
            <w:shd w:val="clear" w:color="auto" w:fill="CFF0FC"/>
          </w:tcPr>
          <w:p>
            <w:pPr>
              <w:spacing w:after="0"/>
              <w:rPr>
                <w:sz w:val="22"/>
                <w:szCs w:val="22"/>
                <w:color w:val="auto"/>
              </w:rPr>
            </w:pPr>
          </w:p>
        </w:tc>
        <w:tc>
          <w:tcPr>
            <w:tcW w:w="74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94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32,395</w:t>
            </w:r>
          </w:p>
        </w:tc>
        <w:tc>
          <w:tcPr>
            <w:tcW w:w="2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4,935</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27,460</w:t>
            </w:r>
          </w:p>
        </w:tc>
        <w:tc>
          <w:tcPr>
            <w:tcW w:w="2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556.4 %</w:t>
            </w:r>
          </w:p>
        </w:tc>
        <w:tc>
          <w:tcPr>
            <w:tcW w:w="0" w:type="dxa"/>
            <w:vAlign w:val="bottom"/>
          </w:tcPr>
          <w:p>
            <w:pPr>
              <w:spacing w:after="0"/>
              <w:rPr>
                <w:sz w:val="1"/>
                <w:szCs w:val="1"/>
                <w:color w:val="auto"/>
              </w:rPr>
            </w:pPr>
          </w:p>
        </w:tc>
      </w:tr>
      <w:tr>
        <w:trPr>
          <w:trHeight w:val="257"/>
        </w:trPr>
        <w:tc>
          <w:tcPr>
            <w:tcW w:w="4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18,373</w:t>
            </w: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2,703</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15,670</w:t>
            </w:r>
          </w:p>
        </w:tc>
        <w:tc>
          <w:tcPr>
            <w:tcW w:w="20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579.7 %</w:t>
            </w: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50,768</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7,638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43,130</w:t>
            </w:r>
          </w:p>
        </w:tc>
        <w:tc>
          <w:tcPr>
            <w:tcW w:w="2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564.7 %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(50,768 )</w:t>
            </w:r>
          </w:p>
        </w:tc>
        <w:tc>
          <w:tcPr>
            <w:tcW w:w="3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(7,638 )</w:t>
            </w: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(43,130 )</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564.7 %</w:t>
            </w: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(19 )</w:t>
            </w:r>
          </w:p>
        </w:tc>
        <w:tc>
          <w:tcPr>
            <w:tcW w:w="3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(22 )</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6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26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(29 )</w:t>
            </w:r>
          </w:p>
        </w:tc>
        <w:tc>
          <w:tcPr>
            <w:tcW w:w="36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(5 )</w:t>
            </w:r>
          </w:p>
        </w:tc>
        <w:tc>
          <w:tcPr>
            <w:tcW w:w="18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(24 )</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18"/>
                <w:szCs w:val="18"/>
                <w:color w:val="auto"/>
              </w:rPr>
              <w:t>Changes in fair value of derivative tranche liability</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(578 )</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578</w:t>
            </w:r>
          </w:p>
        </w:tc>
        <w:tc>
          <w:tcPr>
            <w:tcW w:w="2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and comprehensive loss</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(50,816 )</w:t>
            </w:r>
          </w:p>
        </w:tc>
        <w:tc>
          <w:tcPr>
            <w:tcW w:w="3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(8,243 )</w:t>
            </w: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(42,573 )</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516.5 %</w:t>
            </w:r>
          </w:p>
        </w:tc>
        <w:tc>
          <w:tcPr>
            <w:tcW w:w="0" w:type="dxa"/>
            <w:vAlign w:val="bottom"/>
          </w:tcPr>
          <w:p>
            <w:pPr>
              <w:spacing w:after="0"/>
              <w:rPr>
                <w:sz w:val="1"/>
                <w:szCs w:val="1"/>
                <w:color w:val="auto"/>
              </w:rPr>
            </w:pPr>
          </w:p>
        </w:tc>
      </w:tr>
      <w:tr>
        <w:trPr>
          <w:trHeight w:val="242"/>
        </w:trPr>
        <w:tc>
          <w:tcPr>
            <w:tcW w:w="49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Net loss attributable to redeemable convertible</w:t>
            </w: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1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(2,109 )</w:t>
            </w:r>
          </w:p>
        </w:tc>
        <w:tc>
          <w:tcPr>
            <w:tcW w:w="3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(2,113 )</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4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Exchange of redeemable noncontrolling interest</w:t>
            </w:r>
          </w:p>
        </w:tc>
        <w:tc>
          <w:tcPr>
            <w:tcW w:w="260" w:type="dxa"/>
            <w:vAlign w:val="bottom"/>
            <w:shd w:val="clear" w:color="auto" w:fill="CFF0FC"/>
          </w:tcPr>
          <w:p>
            <w:pPr>
              <w:spacing w:after="0"/>
              <w:rPr>
                <w:sz w:val="21"/>
                <w:szCs w:val="21"/>
                <w:color w:val="auto"/>
              </w:rPr>
            </w:pPr>
          </w:p>
        </w:tc>
        <w:tc>
          <w:tcPr>
            <w:tcW w:w="11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(99,994 )</w:t>
            </w: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(99,994 )</w:t>
            </w:r>
          </w:p>
        </w:tc>
        <w:tc>
          <w:tcPr>
            <w:tcW w:w="12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 deemed dividend</w:t>
            </w:r>
          </w:p>
        </w:tc>
        <w:tc>
          <w:tcPr>
            <w:tcW w:w="260" w:type="dxa"/>
            <w:vAlign w:val="bottom"/>
            <w:shd w:val="clear" w:color="auto" w:fill="CFF0FC"/>
          </w:tcPr>
          <w:p>
            <w:pPr>
              <w:spacing w:after="0"/>
              <w:rPr>
                <w:sz w:val="20"/>
                <w:szCs w:val="20"/>
                <w:color w:val="auto"/>
              </w:rPr>
            </w:pPr>
          </w:p>
        </w:tc>
        <w:tc>
          <w:tcPr>
            <w:tcW w:w="1100" w:type="dxa"/>
            <w:vAlign w:val="bottom"/>
            <w:gridSpan w:val="2"/>
            <w:vMerge w:val="continue"/>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vMerge w:val="continue"/>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00" w:type="dxa"/>
            <w:vAlign w:val="bottom"/>
          </w:tcPr>
          <w:p>
            <w:pPr>
              <w:spacing w:after="0"/>
              <w:rPr>
                <w:sz w:val="20"/>
                <w:szCs w:val="20"/>
                <w:color w:val="auto"/>
              </w:rPr>
            </w:pPr>
            <w:r>
              <w:rPr>
                <w:rFonts w:ascii="Arial" w:cs="Arial" w:eastAsia="Arial" w:hAnsi="Arial"/>
                <w:sz w:val="18"/>
                <w:szCs w:val="18"/>
                <w:color w:val="auto"/>
              </w:rPr>
              <w:t>Net loss attributable to common share</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(148,701 )</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(6,130 )</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(142,571 )</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2325.8 %</w:t>
            </w:r>
          </w:p>
        </w:tc>
        <w:tc>
          <w:tcPr>
            <w:tcW w:w="0" w:type="dxa"/>
            <w:vAlign w:val="bottom"/>
          </w:tcPr>
          <w:p>
            <w:pPr>
              <w:spacing w:after="0"/>
              <w:rPr>
                <w:sz w:val="1"/>
                <w:szCs w:val="1"/>
                <w:color w:val="auto"/>
              </w:rPr>
            </w:pPr>
          </w:p>
        </w:tc>
      </w:tr>
      <w:tr>
        <w:trPr>
          <w:trHeight w:val="203"/>
        </w:trPr>
        <w:tc>
          <w:tcPr>
            <w:tcW w:w="4900" w:type="dxa"/>
            <w:vAlign w:val="bottom"/>
          </w:tcPr>
          <w:p>
            <w:pPr>
              <w:ind w:left="140"/>
              <w:spacing w:after="0" w:line="203" w:lineRule="exact"/>
              <w:rPr>
                <w:sz w:val="20"/>
                <w:szCs w:val="20"/>
                <w:color w:val="auto"/>
              </w:rPr>
            </w:pPr>
            <w:r>
              <w:rPr>
                <w:rFonts w:ascii="Arial" w:cs="Arial" w:eastAsia="Arial" w:hAnsi="Arial"/>
                <w:sz w:val="18"/>
                <w:szCs w:val="18"/>
                <w:color w:val="auto"/>
              </w:rPr>
              <w:t>members /common stockholders</w:t>
            </w:r>
          </w:p>
        </w:tc>
        <w:tc>
          <w:tcPr>
            <w:tcW w:w="26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-1942465</wp:posOffset>
            </wp:positionV>
            <wp:extent cx="14541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-1942465</wp:posOffset>
            </wp:positionV>
            <wp:extent cx="14605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-1942465</wp:posOffset>
            </wp:positionV>
            <wp:extent cx="12890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-1942465</wp:posOffset>
            </wp:positionV>
            <wp:extent cx="16319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-1599565</wp:posOffset>
            </wp:positionV>
            <wp:extent cx="14541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-1599565</wp:posOffset>
            </wp:positionV>
            <wp:extent cx="14605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-1599565</wp:posOffset>
            </wp:positionV>
            <wp:extent cx="12890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-1599565</wp:posOffset>
            </wp:positionV>
            <wp:extent cx="16319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-930910</wp:posOffset>
            </wp:positionV>
            <wp:extent cx="14541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-930910</wp:posOffset>
            </wp:positionV>
            <wp:extent cx="14605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-930910</wp:posOffset>
            </wp:positionV>
            <wp:extent cx="12890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-930910</wp:posOffset>
            </wp:positionV>
            <wp:extent cx="16319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-313690</wp:posOffset>
            </wp:positionV>
            <wp:extent cx="14541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-313690</wp:posOffset>
            </wp:positionV>
            <wp:extent cx="14605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-313690</wp:posOffset>
            </wp:positionV>
            <wp:extent cx="12890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-313690</wp:posOffset>
            </wp:positionV>
            <wp:extent cx="163195"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63195" cy="571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31" w:lineRule="exact"/>
        <w:rPr>
          <w:sz w:val="20"/>
          <w:szCs w:val="20"/>
          <w:color w:val="auto"/>
        </w:rPr>
      </w:pPr>
    </w:p>
    <w:p>
      <w:pPr>
        <w:ind w:right="60" w:firstLine="1146"/>
        <w:spacing w:after="0" w:line="266" w:lineRule="auto"/>
        <w:rPr>
          <w:sz w:val="20"/>
          <w:szCs w:val="20"/>
          <w:color w:val="auto"/>
        </w:rPr>
      </w:pPr>
      <w:r>
        <w:rPr>
          <w:rFonts w:ascii="Arial" w:cs="Arial" w:eastAsia="Arial" w:hAnsi="Arial"/>
          <w:sz w:val="18"/>
          <w:szCs w:val="18"/>
          <w:color w:val="auto"/>
        </w:rPr>
        <w:t>Research and development expenses for the nine months ended September 30, 2021 were $32.4 million, compared to $4.9 million for the nine months ended September 30, 2020. We recorded $11.0 million in expenses related to the licensing agreements for DAY101 and pimasertib. Third-party expenses increased by $11.7 million in the nine months ended September 30, 2021 as compared to the nine months ended September 30, 2020, due primarily to an increase in clinical trial and product development expenses. Our personnel related expenses increased by $4.7 million resulting from additional headcount and stock-based compensation expenses. We expect that our research and development expenses will continue to increase as we ramp our clinical development activities, look to license new product candidates and hire additional talent for our expanding in research and developments operations.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ind w:right="260" w:firstLine="1153"/>
        <w:spacing w:after="0" w:line="293" w:lineRule="auto"/>
        <w:rPr>
          <w:sz w:val="20"/>
          <w:szCs w:val="20"/>
          <w:color w:val="auto"/>
        </w:rPr>
      </w:pPr>
      <w:r>
        <w:rPr>
          <w:rFonts w:ascii="Arial" w:cs="Arial" w:eastAsia="Arial" w:hAnsi="Arial"/>
          <w:sz w:val="18"/>
          <w:szCs w:val="18"/>
          <w:color w:val="auto"/>
        </w:rPr>
        <w:t>The following table summarizes our external and internal research and development expenses for the nine months ended September 30, 2021 and 2020 (unaudited):</w:t>
      </w:r>
    </w:p>
    <w:p>
      <w:pPr>
        <w:spacing w:after="0" w:line="229" w:lineRule="exact"/>
        <w:rPr>
          <w:sz w:val="20"/>
          <w:szCs w:val="20"/>
          <w:color w:val="auto"/>
        </w:rPr>
      </w:pPr>
    </w:p>
    <w:p>
      <w:pPr>
        <w:jc w:val="center"/>
        <w:ind w:left="500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jc w:val="center"/>
        <w:ind w:left="50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173164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4"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196"/>
        </w:trPr>
        <w:tc>
          <w:tcPr>
            <w:tcW w:w="5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3"/>
        </w:trPr>
        <w:tc>
          <w:tcPr>
            <w:tcW w:w="5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External costs:</w:t>
            </w: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42"/>
        </w:trPr>
        <w:tc>
          <w:tcPr>
            <w:tcW w:w="5060" w:type="dxa"/>
            <w:vAlign w:val="bottom"/>
          </w:tcPr>
          <w:p>
            <w:pPr>
              <w:spacing w:after="0"/>
              <w:rPr>
                <w:sz w:val="20"/>
                <w:szCs w:val="20"/>
                <w:color w:val="auto"/>
              </w:rPr>
            </w:pPr>
            <w:r>
              <w:rPr>
                <w:rFonts w:ascii="Arial" w:cs="Arial" w:eastAsia="Arial" w:hAnsi="Arial"/>
                <w:sz w:val="18"/>
                <w:szCs w:val="18"/>
                <w:color w:val="auto"/>
              </w:rPr>
              <w:t>Research and development related to the MRKDG License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060" w:type="dxa"/>
            <w:vAlign w:val="bottom"/>
          </w:tcPr>
          <w:p>
            <w:pPr>
              <w:ind w:left="140"/>
              <w:spacing w:after="0"/>
              <w:rPr>
                <w:sz w:val="20"/>
                <w:szCs w:val="20"/>
                <w:color w:val="auto"/>
              </w:rPr>
            </w:pPr>
            <w:r>
              <w:rPr>
                <w:rFonts w:ascii="Arial" w:cs="Arial" w:eastAsia="Arial" w:hAnsi="Arial"/>
                <w:sz w:val="18"/>
                <w:szCs w:val="18"/>
                <w:color w:val="auto"/>
              </w:rPr>
              <w:t>Agreement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8,000</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4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Third-party CRO, CMO and other third-party clinical</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4"/>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trial costs</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14,555</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2,774</w:t>
            </w:r>
          </w:p>
        </w:tc>
        <w:tc>
          <w:tcPr>
            <w:tcW w:w="80" w:type="dxa"/>
            <w:vAlign w:val="bottom"/>
            <w:shd w:val="clear" w:color="auto" w:fill="CFF0FC"/>
          </w:tcPr>
          <w:p>
            <w:pPr>
              <w:spacing w:after="0"/>
              <w:rPr>
                <w:sz w:val="21"/>
                <w:szCs w:val="21"/>
                <w:color w:val="auto"/>
              </w:rPr>
            </w:pPr>
          </w:p>
        </w:tc>
      </w:tr>
      <w:tr>
        <w:trPr>
          <w:trHeight w:val="242"/>
        </w:trPr>
        <w:tc>
          <w:tcPr>
            <w:tcW w:w="5060" w:type="dxa"/>
            <w:vAlign w:val="bottom"/>
          </w:tcPr>
          <w:p>
            <w:pPr>
              <w:spacing w:after="0"/>
              <w:rPr>
                <w:sz w:val="20"/>
                <w:szCs w:val="20"/>
                <w:color w:val="auto"/>
              </w:rPr>
            </w:pPr>
            <w:r>
              <w:rPr>
                <w:rFonts w:ascii="Arial" w:cs="Arial" w:eastAsia="Arial" w:hAnsi="Arial"/>
                <w:sz w:val="18"/>
                <w:szCs w:val="18"/>
                <w:color w:val="auto"/>
              </w:rPr>
              <w:t>Milestone payment related to the Viracta License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060" w:type="dxa"/>
            <w:vAlign w:val="bottom"/>
          </w:tcPr>
          <w:p>
            <w:pPr>
              <w:ind w:left="140"/>
              <w:spacing w:after="0"/>
              <w:rPr>
                <w:sz w:val="20"/>
                <w:szCs w:val="20"/>
                <w:color w:val="auto"/>
              </w:rPr>
            </w:pPr>
            <w:r>
              <w:rPr>
                <w:rFonts w:ascii="Arial" w:cs="Arial" w:eastAsia="Arial" w:hAnsi="Arial"/>
                <w:sz w:val="18"/>
                <w:szCs w:val="18"/>
                <w:color w:val="auto"/>
              </w:rPr>
              <w:t>Agreement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4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Other research and development costs, including</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4"/>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laboratory materials and supplies</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21"/>
                <w:szCs w:val="21"/>
                <w:color w:val="auto"/>
              </w:rPr>
            </w:pPr>
          </w:p>
        </w:tc>
      </w:tr>
      <w:tr>
        <w:trPr>
          <w:trHeight w:val="250"/>
        </w:trPr>
        <w:tc>
          <w:tcPr>
            <w:tcW w:w="5060" w:type="dxa"/>
            <w:vAlign w:val="bottom"/>
          </w:tcPr>
          <w:p>
            <w:pPr>
              <w:spacing w:after="0"/>
              <w:rPr>
                <w:sz w:val="20"/>
                <w:szCs w:val="20"/>
                <w:color w:val="auto"/>
              </w:rPr>
            </w:pPr>
            <w:r>
              <w:rPr>
                <w:rFonts w:ascii="Arial" w:cs="Arial" w:eastAsia="Arial" w:hAnsi="Arial"/>
                <w:sz w:val="18"/>
                <w:szCs w:val="18"/>
                <w:b w:val="1"/>
                <w:bCs w:val="1"/>
                <w:color w:val="auto"/>
              </w:rPr>
              <w:t>Internal costs: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7"/>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related expenses</w:t>
            </w:r>
          </w:p>
        </w:tc>
        <w:tc>
          <w:tcPr>
            <w:tcW w:w="3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6,785</w:t>
            </w:r>
          </w:p>
        </w:tc>
        <w:tc>
          <w:tcPr>
            <w:tcW w:w="2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2,101</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506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32,395</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4,935</w:t>
            </w:r>
          </w:p>
        </w:tc>
        <w:tc>
          <w:tcPr>
            <w:tcW w:w="80" w:type="dxa"/>
            <w:vAlign w:val="bottom"/>
          </w:tcPr>
          <w:p>
            <w:pPr>
              <w:spacing w:after="0"/>
              <w:rPr>
                <w:sz w:val="21"/>
                <w:szCs w:val="21"/>
                <w:color w:val="auto"/>
              </w:rPr>
            </w:pPr>
          </w:p>
        </w:tc>
      </w:tr>
      <w:tr>
        <w:trPr>
          <w:trHeight w:val="20"/>
        </w:trPr>
        <w:tc>
          <w:tcPr>
            <w:tcW w:w="5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-193675</wp:posOffset>
            </wp:positionV>
            <wp:extent cx="12890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-193675</wp:posOffset>
            </wp:positionV>
            <wp:extent cx="4318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49" w:lineRule="exact"/>
        <w:rPr>
          <w:sz w:val="20"/>
          <w:szCs w:val="20"/>
          <w:color w:val="auto"/>
        </w:rPr>
      </w:pPr>
    </w:p>
    <w:p>
      <w:pPr>
        <w:ind w:left="440" w:right="100" w:hanging="432"/>
        <w:spacing w:after="0" w:line="279"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CRO, CMO and other third-party clinical trial costs for DAY 101 program and pimasertib program were $13.9 million and $0.7 million for nine months ended September 30, 2021. For the nine months ended September 30, 2020, third-party CRO, CMO and other third-party clinical trial costs were attributable to the DAY101 program.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1" w:lineRule="exact"/>
        <w:rPr>
          <w:sz w:val="20"/>
          <w:szCs w:val="20"/>
          <w:color w:val="auto"/>
        </w:rPr>
      </w:pPr>
    </w:p>
    <w:p>
      <w:pPr>
        <w:ind w:right="120" w:firstLine="1146"/>
        <w:spacing w:after="0" w:line="275" w:lineRule="auto"/>
        <w:rPr>
          <w:sz w:val="20"/>
          <w:szCs w:val="20"/>
          <w:color w:val="auto"/>
        </w:rPr>
      </w:pPr>
      <w:r>
        <w:rPr>
          <w:rFonts w:ascii="Arial" w:cs="Arial" w:eastAsia="Arial" w:hAnsi="Arial"/>
          <w:sz w:val="18"/>
          <w:szCs w:val="18"/>
          <w:color w:val="auto"/>
        </w:rPr>
        <w:t>General and administrative expenses increased $15.7 million, from $2.7 million for the nine months ended September 30, 2020 compared to $18.4 million for the nine months ended September 30, 2021. The increase in general and administrative expenses is primarily due to $9.0 million in employee compensation costs driven by headcount growth, $6.0 million in legal and professional services driven by operational support and the cost of operating as a public company, and $0.5 million in facilities costs and other expenses.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fair value of derivative tranche liability</w:t>
      </w:r>
    </w:p>
    <w:p>
      <w:pPr>
        <w:spacing w:after="0" w:line="131" w:lineRule="exact"/>
        <w:rPr>
          <w:sz w:val="20"/>
          <w:szCs w:val="20"/>
          <w:color w:val="auto"/>
        </w:rPr>
      </w:pPr>
    </w:p>
    <w:p>
      <w:pPr>
        <w:jc w:val="both"/>
        <w:ind w:firstLine="1146"/>
        <w:spacing w:after="0" w:line="303" w:lineRule="auto"/>
        <w:rPr>
          <w:sz w:val="20"/>
          <w:szCs w:val="20"/>
          <w:color w:val="auto"/>
        </w:rPr>
      </w:pPr>
      <w:r>
        <w:rPr>
          <w:rFonts w:ascii="Arial" w:cs="Arial" w:eastAsia="Arial" w:hAnsi="Arial"/>
          <w:sz w:val="17"/>
          <w:szCs w:val="17"/>
          <w:color w:val="auto"/>
        </w:rPr>
        <w:t>During nine months ended September 30, 2020, we recognized $0.6 million expense for changes in fair value of derivative tranche liability related to the milestone-based closing of the Series A redeemable convertible preferred shares financing. As of December 31, 2020, the derivative tranche liability was settled and there was no such expense recognized during the nine months ended September 30, 2021.</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of redeemable noncontrolling interest shares – deemed dividend</w:t>
      </w:r>
    </w:p>
    <w:p>
      <w:pPr>
        <w:spacing w:after="0" w:line="131" w:lineRule="exact"/>
        <w:rPr>
          <w:sz w:val="20"/>
          <w:szCs w:val="20"/>
          <w:color w:val="auto"/>
        </w:rPr>
      </w:pPr>
    </w:p>
    <w:p>
      <w:pPr>
        <w:ind w:right="20" w:firstLine="1146"/>
        <w:spacing w:after="0" w:line="290" w:lineRule="auto"/>
        <w:rPr>
          <w:sz w:val="20"/>
          <w:szCs w:val="20"/>
          <w:color w:val="auto"/>
        </w:rPr>
      </w:pPr>
      <w:r>
        <w:rPr>
          <w:rFonts w:ascii="Arial" w:cs="Arial" w:eastAsia="Arial" w:hAnsi="Arial"/>
          <w:sz w:val="17"/>
          <w:szCs w:val="17"/>
          <w:color w:val="auto"/>
        </w:rPr>
        <w:t>In May 2021, we exchanged Takeda’s redeemable noncontrolling interest shares in our subsidiary, DOT-1 Therapeutics Inc., for common stock of Day One Biopharmaceuticals, Inc. which resulted in accounting for the transaction as a deemed dividend. As such, we recognized a $100.0 million, non-cash, extinguishment loss to additional paid-in capital, which was calculated as a difference between the fair value of common stock issued to Takeda in the Conversion and the carrying value of the redeemable noncontrolling interest at the conversion date. This was disclosed below net loss on the income statement as a deemed dividend, and included in the net loss per share calculation for the nine months ended September 30, 2021. There was no such loss recognized during the nine months ended September 30, 2020.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31" w:lineRule="exact"/>
        <w:rPr>
          <w:sz w:val="20"/>
          <w:szCs w:val="20"/>
          <w:color w:val="auto"/>
        </w:rPr>
      </w:pPr>
    </w:p>
    <w:p>
      <w:pPr>
        <w:ind w:right="40" w:firstLine="1146"/>
        <w:spacing w:after="0" w:line="266" w:lineRule="auto"/>
        <w:rPr>
          <w:sz w:val="20"/>
          <w:szCs w:val="20"/>
          <w:color w:val="auto"/>
        </w:rPr>
      </w:pPr>
      <w:r>
        <w:rPr>
          <w:rFonts w:ascii="Arial" w:cs="Arial" w:eastAsia="Arial" w:hAnsi="Arial"/>
          <w:sz w:val="18"/>
          <w:szCs w:val="18"/>
          <w:color w:val="auto"/>
        </w:rPr>
        <w:t>On June 1, 2021, we completed our IPO and sold an aggregate of 11,500,000 shares of common stock at a price to the public of $16.00 per share, which included 1,500,000 shares issued upon the full exercise by the underwriters in May 2021 of their option to purchase additional shares of common stock. We received aggregate net proceeds from the IPO of $167.0 million, after deducting underwriting discounts, commissions, and offering costs of $17.0. Prior to our IPO, we had funded our operations through the sale of our redeemable convertible preferred shares and convertible notes. We had previously raised approximately $192.0 million in gross proceeds from the sale and issuance of our Series A and Series B redeemable convertible preferred shares and convertible notes. As of September 30, 2021, we had an accumulated deficit of $105.5 million and $297.2 million in cash and cash equivalents.</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28" w:name="page29"/>
    <w:bookmarkEnd w:id="28"/>
    <w:p>
      <w:pPr>
        <w:ind w:right="300" w:firstLine="1153"/>
        <w:spacing w:after="0" w:line="275" w:lineRule="auto"/>
        <w:rPr>
          <w:sz w:val="20"/>
          <w:szCs w:val="20"/>
          <w:color w:val="auto"/>
        </w:rPr>
      </w:pPr>
      <w:r>
        <w:rPr>
          <w:rFonts w:ascii="Arial" w:cs="Arial" w:eastAsia="Arial" w:hAnsi="Arial"/>
          <w:sz w:val="18"/>
          <w:szCs w:val="18"/>
          <w:color w:val="auto"/>
        </w:rPr>
        <w:t>Our primary use of cash is to fund operating expenses, which consist primarily of research and development expenditures including our license, clinical trial, and laboratory costs as well as to a lesser extent, general and administrative expenditures including our salary and consulting expenses. Cash used to fund operating expenses is impacted by the timing of when we pay these expenses, as reflected in the change in our outstanding accounts payable and accrued expenses.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 for the periods presented:</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gridSpan w:val="3"/>
          </w:tcPr>
          <w:p>
            <w:pPr>
              <w:jc w:val="center"/>
              <w:ind w:left="398"/>
              <w:spacing w:after="0"/>
              <w:rPr>
                <w:sz w:val="20"/>
                <w:szCs w:val="20"/>
                <w:color w:val="auto"/>
              </w:rPr>
            </w:pPr>
            <w:r>
              <w:rPr>
                <w:rFonts w:ascii="Arial" w:cs="Arial" w:eastAsia="Arial" w:hAnsi="Arial"/>
                <w:sz w:val="14"/>
                <w:szCs w:val="14"/>
                <w:b w:val="1"/>
                <w:bCs w:val="1"/>
                <w:color w:val="auto"/>
                <w:w w:val="94"/>
              </w:rPr>
              <w:t>Nine Months Ended</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2"/>
        </w:trPr>
        <w:tc>
          <w:tcPr>
            <w:tcW w:w="4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7"/>
                <w:szCs w:val="17"/>
                <w:color w:val="auto"/>
              </w:rPr>
            </w:pPr>
          </w:p>
        </w:tc>
      </w:tr>
      <w:tr>
        <w:trPr>
          <w:trHeight w:val="25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(35,370 )</w:t>
            </w:r>
          </w:p>
        </w:tc>
        <w:tc>
          <w:tcPr>
            <w:tcW w:w="46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(7,551 )</w:t>
            </w:r>
          </w:p>
        </w:tc>
      </w:tr>
      <w:tr>
        <w:trPr>
          <w:trHeight w:val="250"/>
        </w:trPr>
        <w:tc>
          <w:tcPr>
            <w:tcW w:w="49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(8,000 )</w:t>
            </w:r>
          </w:p>
        </w:tc>
        <w:tc>
          <w:tcPr>
            <w:tcW w:w="46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(93 )</w:t>
            </w:r>
          </w:p>
        </w:tc>
      </w:tr>
      <w:tr>
        <w:trPr>
          <w:trHeight w:val="257"/>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296,802</w:t>
            </w:r>
          </w:p>
        </w:tc>
        <w:tc>
          <w:tcPr>
            <w:tcW w:w="24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50"/>
        </w:trPr>
        <w:tc>
          <w:tcPr>
            <w:tcW w:w="4940" w:type="dxa"/>
            <w:vAlign w:val="bottom"/>
          </w:tcPr>
          <w:p>
            <w:pPr>
              <w:spacing w:after="0"/>
              <w:rPr>
                <w:sz w:val="20"/>
                <w:szCs w:val="20"/>
                <w:color w:val="auto"/>
              </w:rPr>
            </w:pPr>
            <w:r>
              <w:rPr>
                <w:rFonts w:ascii="Arial" w:cs="Arial" w:eastAsia="Arial" w:hAnsi="Arial"/>
                <w:sz w:val="18"/>
                <w:szCs w:val="18"/>
                <w:color w:val="auto"/>
              </w:rPr>
              <w:t>Net increase in cash</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253,432</w:t>
            </w:r>
          </w:p>
        </w:tc>
        <w:tc>
          <w:tcPr>
            <w:tcW w:w="24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(7,644 )</w:t>
            </w:r>
          </w:p>
        </w:tc>
      </w:tr>
      <w:tr>
        <w:trPr>
          <w:trHeight w:val="20"/>
        </w:trPr>
        <w:tc>
          <w:tcPr>
            <w:tcW w:w="4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-193675</wp:posOffset>
            </wp:positionV>
            <wp:extent cx="15430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-193675</wp:posOffset>
            </wp:positionV>
            <wp:extent cx="6858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31" w:lineRule="exact"/>
        <w:rPr>
          <w:sz w:val="20"/>
          <w:szCs w:val="20"/>
          <w:color w:val="auto"/>
        </w:rPr>
      </w:pPr>
    </w:p>
    <w:p>
      <w:pPr>
        <w:ind w:firstLine="1146"/>
        <w:spacing w:after="0" w:line="311" w:lineRule="auto"/>
        <w:rPr>
          <w:sz w:val="20"/>
          <w:szCs w:val="20"/>
          <w:color w:val="auto"/>
        </w:rPr>
      </w:pPr>
      <w:r>
        <w:rPr>
          <w:rFonts w:ascii="Arial" w:cs="Arial" w:eastAsia="Arial" w:hAnsi="Arial"/>
          <w:sz w:val="16"/>
          <w:szCs w:val="16"/>
          <w:color w:val="auto"/>
        </w:rPr>
        <w:t>Net cash used in operating activities for the nine months ended September 30, 2021 was $35.4 million, consisting of our net loss of $50.8 million, net decrease of $0.9 million in net operating assets and liabilities, partially offset by non-cash charges of $16.4 million. Changes in operating assets and liabilities were primarily related to an increase in prepaid expenses and other current assets of $4.8 million, which includes $3.0 million prepayment of the Viracta license milestone, partially offset by an increase in accrued expenses and other current liabilities of $3.6 million. Our non-cash charges primarily consisted $8.2 million in share-based compensation expense. We also paid $8.0 million related to the MRKDG License Agreement, which was recognized as research and development expenses and presented in investing activities in our condensed consolidated cash flows.</w:t>
      </w:r>
    </w:p>
    <w:p>
      <w:pPr>
        <w:spacing w:after="0" w:line="163" w:lineRule="exact"/>
        <w:rPr>
          <w:sz w:val="20"/>
          <w:szCs w:val="20"/>
          <w:color w:val="auto"/>
        </w:rPr>
      </w:pPr>
    </w:p>
    <w:p>
      <w:pPr>
        <w:ind w:right="40" w:firstLine="1146"/>
        <w:spacing w:after="0" w:line="275" w:lineRule="auto"/>
        <w:rPr>
          <w:sz w:val="20"/>
          <w:szCs w:val="20"/>
          <w:color w:val="auto"/>
        </w:rPr>
      </w:pPr>
      <w:r>
        <w:rPr>
          <w:rFonts w:ascii="Arial" w:cs="Arial" w:eastAsia="Arial" w:hAnsi="Arial"/>
          <w:sz w:val="18"/>
          <w:szCs w:val="18"/>
          <w:color w:val="auto"/>
        </w:rPr>
        <w:t>Net cash used in operating activities for the nine months ended September 30, 2020 was $7.6 million, consisting of our net loss of $8.2 million, net decrease of $0.2 in net operating assets and liabilities, partially offset by an increase of $0.9 million in non-cash charges. Our non-cash charges primarily consisted of $0.6 million in expense as it relates to changes in fair value of derivative tranche liability and $0.2 million in share-based compensation expense.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31" w:lineRule="exact"/>
        <w:rPr>
          <w:sz w:val="20"/>
          <w:szCs w:val="20"/>
          <w:color w:val="auto"/>
        </w:rPr>
      </w:pPr>
    </w:p>
    <w:p>
      <w:pPr>
        <w:ind w:right="80" w:firstLine="1146"/>
        <w:spacing w:after="0" w:line="293" w:lineRule="auto"/>
        <w:rPr>
          <w:sz w:val="20"/>
          <w:szCs w:val="20"/>
          <w:color w:val="auto"/>
        </w:rPr>
      </w:pPr>
      <w:r>
        <w:rPr>
          <w:rFonts w:ascii="Arial" w:cs="Arial" w:eastAsia="Arial" w:hAnsi="Arial"/>
          <w:sz w:val="18"/>
          <w:szCs w:val="18"/>
          <w:color w:val="auto"/>
        </w:rPr>
        <w:t>Net cash used in investing activities for the nine months ended September 30, 2021 was $8.0 million, attributable to the payment under the MRKDG License Agreement.</w:t>
      </w:r>
    </w:p>
    <w:p>
      <w:pPr>
        <w:spacing w:after="0" w:line="170" w:lineRule="exact"/>
        <w:rPr>
          <w:sz w:val="20"/>
          <w:szCs w:val="20"/>
          <w:color w:val="auto"/>
        </w:rPr>
      </w:pPr>
    </w:p>
    <w:p>
      <w:pPr>
        <w:ind w:right="520" w:firstLine="1146"/>
        <w:spacing w:after="0" w:line="293" w:lineRule="auto"/>
        <w:rPr>
          <w:sz w:val="20"/>
          <w:szCs w:val="20"/>
          <w:color w:val="auto"/>
        </w:rPr>
      </w:pPr>
      <w:r>
        <w:rPr>
          <w:rFonts w:ascii="Arial" w:cs="Arial" w:eastAsia="Arial" w:hAnsi="Arial"/>
          <w:sz w:val="18"/>
          <w:szCs w:val="18"/>
          <w:color w:val="auto"/>
        </w:rPr>
        <w:t>Net cash used in investing activities for the nine months ended September 30, 2020 was $0.1 million, attributable to the purchases of property and equipment.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31" w:lineRule="exact"/>
        <w:rPr>
          <w:sz w:val="20"/>
          <w:szCs w:val="20"/>
          <w:color w:val="auto"/>
        </w:rPr>
      </w:pPr>
    </w:p>
    <w:p>
      <w:pPr>
        <w:jc w:val="both"/>
        <w:ind w:firstLine="1146"/>
        <w:spacing w:after="0" w:line="275" w:lineRule="auto"/>
        <w:rPr>
          <w:sz w:val="20"/>
          <w:szCs w:val="20"/>
          <w:color w:val="auto"/>
        </w:rPr>
      </w:pPr>
      <w:r>
        <w:rPr>
          <w:rFonts w:ascii="Arial" w:cs="Arial" w:eastAsia="Arial" w:hAnsi="Arial"/>
          <w:sz w:val="18"/>
          <w:szCs w:val="18"/>
          <w:color w:val="auto"/>
        </w:rPr>
        <w:t>Net cash provided by financing activities for the nine months ended September 30, 2021 was $296.8 million, attributable to $167.0 million related to the net proceeds from the issuance of common stock in connection with the IPO, and $129.8 million related to the net proceeds from the sale and issuance of Series B redeemable convertible preferred shares. We had no net cash provided by financing activities for the nine months ended September 30,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35" w:lineRule="exact"/>
        <w:rPr>
          <w:sz w:val="20"/>
          <w:szCs w:val="20"/>
          <w:color w:val="auto"/>
        </w:rPr>
      </w:pPr>
    </w:p>
    <w:p>
      <w:pPr>
        <w:ind w:right="460" w:firstLine="1146"/>
        <w:spacing w:after="0" w:line="293" w:lineRule="auto"/>
        <w:rPr>
          <w:sz w:val="20"/>
          <w:szCs w:val="20"/>
          <w:color w:val="auto"/>
        </w:rPr>
      </w:pPr>
      <w:r>
        <w:rPr>
          <w:rFonts w:ascii="Arial" w:cs="Arial" w:eastAsia="Arial" w:hAnsi="Arial"/>
          <w:sz w:val="18"/>
          <w:szCs w:val="18"/>
          <w:color w:val="auto"/>
        </w:rPr>
        <w:t>Since our inception, we have incurred significant operating losses. We expect to continue to incur significant expenses and increasing operating losses for the foreseeable future in connection with our ongoing activities.</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Specifically, we anticipate that our expenses will increase substantially if and as we:</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advance the clinical development of DAY101 and pimasertib;</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pursue the clinical development of other potential research programs and product candidates;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in-license or acquire the rights to other products, product candidates or technologies;</w:t>
      </w:r>
    </w:p>
    <w:p>
      <w:pPr>
        <w:spacing w:after="0" w:line="131" w:lineRule="exact"/>
        <w:rPr>
          <w:sz w:val="20"/>
          <w:szCs w:val="20"/>
          <w:color w:val="auto"/>
        </w:rPr>
      </w:pPr>
    </w:p>
    <w:p>
      <w:pPr>
        <w:ind w:left="5540" w:right="2340" w:hanging="4437"/>
        <w:spacing w:after="0" w:line="293" w:lineRule="auto"/>
        <w:rPr>
          <w:sz w:val="20"/>
          <w:szCs w:val="20"/>
          <w:color w:val="auto"/>
        </w:rPr>
      </w:pPr>
      <w:r>
        <w:rPr>
          <w:rFonts w:ascii="Arial" w:cs="Arial" w:eastAsia="Arial" w:hAnsi="Arial"/>
          <w:sz w:val="18"/>
          <w:szCs w:val="18"/>
          <w:color w:val="auto"/>
        </w:rPr>
        <w:t>seek regulatory and marketing approval for any product candidates that successfully complete clinical trials;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9" w:name="page30"/>
    <w:bookmarkEnd w:id="29"/>
    <w:p>
      <w:pPr>
        <w:ind w:left="1100"/>
        <w:spacing w:after="0"/>
        <w:rPr>
          <w:sz w:val="20"/>
          <w:szCs w:val="20"/>
          <w:color w:val="auto"/>
        </w:rPr>
      </w:pPr>
      <w:r>
        <w:rPr>
          <w:rFonts w:ascii="Arial" w:cs="Arial" w:eastAsia="Arial" w:hAnsi="Arial"/>
          <w:sz w:val="18"/>
          <w:szCs w:val="18"/>
          <w:color w:val="auto"/>
        </w:rPr>
        <w:t>expand, maintain and protect our intellectual property portfolio;</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increase our clinical, regulatory and scientific personnel; and</w:t>
      </w:r>
    </w:p>
    <w:p>
      <w:pPr>
        <w:spacing w:after="0" w:line="131" w:lineRule="exact"/>
        <w:rPr>
          <w:sz w:val="20"/>
          <w:szCs w:val="20"/>
          <w:color w:val="auto"/>
        </w:rPr>
      </w:pPr>
    </w:p>
    <w:p>
      <w:pPr>
        <w:ind w:left="1100" w:right="180"/>
        <w:spacing w:after="0" w:line="293" w:lineRule="auto"/>
        <w:rPr>
          <w:sz w:val="20"/>
          <w:szCs w:val="20"/>
          <w:color w:val="auto"/>
        </w:rPr>
      </w:pPr>
      <w:r>
        <w:rPr>
          <w:rFonts w:ascii="Arial" w:cs="Arial" w:eastAsia="Arial" w:hAnsi="Arial"/>
          <w:sz w:val="18"/>
          <w:szCs w:val="18"/>
          <w:color w:val="auto"/>
        </w:rPr>
        <w:t>add operational, financial and management information systems and increase personnel to support our research, business development and future commercialization efforts and support our operations as a public company.</w:t>
      </w:r>
    </w:p>
    <w:p>
      <w:pPr>
        <w:spacing w:after="0" w:line="170" w:lineRule="exact"/>
        <w:rPr>
          <w:sz w:val="20"/>
          <w:szCs w:val="20"/>
          <w:color w:val="auto"/>
        </w:rPr>
      </w:pPr>
    </w:p>
    <w:p>
      <w:pPr>
        <w:ind w:right="100" w:firstLine="1146"/>
        <w:spacing w:after="0" w:line="279" w:lineRule="auto"/>
        <w:rPr>
          <w:sz w:val="20"/>
          <w:szCs w:val="20"/>
          <w:color w:val="auto"/>
        </w:rPr>
      </w:pPr>
      <w:r>
        <w:rPr>
          <w:rFonts w:ascii="Arial" w:cs="Arial" w:eastAsia="Arial" w:hAnsi="Arial"/>
          <w:sz w:val="18"/>
          <w:szCs w:val="18"/>
          <w:color w:val="auto"/>
        </w:rPr>
        <w:t>We believe our existing cash and cash equivalents, will enable us to fund our operating expenses and capital expenditure requirements into the second half of 2023. We have based this estimate on assumptions that may prove to be imprecise, and we could use our available capital resources sooner than we currently expect. Our future capital requirements will depend on many factors, including:</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progress, costs and results of our clinical trials for DAY101 and any future clinical development of DAY101;</w:t>
      </w:r>
    </w:p>
    <w:p>
      <w:pPr>
        <w:spacing w:after="0" w:line="131" w:lineRule="exact"/>
        <w:rPr>
          <w:sz w:val="20"/>
          <w:szCs w:val="20"/>
          <w:color w:val="auto"/>
        </w:rPr>
      </w:pPr>
    </w:p>
    <w:p>
      <w:pPr>
        <w:ind w:left="1100" w:right="100"/>
        <w:spacing w:after="0" w:line="293" w:lineRule="auto"/>
        <w:rPr>
          <w:sz w:val="20"/>
          <w:szCs w:val="20"/>
          <w:color w:val="auto"/>
        </w:rPr>
      </w:pPr>
      <w:r>
        <w:rPr>
          <w:rFonts w:ascii="Arial" w:cs="Arial" w:eastAsia="Arial" w:hAnsi="Arial"/>
          <w:sz w:val="18"/>
          <w:szCs w:val="18"/>
          <w:color w:val="auto"/>
        </w:rPr>
        <w:t>the progress, costs and results of our clinical trials for product candidates containing and comprising pimasertib, including any combination trials of DAY101 and pimasertib;</w:t>
      </w:r>
    </w:p>
    <w:p>
      <w:pPr>
        <w:spacing w:after="0" w:line="62" w:lineRule="exact"/>
        <w:rPr>
          <w:sz w:val="20"/>
          <w:szCs w:val="20"/>
          <w:color w:val="auto"/>
        </w:rPr>
      </w:pPr>
    </w:p>
    <w:p>
      <w:pPr>
        <w:ind w:left="1100"/>
        <w:spacing w:after="0" w:line="414" w:lineRule="auto"/>
        <w:rPr>
          <w:sz w:val="20"/>
          <w:szCs w:val="20"/>
          <w:color w:val="auto"/>
        </w:rPr>
      </w:pPr>
      <w:r>
        <w:rPr>
          <w:rFonts w:ascii="Arial" w:cs="Arial" w:eastAsia="Arial" w:hAnsi="Arial"/>
          <w:sz w:val="17"/>
          <w:szCs w:val="17"/>
          <w:color w:val="auto"/>
        </w:rPr>
        <w:t>the progress, costs and results of preclinical and clinical development for our future potential product candidates and development programs; the costs, timing and outcome of regulatory review of DAY101, pimasertib and our other potential product candidates;</w:t>
      </w:r>
    </w:p>
    <w:p>
      <w:pPr>
        <w:spacing w:after="0" w:line="1" w:lineRule="exact"/>
        <w:rPr>
          <w:sz w:val="20"/>
          <w:szCs w:val="20"/>
          <w:color w:val="auto"/>
        </w:rPr>
      </w:pPr>
    </w:p>
    <w:p>
      <w:pPr>
        <w:ind w:left="1100" w:right="20"/>
        <w:spacing w:after="0" w:line="293" w:lineRule="auto"/>
        <w:rPr>
          <w:sz w:val="20"/>
          <w:szCs w:val="20"/>
          <w:color w:val="auto"/>
        </w:rPr>
      </w:pPr>
      <w:r>
        <w:rPr>
          <w:rFonts w:ascii="Arial" w:cs="Arial" w:eastAsia="Arial" w:hAnsi="Arial"/>
          <w:sz w:val="18"/>
          <w:szCs w:val="18"/>
          <w:color w:val="auto"/>
        </w:rPr>
        <w:t>the costs and timing of future commercialization activities, including product manufacturing, marketing, sales and distribution, for DAY101, pimasertib and any of our potential product candidates for which we receive marketing approval;</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extent to which we pursue in-license or acquire rights to other products, product candidates or technologies;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headcount growth and associated costs as we expand our business operations and research and development activities;</w:t>
      </w:r>
    </w:p>
    <w:p>
      <w:pPr>
        <w:spacing w:after="0" w:line="131" w:lineRule="exact"/>
        <w:rPr>
          <w:sz w:val="20"/>
          <w:szCs w:val="20"/>
          <w:color w:val="auto"/>
        </w:rPr>
      </w:pPr>
    </w:p>
    <w:p>
      <w:pPr>
        <w:ind w:left="1100" w:right="140"/>
        <w:spacing w:after="0" w:line="293" w:lineRule="auto"/>
        <w:rPr>
          <w:sz w:val="20"/>
          <w:szCs w:val="20"/>
          <w:color w:val="auto"/>
        </w:rPr>
      </w:pPr>
      <w:r>
        <w:rPr>
          <w:rFonts w:ascii="Arial" w:cs="Arial" w:eastAsia="Arial" w:hAnsi="Arial"/>
          <w:sz w:val="18"/>
          <w:szCs w:val="18"/>
          <w:color w:val="auto"/>
        </w:rPr>
        <w:t>the costs and timing of preparing, filing and prosecuting patent applications, maintaining and protecting our intellectual property rights and defending any intellectual property-related claims;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ability to establish collaboration arrangements to develop or commercialize our product candidates; and</w:t>
      </w:r>
    </w:p>
    <w:p>
      <w:pPr>
        <w:spacing w:after="0" w:line="131" w:lineRule="exact"/>
        <w:rPr>
          <w:sz w:val="20"/>
          <w:szCs w:val="20"/>
          <w:color w:val="auto"/>
        </w:rPr>
      </w:pPr>
    </w:p>
    <w:p>
      <w:pPr>
        <w:ind w:left="1100" w:right="20"/>
        <w:spacing w:after="0" w:line="293" w:lineRule="auto"/>
        <w:rPr>
          <w:sz w:val="20"/>
          <w:szCs w:val="20"/>
          <w:color w:val="auto"/>
        </w:rPr>
      </w:pPr>
      <w:r>
        <w:rPr>
          <w:rFonts w:ascii="Arial" w:cs="Arial" w:eastAsia="Arial" w:hAnsi="Arial"/>
          <w:sz w:val="18"/>
          <w:szCs w:val="18"/>
          <w:color w:val="auto"/>
        </w:rPr>
        <w:t>the effects of the recent disruptions to and volatility in the credit and financial markets in the United States and worldwide from the COVID-19 pandemic.</w:t>
      </w:r>
    </w:p>
    <w:p>
      <w:pPr>
        <w:spacing w:after="0" w:line="170" w:lineRule="exact"/>
        <w:rPr>
          <w:sz w:val="20"/>
          <w:szCs w:val="20"/>
          <w:color w:val="auto"/>
        </w:rPr>
      </w:pPr>
    </w:p>
    <w:p>
      <w:pPr>
        <w:ind w:right="120" w:firstLine="1146"/>
        <w:spacing w:after="0" w:line="290" w:lineRule="auto"/>
        <w:rPr>
          <w:sz w:val="20"/>
          <w:szCs w:val="20"/>
          <w:color w:val="auto"/>
        </w:rPr>
      </w:pPr>
      <w:r>
        <w:rPr>
          <w:rFonts w:ascii="Arial" w:cs="Arial" w:eastAsia="Arial" w:hAnsi="Arial"/>
          <w:sz w:val="17"/>
          <w:szCs w:val="17"/>
          <w:color w:val="auto"/>
        </w:rPr>
        <w:t>As a result of these anticipated expenditures, we will need to obtain substantial additional financing in connection with our continuing operations. Until such time, if ever, as we can generate substantial revenue from product sales, we expect to finance our cash needs through a combination of equity offerings, debt financings, collaborations, strategic alliances and marketing, distribution or licensing arrangements. Adequate additional funds may not be available to us on acceptable terms, or at all.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176" w:lineRule="exact"/>
        <w:rPr>
          <w:sz w:val="20"/>
          <w:szCs w:val="20"/>
          <w:color w:val="auto"/>
        </w:rPr>
      </w:pPr>
    </w:p>
    <w:p>
      <w:pPr>
        <w:ind w:right="420" w:firstLine="1146"/>
        <w:spacing w:after="0" w:line="296"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70" w:lineRule="exact"/>
        <w:rPr>
          <w:sz w:val="20"/>
          <w:szCs w:val="20"/>
          <w:color w:val="auto"/>
        </w:rPr>
      </w:pPr>
    </w:p>
    <w:p>
      <w:pPr>
        <w:ind w:right="40" w:firstLine="1146"/>
        <w:spacing w:after="0" w:line="279"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183" w:lineRule="exact"/>
        <w:rPr>
          <w:sz w:val="20"/>
          <w:szCs w:val="20"/>
          <w:color w:val="auto"/>
        </w:rPr>
      </w:pPr>
    </w:p>
    <w:p>
      <w:pPr>
        <w:ind w:right="20" w:firstLine="1146"/>
        <w:spacing w:after="0" w:line="282" w:lineRule="auto"/>
        <w:rPr>
          <w:sz w:val="20"/>
          <w:szCs w:val="20"/>
          <w:color w:val="auto"/>
        </w:rPr>
      </w:pPr>
      <w:r>
        <w:rPr>
          <w:rFonts w:ascii="Arial" w:cs="Arial" w:eastAsia="Arial" w:hAnsi="Arial"/>
          <w:sz w:val="17"/>
          <w:szCs w:val="17"/>
          <w:color w:val="auto"/>
        </w:rPr>
        <w:t>Our ability to raise additional funds may be adversely impacted by potential worsening global economic conditions and disruptions to and volatility in the credit and financial markets in the United States and worldwide resulting from the ongoing COVID-19 pandemic or otherwise. Because of the numerous risks and uncertainties associated with product development, we cannot predict the timing or amount of increased expenses and cannot assure you that we will ever be profitable or generate positive cash flow from operating activities.</w:t>
      </w: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35" w:lineRule="exact"/>
        <w:rPr>
          <w:sz w:val="20"/>
          <w:szCs w:val="20"/>
          <w:color w:val="auto"/>
        </w:rPr>
      </w:pPr>
    </w:p>
    <w:p>
      <w:pPr>
        <w:ind w:right="120" w:firstLine="1153"/>
        <w:spacing w:after="0" w:line="275" w:lineRule="auto"/>
        <w:rPr>
          <w:sz w:val="20"/>
          <w:szCs w:val="20"/>
          <w:color w:val="auto"/>
        </w:rPr>
      </w:pPr>
      <w:r>
        <w:rPr>
          <w:rFonts w:ascii="Arial" w:cs="Arial" w:eastAsia="Arial" w:hAnsi="Arial"/>
          <w:sz w:val="18"/>
          <w:szCs w:val="18"/>
          <w:color w:val="auto"/>
        </w:rPr>
        <w:t>There have been no other material changes in our contractual obligations and commitments during the three months ended September 30, 2021 from those described under the heading “Management’s Discussion and Analysis of Financial Condition and Results of Operations—Contractual Obligations and Commitments” in our final prospectus for our IPO filed pursuant to Rule 424(b)(4) under the Securities Act with the SEC on May 27, 2021.</w:t>
      </w:r>
    </w:p>
    <w:p>
      <w:pPr>
        <w:spacing w:after="0" w:line="185" w:lineRule="exact"/>
        <w:rPr>
          <w:sz w:val="20"/>
          <w:szCs w:val="20"/>
          <w:color w:val="auto"/>
        </w:rPr>
      </w:pPr>
    </w:p>
    <w:p>
      <w:pPr>
        <w:ind w:right="100" w:firstLine="1153"/>
        <w:spacing w:after="0" w:line="319" w:lineRule="auto"/>
        <w:rPr>
          <w:sz w:val="20"/>
          <w:szCs w:val="20"/>
          <w:color w:val="auto"/>
        </w:rPr>
      </w:pPr>
      <w:r>
        <w:rPr>
          <w:rFonts w:ascii="Arial" w:cs="Arial" w:eastAsia="Arial" w:hAnsi="Arial"/>
          <w:sz w:val="16"/>
          <w:szCs w:val="16"/>
          <w:color w:val="auto"/>
        </w:rPr>
        <w:t>We enter into contracts in the normal course of business with CROs for clinical trials, with CMOs for clinical supplies manufacturing and with other vendors for preclinical studies, supplies and other services and products for operating purposes. These contracts generally provide for termination on notice and may have a termination fees and non-cancellable commitments. As of September 30, 2021, there were no amounts accrued related to termination and cancellation charges as these are not probable and our non-cancelable obligations under these agreements were not material.</w:t>
      </w:r>
    </w:p>
    <w:p>
      <w:pPr>
        <w:spacing w:after="0" w:line="156" w:lineRule="exact"/>
        <w:rPr>
          <w:sz w:val="20"/>
          <w:szCs w:val="20"/>
          <w:color w:val="auto"/>
        </w:rPr>
      </w:pPr>
    </w:p>
    <w:p>
      <w:pPr>
        <w:ind w:firstLine="1153"/>
        <w:spacing w:after="0" w:line="275" w:lineRule="auto"/>
        <w:rPr>
          <w:sz w:val="20"/>
          <w:szCs w:val="20"/>
          <w:color w:val="auto"/>
        </w:rPr>
      </w:pPr>
      <w:r>
        <w:rPr>
          <w:rFonts w:ascii="Arial" w:cs="Arial" w:eastAsia="Arial" w:hAnsi="Arial"/>
          <w:sz w:val="18"/>
          <w:szCs w:val="18"/>
          <w:color w:val="auto"/>
        </w:rPr>
        <w:t>We entered into licensing agreements, which require us to pay milestones contingent upon meeting of specific events. In April 2021, we achieved a milestone related to Viracta License Agreement of $3.0 million. No other milestones were achieved, due or payable as of September 30, 2021. We are required to pay royalties on sales of products developed under these agreements. All our products are in development as of September 30, 2021 and no such royalties are due.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35" w:lineRule="exact"/>
        <w:rPr>
          <w:sz w:val="20"/>
          <w:szCs w:val="20"/>
          <w:color w:val="auto"/>
        </w:rPr>
      </w:pPr>
    </w:p>
    <w:p>
      <w:pPr>
        <w:ind w:right="140" w:firstLine="1153"/>
        <w:spacing w:after="0" w:line="359" w:lineRule="auto"/>
        <w:rPr>
          <w:sz w:val="20"/>
          <w:szCs w:val="20"/>
          <w:color w:val="auto"/>
        </w:rPr>
      </w:pPr>
      <w:r>
        <w:rPr>
          <w:rFonts w:ascii="Arial" w:cs="Arial" w:eastAsia="Arial" w:hAnsi="Arial"/>
          <w:sz w:val="16"/>
          <w:szCs w:val="16"/>
          <w:color w:val="auto"/>
        </w:rPr>
        <w:t>Our critical accounting policies are disclosed in our audited consolidated financial statements for the year ended December 31, 2020, and the related notes included in our final prospectus for our IPO filed pursuant to Rule 424(b)(4) under the Securities Act with the SEC on May 27,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35" w:lineRule="exact"/>
        <w:rPr>
          <w:sz w:val="20"/>
          <w:szCs w:val="20"/>
          <w:color w:val="auto"/>
        </w:rPr>
      </w:pPr>
    </w:p>
    <w:p>
      <w:pPr>
        <w:ind w:right="140" w:firstLine="1153"/>
        <w:spacing w:after="0" w:line="293" w:lineRule="auto"/>
        <w:rPr>
          <w:sz w:val="20"/>
          <w:szCs w:val="20"/>
          <w:color w:val="auto"/>
        </w:rPr>
      </w:pPr>
      <w:r>
        <w:rPr>
          <w:rFonts w:ascii="Arial" w:cs="Arial" w:eastAsia="Arial" w:hAnsi="Arial"/>
          <w:sz w:val="18"/>
          <w:szCs w:val="18"/>
          <w:color w:val="auto"/>
        </w:rPr>
        <w:t>Refer to Note 2 of the notes to our unaudited condensed consolidated financial statements included elsewhere in this Quarterly Report on Form 10-Q for a summary of recently issued and adopted accounting pronouncements.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ind w:right="340" w:firstLine="1153"/>
        <w:spacing w:after="0" w:line="293" w:lineRule="auto"/>
        <w:rPr>
          <w:sz w:val="20"/>
          <w:szCs w:val="20"/>
          <w:color w:val="auto"/>
        </w:rPr>
      </w:pPr>
      <w:r>
        <w:rPr>
          <w:rFonts w:ascii="Arial" w:cs="Arial" w:eastAsia="Arial" w:hAnsi="Arial"/>
          <w:sz w:val="18"/>
          <w:szCs w:val="18"/>
          <w:color w:val="auto"/>
        </w:rPr>
        <w:t>We did not during the periods presented, and we do not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35" w:lineRule="exact"/>
        <w:rPr>
          <w:sz w:val="20"/>
          <w:szCs w:val="20"/>
          <w:color w:val="auto"/>
        </w:rPr>
      </w:pPr>
    </w:p>
    <w:p>
      <w:pPr>
        <w:ind w:right="20" w:firstLine="1153"/>
        <w:spacing w:after="0" w:line="299" w:lineRule="auto"/>
        <w:rPr>
          <w:sz w:val="20"/>
          <w:szCs w:val="20"/>
          <w:color w:val="auto"/>
        </w:rPr>
      </w:pPr>
      <w:r>
        <w:rPr>
          <w:rFonts w:ascii="Arial" w:cs="Arial" w:eastAsia="Arial" w:hAnsi="Arial"/>
          <w:sz w:val="16"/>
          <w:szCs w:val="16"/>
          <w:color w:val="auto"/>
        </w:rPr>
        <w:t>As an emerging growth company, or EGC, under the Jumpstart Our Business Startups Act of 2012, or JOBS Act, we can take advantage of an extended transition period for complying with new or revised accounting standards. This provision allows an EGC to delay the adoption of some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 of September 30, 2021, management, with the participation of our Principal Executive Officer and Principal Financial and Accounting Officer, performed an evaluation of the effectiveness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and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and Accounting Officer concluded that, as of September 30, 2021, our disclosure controls and procedures were effective at a reasonable assurance level.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5"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center"/>
        <w:ind w:right="40"/>
        <w:spacing w:after="0"/>
        <w:rPr>
          <w:sz w:val="20"/>
          <w:szCs w:val="20"/>
          <w:color w:val="auto"/>
        </w:rPr>
      </w:pPr>
      <w:r>
        <w:rPr>
          <w:rFonts w:ascii="Arial" w:cs="Arial" w:eastAsia="Arial" w:hAnsi="Arial"/>
          <w:sz w:val="18"/>
          <w:szCs w:val="18"/>
          <w:b w:val="1"/>
          <w:bCs w:val="1"/>
          <w:color w:val="auto"/>
        </w:rPr>
        <w:t>PART II-OTHER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right="140"/>
        <w:spacing w:after="0" w:line="329"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i w:val="1"/>
          <w:iCs w:val="1"/>
          <w:color w:val="auto"/>
        </w:rPr>
        <w:t>Investing in our common stock involves a high degree of risk. Before making your decision to invest in shares of our common stock, you should carefully consider the risks and uncertainties described below, together with the other information contained in this quarterly report,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a number of risks and uncertainties, including those immediately following this summary. Some of these risks are:</w:t>
      </w:r>
    </w:p>
    <w:p>
      <w:pPr>
        <w:spacing w:after="0" w:line="131" w:lineRule="exact"/>
        <w:rPr>
          <w:sz w:val="20"/>
          <w:szCs w:val="20"/>
          <w:color w:val="auto"/>
        </w:rPr>
      </w:pPr>
    </w:p>
    <w:p>
      <w:pPr>
        <w:ind w:left="440" w:right="80"/>
        <w:spacing w:after="0" w:line="359" w:lineRule="auto"/>
        <w:rPr>
          <w:sz w:val="20"/>
          <w:szCs w:val="20"/>
          <w:color w:val="auto"/>
        </w:rPr>
      </w:pPr>
      <w:r>
        <w:rPr>
          <w:rFonts w:ascii="Arial" w:cs="Arial" w:eastAsia="Arial" w:hAnsi="Arial"/>
          <w:sz w:val="16"/>
          <w:szCs w:val="16"/>
          <w:color w:val="auto"/>
        </w:rPr>
        <w:t>We have a limited operating history, have not completed any clinical trials beyond Phase 1, have no products approved for commercial sale and have not generated any revenue, which may make it difficult for investors to evaluate our current business and likelihood of success and viability.</w:t>
      </w:r>
    </w:p>
    <w:p>
      <w:pPr>
        <w:spacing w:after="0" w:line="17" w:lineRule="exact"/>
        <w:rPr>
          <w:sz w:val="20"/>
          <w:szCs w:val="20"/>
          <w:color w:val="auto"/>
        </w:rPr>
      </w:pPr>
    </w:p>
    <w:p>
      <w:pPr>
        <w:ind w:left="440" w:right="760"/>
        <w:spacing w:after="0" w:line="293" w:lineRule="auto"/>
        <w:rPr>
          <w:sz w:val="20"/>
          <w:szCs w:val="20"/>
          <w:color w:val="auto"/>
        </w:rPr>
      </w:pPr>
      <w:r>
        <w:rPr>
          <w:rFonts w:ascii="Arial" w:cs="Arial" w:eastAsia="Arial" w:hAnsi="Arial"/>
          <w:sz w:val="18"/>
          <w:szCs w:val="18"/>
          <w:color w:val="auto"/>
        </w:rPr>
        <w:t>We have incurred significant net losses since our inception and have not generated any revenue. We expect to incur continued losses for the foreseeable future and may never achieve or maintain profitability.</w:t>
      </w:r>
    </w:p>
    <w:p>
      <w:pPr>
        <w:spacing w:after="0" w:line="62" w:lineRule="exact"/>
        <w:rPr>
          <w:sz w:val="20"/>
          <w:szCs w:val="20"/>
          <w:color w:val="auto"/>
        </w:rPr>
      </w:pPr>
    </w:p>
    <w:p>
      <w:pPr>
        <w:ind w:left="440" w:right="60"/>
        <w:spacing w:after="0" w:line="293" w:lineRule="auto"/>
        <w:rPr>
          <w:sz w:val="20"/>
          <w:szCs w:val="20"/>
          <w:color w:val="auto"/>
        </w:rPr>
      </w:pPr>
      <w:r>
        <w:rPr>
          <w:rFonts w:ascii="Arial" w:cs="Arial" w:eastAsia="Arial" w:hAnsi="Arial"/>
          <w:sz w:val="18"/>
          <w:szCs w:val="18"/>
          <w:color w:val="auto"/>
        </w:rPr>
        <w:t>Our ability to generate revenue and achieve profitability depends significantly on our ability to achieve several objectives relating to the discovery or identification, development and commercialization of our product candidates.</w:t>
      </w:r>
    </w:p>
    <w:p>
      <w:pPr>
        <w:spacing w:after="0" w:line="62" w:lineRule="exact"/>
        <w:rPr>
          <w:sz w:val="20"/>
          <w:szCs w:val="20"/>
          <w:color w:val="auto"/>
        </w:rPr>
      </w:pPr>
    </w:p>
    <w:p>
      <w:pPr>
        <w:ind w:left="440" w:right="120"/>
        <w:spacing w:after="0" w:line="279" w:lineRule="auto"/>
        <w:rPr>
          <w:sz w:val="20"/>
          <w:szCs w:val="20"/>
          <w:color w:val="auto"/>
        </w:rPr>
      </w:pPr>
      <w:r>
        <w:rPr>
          <w:rFonts w:ascii="Arial" w:cs="Arial" w:eastAsia="Arial" w:hAnsi="Arial"/>
          <w:sz w:val="18"/>
          <w:szCs w:val="18"/>
          <w:color w:val="auto"/>
        </w:rPr>
        <w:t>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75" w:lineRule="exact"/>
        <w:rPr>
          <w:sz w:val="20"/>
          <w:szCs w:val="20"/>
          <w:color w:val="auto"/>
        </w:rPr>
      </w:pPr>
    </w:p>
    <w:p>
      <w:pPr>
        <w:ind w:left="440" w:right="120"/>
        <w:spacing w:after="0" w:line="293" w:lineRule="auto"/>
        <w:rPr>
          <w:sz w:val="20"/>
          <w:szCs w:val="20"/>
          <w:color w:val="auto"/>
        </w:rPr>
      </w:pPr>
      <w:r>
        <w:rPr>
          <w:rFonts w:ascii="Arial" w:cs="Arial" w:eastAsia="Arial" w:hAnsi="Arial"/>
          <w:sz w:val="18"/>
          <w:szCs w:val="18"/>
          <w:color w:val="auto"/>
        </w:rPr>
        <w:t>We are substantially dependent on the success of our lead product candidate, DAY101, which is currently in clinical development and which has not completed a pivotal trial.</w:t>
      </w:r>
    </w:p>
    <w:p>
      <w:pPr>
        <w:spacing w:after="0" w:line="62" w:lineRule="exact"/>
        <w:rPr>
          <w:sz w:val="20"/>
          <w:szCs w:val="20"/>
          <w:color w:val="auto"/>
        </w:rPr>
      </w:pPr>
    </w:p>
    <w:p>
      <w:pPr>
        <w:ind w:left="440" w:right="60"/>
        <w:spacing w:after="0" w:line="279" w:lineRule="auto"/>
        <w:rPr>
          <w:sz w:val="20"/>
          <w:szCs w:val="20"/>
          <w:color w:val="auto"/>
        </w:rPr>
      </w:pPr>
      <w:r>
        <w:rPr>
          <w:rFonts w:ascii="Arial" w:cs="Arial" w:eastAsia="Arial" w:hAnsi="Arial"/>
          <w:sz w:val="18"/>
          <w:szCs w:val="18"/>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Our product candidates may not have favorable results in later clinical trials, if any, or receive regulatory approval.</w:t>
      </w:r>
    </w:p>
    <w:p>
      <w:pPr>
        <w:spacing w:after="0" w:line="75" w:lineRule="exact"/>
        <w:rPr>
          <w:sz w:val="20"/>
          <w:szCs w:val="20"/>
          <w:color w:val="auto"/>
        </w:rPr>
      </w:pPr>
    </w:p>
    <w:p>
      <w:pPr>
        <w:ind w:left="440"/>
        <w:spacing w:after="0" w:line="293" w:lineRule="auto"/>
        <w:rPr>
          <w:sz w:val="20"/>
          <w:szCs w:val="20"/>
          <w:color w:val="auto"/>
        </w:rPr>
      </w:pPr>
      <w:r>
        <w:rPr>
          <w:rFonts w:ascii="Arial" w:cs="Arial" w:eastAsia="Arial" w:hAnsi="Arial"/>
          <w:sz w:val="18"/>
          <w:szCs w:val="18"/>
          <w:color w:val="auto"/>
        </w:rPr>
        <w:t>We expect to rely on data from an investigator-initiated trial Phase 1 clinical trial in our regulatory filings and we do not control the trial operations or reporting of the results.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we fail to demonstrate safety and efficacy to our stakeholders, our reputation may be harmed and our business will suffer.</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COVID-19 pandemic could adversely impact our business, including our clinical trials and clinical trial operations.</w:t>
      </w:r>
    </w:p>
    <w:p>
      <w:pPr>
        <w:spacing w:after="0" w:line="131" w:lineRule="exact"/>
        <w:rPr>
          <w:sz w:val="20"/>
          <w:szCs w:val="20"/>
          <w:color w:val="auto"/>
        </w:rPr>
      </w:pPr>
    </w:p>
    <w:p>
      <w:pPr>
        <w:ind w:left="440" w:right="80"/>
        <w:spacing w:after="0" w:line="293" w:lineRule="auto"/>
        <w:rPr>
          <w:sz w:val="20"/>
          <w:szCs w:val="20"/>
          <w:color w:val="auto"/>
        </w:rPr>
      </w:pPr>
      <w:r>
        <w:rPr>
          <w:rFonts w:ascii="Arial" w:cs="Arial" w:eastAsia="Arial" w:hAnsi="Arial"/>
          <w:sz w:val="18"/>
          <w:szCs w:val="18"/>
          <w:color w:val="auto"/>
        </w:rPr>
        <w:t>The development and commercialization of pharmaceutical products are subject to extensive regulation, and we may not obtain regulatory approvals for DAY101, pimasertib or any future product candidates, on a timely basis or at all.</w:t>
      </w:r>
    </w:p>
    <w:p>
      <w:pPr>
        <w:spacing w:after="0" w:line="62" w:lineRule="exact"/>
        <w:rPr>
          <w:sz w:val="20"/>
          <w:szCs w:val="20"/>
          <w:color w:val="auto"/>
        </w:rPr>
      </w:pPr>
    </w:p>
    <w:p>
      <w:pPr>
        <w:ind w:left="440" w:right="60"/>
        <w:spacing w:after="0" w:line="293" w:lineRule="auto"/>
        <w:rPr>
          <w:sz w:val="20"/>
          <w:szCs w:val="20"/>
          <w:color w:val="auto"/>
        </w:rPr>
      </w:pPr>
      <w:r>
        <w:rPr>
          <w:rFonts w:ascii="Arial" w:cs="Arial" w:eastAsia="Arial" w:hAnsi="Arial"/>
          <w:sz w:val="18"/>
          <w:szCs w:val="18"/>
          <w:color w:val="auto"/>
        </w:rPr>
        <w:t>The manufacture of our product candidates is complex. Our third-party manufacturers may encounter difficulties in production, which could delay or entirely halt their ability to supply our product candidates for clinical trials or, if approved, for commercial sale.</w:t>
      </w:r>
    </w:p>
    <w:p>
      <w:pPr>
        <w:spacing w:after="0" w:line="62" w:lineRule="exact"/>
        <w:rPr>
          <w:sz w:val="20"/>
          <w:szCs w:val="20"/>
          <w:color w:val="auto"/>
        </w:rPr>
      </w:pPr>
    </w:p>
    <w:p>
      <w:pPr>
        <w:ind w:left="440" w:right="240"/>
        <w:spacing w:after="0" w:line="266" w:lineRule="auto"/>
        <w:rPr>
          <w:sz w:val="20"/>
          <w:szCs w:val="20"/>
          <w:color w:val="auto"/>
        </w:rPr>
      </w:pPr>
      <w:r>
        <w:rPr>
          <w:rFonts w:ascii="Arial" w:cs="Arial" w:eastAsia="Arial" w:hAnsi="Arial"/>
          <w:sz w:val="18"/>
          <w:szCs w:val="18"/>
          <w:color w:val="auto"/>
        </w:rPr>
        <w:t>Our future success depends on our ability to retain our executive officers and key employees and to attract, retain and motivate qualified personnel and manage our human capital.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ind w:left="440"/>
        <w:spacing w:after="0"/>
        <w:rPr>
          <w:sz w:val="20"/>
          <w:szCs w:val="20"/>
          <w:color w:val="auto"/>
        </w:rPr>
      </w:pPr>
      <w:r>
        <w:rPr>
          <w:rFonts w:ascii="Arial" w:cs="Arial" w:eastAsia="Arial" w:hAnsi="Arial"/>
          <w:sz w:val="18"/>
          <w:szCs w:val="18"/>
          <w:color w:val="auto"/>
        </w:rPr>
        <w:t>We will need to grow the size and capabilities of our organization, and we may experience difficulties in managing this growth.</w:t>
      </w:r>
    </w:p>
    <w:p>
      <w:pPr>
        <w:spacing w:after="0" w:line="131" w:lineRule="exact"/>
        <w:rPr>
          <w:sz w:val="20"/>
          <w:szCs w:val="20"/>
          <w:color w:val="auto"/>
        </w:rPr>
      </w:pPr>
    </w:p>
    <w:p>
      <w:pPr>
        <w:ind w:left="440" w:right="160"/>
        <w:spacing w:after="0" w:line="275" w:lineRule="auto"/>
        <w:rPr>
          <w:sz w:val="20"/>
          <w:szCs w:val="20"/>
          <w:color w:val="auto"/>
        </w:rPr>
      </w:pPr>
      <w:r>
        <w:rPr>
          <w:rFonts w:ascii="Arial" w:cs="Arial" w:eastAsia="Arial" w:hAnsi="Arial"/>
          <w:sz w:val="18"/>
          <w:szCs w:val="18"/>
          <w:color w:val="auto"/>
        </w:rPr>
        <w:t>If we are unable to obtain and maintain patent protection or other necessary rights for our products and technology, or if the scope of the patent protection obtained is not sufficiently broad or our rights under licensed patents is not sufficiently broad, our competitors could develop and commercialize products and technology similar or identical to ours, and our ability to successfully commercialize our products and technology may be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35" w:lineRule="exact"/>
        <w:rPr>
          <w:sz w:val="20"/>
          <w:szCs w:val="20"/>
          <w:color w:val="auto"/>
        </w:rPr>
      </w:pPr>
    </w:p>
    <w:p>
      <w:pPr>
        <w:ind w:right="240"/>
        <w:spacing w:after="0" w:line="394" w:lineRule="auto"/>
        <w:rPr>
          <w:sz w:val="20"/>
          <w:szCs w:val="20"/>
          <w:color w:val="auto"/>
        </w:rPr>
      </w:pPr>
      <w:r>
        <w:rPr>
          <w:rFonts w:ascii="Arial" w:cs="Arial" w:eastAsia="Arial" w:hAnsi="Arial"/>
          <w:sz w:val="15"/>
          <w:szCs w:val="15"/>
          <w:b w:val="1"/>
          <w:bCs w:val="1"/>
          <w:i w:val="1"/>
          <w:iCs w:val="1"/>
          <w:color w:val="auto"/>
        </w:rPr>
        <w:t>We have a limited operating history, have not completed any clinical trials beyond Phase 1, have no products approved for commercial sale and have not generated any revenue, which may make it difficult for investors to evaluate our current business and likelihood of success and viability.</w:t>
      </w:r>
    </w:p>
    <w:p>
      <w:pPr>
        <w:spacing w:after="0" w:line="1"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We are a clinical-stage biopharmaceutical company with a limited operating history upon which you can evaluate our business and prospects. We commenced operations in 2018, have no products approved for commercial sale and have never generated any revenue. Investment in drug development is a highly speculative undertaking and involves a substantial degree of risk. To date, we have devoted substantially all of our resources to identifying, acquiring and developing our product candidates and building our pipeline, organizing and staffing our company, business planning, establishing and maintaining our intellectual property portfolio, establishing arrangements with third parties for the manufacture of our product candidates, raising capital and providing general and administrative support for these operations.</w:t>
      </w:r>
    </w:p>
    <w:p>
      <w:pPr>
        <w:spacing w:after="0" w:line="176"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color w:val="auto"/>
        </w:rPr>
        <w:t>Since our inception, we have focused substantially all of our efforts and financial resources on the clinical development of our lead product candidate, DAY101, initially for relapsed or progressive low-grade gliomas, or pLGGs, and our other current product candidate, pimasertib, an orally available small molecule inhibitor of MEK kinase, which we intend to use in combination with DAY101 for the treatment of RAS and RAF- dependent tumors. To date, we have financed our operations primarily through the sale and issuance of redeemable convertible preferred shares, convertible notes, and the completion of our initial public offering, or IPO.</w:t>
      </w:r>
    </w:p>
    <w:p>
      <w:pPr>
        <w:spacing w:after="0" w:line="191"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We have not yet demonstrated an ability to successfully complete any clinical trials beyond Phase 1, obtain marketing approvals, manufacture a commercial-scale product or arrange for a third-party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299" w:lineRule="exact"/>
        <w:rPr>
          <w:sz w:val="20"/>
          <w:szCs w:val="20"/>
          <w:color w:val="auto"/>
        </w:rPr>
      </w:pPr>
    </w:p>
    <w:p>
      <w:pPr>
        <w:spacing w:after="0" w:line="293" w:lineRule="auto"/>
        <w:rPr>
          <w:sz w:val="20"/>
          <w:szCs w:val="20"/>
          <w:color w:val="auto"/>
        </w:rPr>
      </w:pPr>
      <w:r>
        <w:rPr>
          <w:rFonts w:ascii="Arial" w:cs="Arial" w:eastAsia="Arial" w:hAnsi="Arial"/>
          <w:sz w:val="18"/>
          <w:szCs w:val="18"/>
          <w:b w:val="1"/>
          <w:bCs w:val="1"/>
          <w:i w:val="1"/>
          <w:iCs w:val="1"/>
          <w:color w:val="auto"/>
        </w:rPr>
        <w:t>We have incurred significant net losses since our inception and have not generated any revenue. We expect to incur continued losses for the foreseeable future and may never achieve or maintain profitability.</w:t>
      </w:r>
    </w:p>
    <w:p>
      <w:pPr>
        <w:spacing w:after="0" w:line="62"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We have incurred significant net losses in each reporting period since our inception, have not generated any revenue to date and have financed our operations principally through private placements of our redeemable convertible preferred shares, our convertible notes and the completion of our IPO. For the nine months ended September 30, 2021 and the year ended December 31, 2020, we reported a net loss and comprehensive loss of $50.8 million and $43.8 million, respectively. We had an accumulated deficit of $105.5 million as of September 30, 2021. We expect to incur increasing levels of operating losses for the foreseeable future, particularly as we advance DAY101 and pimasertib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lead product candidate and other product candidates, including our ongoing pivotal Phase 2 clinical trial for DAY101 (FIREFLY-1), our planned Phase 3 clinical trial of DAY101 as a potential frontline therapy in pLGG, our planned Phase 2 clinical trial of DAY101 in adult RAS/RAF-altered solid tumors and our planned Phase 1b/2 trial for DAY101 and pimasertib, and development of and subsequent Investigational New Drug Applications, or INDs, for any future product candidates we may choose to pursue. In addition, if we obtain marketing approval for DAY101, pimasertib, or another product candidate, we will incur significant sales, marketing and outsourced manufacturing expenses in connection with the commercialization of DAY101, pimasertib, or such other product candidate, respectively. We have also incurred, and will continue to incur, additional costs associated with operating as a public company.</w:t>
      </w:r>
    </w:p>
    <w:p>
      <w:pPr>
        <w:spacing w:after="0" w:line="170"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As a result, we expect to continue to incur significant and increasing net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In addition, we expect our financial condition and operating results to fluctuate significantly from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4" w:name="page35"/>
    <w:bookmarkEnd w:id="34"/>
    <w:p>
      <w:pPr>
        <w:ind w:right="160"/>
        <w:spacing w:after="0" w:line="293" w:lineRule="auto"/>
        <w:rPr>
          <w:sz w:val="20"/>
          <w:szCs w:val="20"/>
          <w:color w:val="auto"/>
        </w:rPr>
      </w:pPr>
      <w:r>
        <w:rPr>
          <w:rFonts w:ascii="Arial" w:cs="Arial" w:eastAsia="Arial" w:hAnsi="Arial"/>
          <w:sz w:val="18"/>
          <w:szCs w:val="18"/>
          <w:color w:val="auto"/>
        </w:rPr>
        <w:t>quarter-to-quarter and year-to-year due to a variety of factors, many of which are beyond our control. Accordingly, you should not rely upon the results of any quarterly or annual periods as indications of future operating performance.</w:t>
      </w:r>
    </w:p>
    <w:p>
      <w:pPr>
        <w:spacing w:after="0" w:line="278"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several objectives relating to the discovery or identification, development and commercialization of our product candidates.</w:t>
      </w:r>
    </w:p>
    <w:p>
      <w:pPr>
        <w:spacing w:after="0" w:line="62"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Our business depends entirely on the successful discovery or identification, development and commercialization of product candidates. We have no products approved for commercial sale and do not anticipate generating any revenue from product sales for the next several years, if ever. We do not expect to generate significant revenue unless and until we obtain marketing approval for, and begin to sell, DAY101, pimasertib, or another product candidate. Our ability to generate revenue and achieve profitability depends on several factors, including, but not limited to, our ability to:</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complete a successful pivotal Phase 2 trial with DAY101 that achieves a competitive, clinically meaningful target product profile;</w:t>
      </w:r>
    </w:p>
    <w:p>
      <w:pPr>
        <w:spacing w:after="0" w:line="131" w:lineRule="exact"/>
        <w:rPr>
          <w:sz w:val="20"/>
          <w:szCs w:val="20"/>
          <w:color w:val="auto"/>
        </w:rPr>
      </w:pPr>
    </w:p>
    <w:p>
      <w:pPr>
        <w:ind w:left="440"/>
        <w:spacing w:after="0" w:line="293" w:lineRule="auto"/>
        <w:rPr>
          <w:sz w:val="20"/>
          <w:szCs w:val="20"/>
          <w:color w:val="auto"/>
        </w:rPr>
      </w:pPr>
      <w:r>
        <w:rPr>
          <w:rFonts w:ascii="Arial" w:cs="Arial" w:eastAsia="Arial" w:hAnsi="Arial"/>
          <w:sz w:val="18"/>
          <w:szCs w:val="18"/>
          <w:color w:val="auto"/>
        </w:rPr>
        <w:t>initiate and complete a successful Phase 1b/2 trial of DAY101 as monotherapy and in combination with pimasertib in patients 12 years and older with tumors having activated RAF signaling;</w:t>
      </w:r>
    </w:p>
    <w:p>
      <w:pPr>
        <w:spacing w:after="0" w:line="62" w:lineRule="exact"/>
        <w:rPr>
          <w:sz w:val="20"/>
          <w:szCs w:val="20"/>
          <w:color w:val="auto"/>
        </w:rPr>
      </w:pPr>
    </w:p>
    <w:p>
      <w:pPr>
        <w:ind w:left="440" w:right="160"/>
        <w:spacing w:after="0" w:line="293" w:lineRule="auto"/>
        <w:rPr>
          <w:sz w:val="20"/>
          <w:szCs w:val="20"/>
          <w:color w:val="auto"/>
        </w:rPr>
      </w:pPr>
      <w:r>
        <w:rPr>
          <w:rFonts w:ascii="Arial" w:cs="Arial" w:eastAsia="Arial" w:hAnsi="Arial"/>
          <w:sz w:val="18"/>
          <w:szCs w:val="18"/>
          <w:color w:val="auto"/>
        </w:rPr>
        <w:t>initiate and successfully complete all safety, pharmacokinetic and other studies required to obtain U.S. and foreign marketing approval for DAY101 as a treatment for patients with pLGGs;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initiate and complete successful later-stage clinical trials that meet their clinical endpoints;</w:t>
      </w:r>
    </w:p>
    <w:p>
      <w:pPr>
        <w:spacing w:after="0" w:line="131" w:lineRule="exact"/>
        <w:rPr>
          <w:sz w:val="20"/>
          <w:szCs w:val="20"/>
          <w:color w:val="auto"/>
        </w:rPr>
      </w:pPr>
    </w:p>
    <w:p>
      <w:pPr>
        <w:ind w:left="440" w:right="80"/>
        <w:spacing w:after="0" w:line="359" w:lineRule="auto"/>
        <w:rPr>
          <w:sz w:val="20"/>
          <w:szCs w:val="20"/>
          <w:color w:val="auto"/>
        </w:rPr>
      </w:pPr>
      <w:r>
        <w:rPr>
          <w:rFonts w:ascii="Arial" w:cs="Arial" w:eastAsia="Arial" w:hAnsi="Arial"/>
          <w:sz w:val="16"/>
          <w:szCs w:val="16"/>
          <w:color w:val="auto"/>
        </w:rPr>
        <w:t>obtain favorable results from our clinical trials and apply for and obtain marketing approval for DAY101 and pimasertib from applicable regulatory authorities, including New Drug Applications, or NDAs, from the U.S. Food and Drug Administration, or the FDA, and maintaining such approvals;</w:t>
      </w:r>
    </w:p>
    <w:p>
      <w:pPr>
        <w:spacing w:after="0" w:line="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establish licenses, collaborations or strategic partnerships that may increase the value of our programs;</w:t>
      </w:r>
    </w:p>
    <w:p>
      <w:pPr>
        <w:spacing w:after="0" w:line="131" w:lineRule="exact"/>
        <w:rPr>
          <w:sz w:val="20"/>
          <w:szCs w:val="20"/>
          <w:color w:val="auto"/>
        </w:rPr>
      </w:pPr>
    </w:p>
    <w:p>
      <w:pPr>
        <w:ind w:left="440" w:right="580"/>
        <w:spacing w:after="0" w:line="324" w:lineRule="auto"/>
        <w:rPr>
          <w:sz w:val="20"/>
          <w:szCs w:val="20"/>
          <w:color w:val="auto"/>
        </w:rPr>
      </w:pPr>
      <w:r>
        <w:rPr>
          <w:rFonts w:ascii="Arial" w:cs="Arial" w:eastAsia="Arial" w:hAnsi="Arial"/>
          <w:sz w:val="17"/>
          <w:szCs w:val="17"/>
          <w:color w:val="auto"/>
        </w:rPr>
        <w:t>establish and maintain viable supply and manufacturing relationships with third parties that can provide adequate, in both amount and quality, products and services to support clinical development and meet the market demand for our product candidates, if approved;</w:t>
      </w:r>
    </w:p>
    <w:p>
      <w:pPr>
        <w:spacing w:after="0" w:line="39" w:lineRule="exact"/>
        <w:rPr>
          <w:sz w:val="20"/>
          <w:szCs w:val="20"/>
          <w:color w:val="auto"/>
        </w:rPr>
      </w:pPr>
    </w:p>
    <w:p>
      <w:pPr>
        <w:ind w:left="440" w:right="560"/>
        <w:spacing w:after="0" w:line="293" w:lineRule="auto"/>
        <w:rPr>
          <w:sz w:val="20"/>
          <w:szCs w:val="20"/>
          <w:color w:val="auto"/>
        </w:rPr>
      </w:pPr>
      <w:r>
        <w:rPr>
          <w:rFonts w:ascii="Arial" w:cs="Arial" w:eastAsia="Arial" w:hAnsi="Arial"/>
          <w:sz w:val="18"/>
          <w:szCs w:val="18"/>
          <w:color w:val="auto"/>
        </w:rPr>
        <w:t>successfully commercialize DAY101, pimasertib, and any future product candidates we may develop, if approved, by building a sales force or entering into collaborations with third parties;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satisfy any required post-marketing approval commitments to applicable regulatory authorities;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maintain a continued acceptable safety profile following any marketing approval of our product candidates;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identify, assess and develop new product candidates;</w:t>
      </w:r>
    </w:p>
    <w:p>
      <w:pPr>
        <w:spacing w:after="0" w:line="131" w:lineRule="exact"/>
        <w:rPr>
          <w:sz w:val="20"/>
          <w:szCs w:val="20"/>
          <w:color w:val="auto"/>
        </w:rPr>
      </w:pPr>
    </w:p>
    <w:p>
      <w:pPr>
        <w:ind w:left="440" w:right="60"/>
        <w:spacing w:after="0" w:line="293" w:lineRule="auto"/>
        <w:rPr>
          <w:sz w:val="20"/>
          <w:szCs w:val="20"/>
          <w:color w:val="auto"/>
        </w:rPr>
      </w:pPr>
      <w:r>
        <w:rPr>
          <w:rFonts w:ascii="Arial" w:cs="Arial" w:eastAsia="Arial" w:hAnsi="Arial"/>
          <w:sz w:val="18"/>
          <w:szCs w:val="18"/>
          <w:color w:val="auto"/>
        </w:rPr>
        <w:t>establish and maintain patent and trade secret protection or regulatory exclusivity for our product candidates; maintain an acceptable safety profile of our products, including pimasertib;</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obtain, maintain, protect and defend our intellectual property portfolio;</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address any competing therapies and technological and market developments;</w:t>
      </w:r>
    </w:p>
    <w:p>
      <w:pPr>
        <w:spacing w:after="0" w:line="131" w:lineRule="exact"/>
        <w:rPr>
          <w:sz w:val="20"/>
          <w:szCs w:val="20"/>
          <w:color w:val="auto"/>
        </w:rPr>
      </w:pPr>
    </w:p>
    <w:p>
      <w:pPr>
        <w:ind w:left="440" w:right="140"/>
        <w:spacing w:after="0" w:line="293" w:lineRule="auto"/>
        <w:rPr>
          <w:sz w:val="20"/>
          <w:szCs w:val="20"/>
          <w:color w:val="auto"/>
        </w:rPr>
      </w:pPr>
      <w:r>
        <w:rPr>
          <w:rFonts w:ascii="Arial" w:cs="Arial" w:eastAsia="Arial" w:hAnsi="Arial"/>
          <w:sz w:val="18"/>
          <w:szCs w:val="18"/>
          <w:color w:val="auto"/>
        </w:rPr>
        <w:t>achieve market acceptance of DAY101 or pimasertib and our other successful product candidates , if any, with patients, the medical community and third-party payors; and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attract, hire and retain qualified personnel.</w:t>
      </w:r>
    </w:p>
    <w:p>
      <w:pPr>
        <w:spacing w:after="0" w:line="239" w:lineRule="exact"/>
        <w:rPr>
          <w:sz w:val="20"/>
          <w:szCs w:val="20"/>
          <w:color w:val="auto"/>
        </w:rPr>
      </w:pPr>
    </w:p>
    <w:p>
      <w:pPr>
        <w:jc w:val="both"/>
        <w:ind w:right="260"/>
        <w:spacing w:after="0" w:line="290" w:lineRule="auto"/>
        <w:rPr>
          <w:sz w:val="20"/>
          <w:szCs w:val="20"/>
          <w:color w:val="auto"/>
        </w:rPr>
      </w:pPr>
      <w:r>
        <w:rPr>
          <w:rFonts w:ascii="Arial" w:cs="Arial" w:eastAsia="Arial" w:hAnsi="Arial"/>
          <w:sz w:val="17"/>
          <w:szCs w:val="17"/>
          <w:color w:val="auto"/>
        </w:rPr>
        <w:t>To become and remain profitable, we must succeed in designing, developing and eventually commercializing products that generate significant revenue. This will require us to be successful in a range of challenging activities, including completing clinical trials for our product candidates, designing and/or acquiring additional product candidates, establishing arrangements with third parties for the manufacture of clinical supplies of our product candidates, obtaining marketing approval for our product candidates and manufacturing, or marketing and selling any products for which we may obtain marketing approval, if any. We are in the earlier stages of most of these activities. We may never succeed in these activities and, even if we do, may never generate revenues that are significant enough to achieve profitability.</w:t>
      </w:r>
    </w:p>
    <w:p>
      <w:pPr>
        <w:spacing w:after="0" w:line="176"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In cases where we are successful in obtaining regulatory approval to market one or more of our product candidates, our revenue will be dependent, in part, upon the size of the markets in the territories for which we gain regulatory approval, the accepted price for the product, the duration of treatment that physicians believe is appropriate for our product, the speed of physician adoption, the ability to obtain coverage and reimbursement, and whether we own the commercial rights for that territory. If the number of our addressable patients is not as significant as we estimate, the indication approved by regulatory authorities is narrower than we expect, or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jc w:val="both"/>
        <w:ind w:right="120"/>
        <w:spacing w:after="0" w:line="293" w:lineRule="auto"/>
        <w:rPr>
          <w:sz w:val="20"/>
          <w:szCs w:val="20"/>
          <w:color w:val="auto"/>
        </w:rPr>
      </w:pPr>
      <w:r>
        <w:rPr>
          <w:rFonts w:ascii="Arial" w:cs="Arial" w:eastAsia="Arial" w:hAnsi="Arial"/>
          <w:sz w:val="18"/>
          <w:szCs w:val="18"/>
          <w:color w:val="auto"/>
        </w:rPr>
        <w:t>treatment population is narrowed by competition, physician choice, payer decisions or treatment guidelines, we may not generate significant revenue from sales of such products, even if approved.</w:t>
      </w:r>
    </w:p>
    <w:p>
      <w:pPr>
        <w:spacing w:after="0" w:line="170" w:lineRule="exact"/>
        <w:rPr>
          <w:sz w:val="20"/>
          <w:szCs w:val="20"/>
          <w:color w:val="auto"/>
        </w:rPr>
      </w:pPr>
    </w:p>
    <w:p>
      <w:pPr>
        <w:jc w:val="both"/>
        <w:ind w:right="100"/>
        <w:spacing w:after="0" w:line="329" w:lineRule="auto"/>
        <w:rPr>
          <w:sz w:val="20"/>
          <w:szCs w:val="20"/>
          <w:color w:val="auto"/>
        </w:rPr>
      </w:pPr>
      <w:r>
        <w:rPr>
          <w:rFonts w:ascii="Arial" w:cs="Arial" w:eastAsia="Arial" w:hAnsi="Arial"/>
          <w:sz w:val="16"/>
          <w:szCs w:val="16"/>
          <w:color w:val="auto"/>
        </w:rPr>
        <w:t>If we decide to or are required by the FDA or regulatory authorities in other jurisdictions to perform studies or clinical trials in addition to those currently expected, or if there are any delays in establishing appropriate manufacturing arrangements for, in initiating or completing our current and planned clinical trials for, or in the development of, any of our product candidates, our expenses could increase materially and profitability could be further delayed.</w:t>
      </w:r>
    </w:p>
    <w:p>
      <w:pPr>
        <w:spacing w:after="0" w:line="148" w:lineRule="exact"/>
        <w:rPr>
          <w:sz w:val="20"/>
          <w:szCs w:val="20"/>
          <w:color w:val="auto"/>
        </w:rPr>
      </w:pPr>
    </w:p>
    <w:p>
      <w:pPr>
        <w:jc w:val="both"/>
        <w:ind w:right="340"/>
        <w:spacing w:after="0" w:line="279" w:lineRule="auto"/>
        <w:rPr>
          <w:sz w:val="20"/>
          <w:szCs w:val="20"/>
          <w:color w:val="auto"/>
        </w:rPr>
      </w:pPr>
      <w:r>
        <w:rPr>
          <w:rFonts w:ascii="Arial" w:cs="Arial" w:eastAsia="Arial" w:hAnsi="Arial"/>
          <w:sz w:val="18"/>
          <w:szCs w:val="18"/>
          <w:color w:val="auto"/>
        </w:rPr>
        <w:t>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91" w:lineRule="exact"/>
        <w:rPr>
          <w:sz w:val="20"/>
          <w:szCs w:val="20"/>
          <w:color w:val="auto"/>
        </w:rPr>
      </w:pPr>
    </w:p>
    <w:p>
      <w:pPr>
        <w:ind w:right="260"/>
        <w:spacing w:after="0" w:line="279"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7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substantially in connection with our ongoing activities, particularly as we advance our lead product candidate, DAY101, pimasertib, and any future product candidates through clinical development. We expect increased expenses as we continue our research and development, initiate additional clinical trials seek to expand our product pipeline, seek marketing approval for our lead programs and future product candidates, if any and invest in our organization. In addition, if we obtain marketing approval for any of our product candidates, we expect to incur significant commercialization expenses related to product manufacturing, marketing, sales and distribution. Furthermore, we have incurred and will continue to incur additional costs associated with operating as a public company, such as acquiring and retaining experienced personnel, developing new information technology systems, and other costs associated with being a public company In addition, we expect to experience ongoing and additional costs related to preparing and filing patent applications, maintaining our intellectual property and potentially expanding our office facilities. Accordingly, we will need to obtain substantial additional funding in connection with our continuing operations.</w:t>
      </w:r>
    </w:p>
    <w:p>
      <w:pPr>
        <w:spacing w:after="0" w:line="178" w:lineRule="exact"/>
        <w:rPr>
          <w:sz w:val="20"/>
          <w:szCs w:val="20"/>
          <w:color w:val="auto"/>
        </w:rPr>
      </w:pPr>
    </w:p>
    <w:p>
      <w:pPr>
        <w:jc w:val="both"/>
        <w:ind w:right="80"/>
        <w:spacing w:after="0" w:line="275" w:lineRule="auto"/>
        <w:rPr>
          <w:sz w:val="20"/>
          <w:szCs w:val="20"/>
          <w:color w:val="auto"/>
        </w:rPr>
      </w:pPr>
      <w:r>
        <w:rPr>
          <w:rFonts w:ascii="Arial" w:cs="Arial" w:eastAsia="Arial" w:hAnsi="Arial"/>
          <w:sz w:val="18"/>
          <w:szCs w:val="18"/>
          <w:color w:val="auto"/>
        </w:rPr>
        <w:t>Adequate additional financing may 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research and development programs, our commercialization plans or other operations.</w:t>
      </w:r>
    </w:p>
    <w:p>
      <w:pPr>
        <w:spacing w:after="0" w:line="185"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We had $297.2 million in cash and cash equivalents as of September 30, 2021. We believe that our existing cash, and cash equivalents, will enable us to fund our operating expenses, and capital expenditure requirements into 2023.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w:t>
      </w:r>
    </w:p>
    <w:p>
      <w:pPr>
        <w:spacing w:after="0" w:line="83" w:lineRule="exact"/>
        <w:rPr>
          <w:sz w:val="20"/>
          <w:szCs w:val="20"/>
          <w:color w:val="auto"/>
        </w:rPr>
      </w:pPr>
    </w:p>
    <w:p>
      <w:pPr>
        <w:ind w:left="440" w:right="2200"/>
        <w:spacing w:after="0" w:line="440" w:lineRule="auto"/>
        <w:rPr>
          <w:sz w:val="20"/>
          <w:szCs w:val="20"/>
          <w:color w:val="auto"/>
        </w:rPr>
      </w:pPr>
      <w:r>
        <w:rPr>
          <w:rFonts w:ascii="Arial" w:cs="Arial" w:eastAsia="Arial" w:hAnsi="Arial"/>
          <w:sz w:val="16"/>
          <w:szCs w:val="16"/>
          <w:color w:val="auto"/>
        </w:rPr>
        <w:t>the progress, timing and results of preclinical studies and clinical trials for our current or any future product candidates; the extent to which we develop, in-license or acquire other pipeline product candidates or technologies;</w:t>
      </w:r>
    </w:p>
    <w:p>
      <w:pPr>
        <w:ind w:left="440" w:right="100"/>
        <w:spacing w:after="0" w:line="293" w:lineRule="auto"/>
        <w:rPr>
          <w:sz w:val="20"/>
          <w:szCs w:val="20"/>
          <w:color w:val="auto"/>
        </w:rPr>
      </w:pPr>
      <w:r>
        <w:rPr>
          <w:rFonts w:ascii="Arial" w:cs="Arial" w:eastAsia="Arial" w:hAnsi="Arial"/>
          <w:sz w:val="18"/>
          <w:szCs w:val="18"/>
          <w:color w:val="auto"/>
        </w:rPr>
        <w:t>the number and development requirements of future product candidates that we may pursue, and other indications for our current product candidates that we may pursue;</w:t>
      </w:r>
    </w:p>
    <w:p>
      <w:pPr>
        <w:spacing w:after="0" w:line="62" w:lineRule="exact"/>
        <w:rPr>
          <w:sz w:val="20"/>
          <w:szCs w:val="20"/>
          <w:color w:val="auto"/>
        </w:rPr>
      </w:pPr>
    </w:p>
    <w:p>
      <w:pPr>
        <w:ind w:left="440" w:right="160"/>
        <w:spacing w:after="0" w:line="293" w:lineRule="auto"/>
        <w:rPr>
          <w:sz w:val="20"/>
          <w:szCs w:val="20"/>
          <w:color w:val="auto"/>
        </w:rPr>
      </w:pPr>
      <w:r>
        <w:rPr>
          <w:rFonts w:ascii="Arial" w:cs="Arial" w:eastAsia="Arial" w:hAnsi="Arial"/>
          <w:sz w:val="18"/>
          <w:szCs w:val="18"/>
          <w:color w:val="auto"/>
        </w:rPr>
        <w:t>the costs, timing and outcome of obtaining regulatory approvals of our current or future product candidates and any companion diagnostics we may pursue;</w:t>
      </w:r>
    </w:p>
    <w:p>
      <w:pPr>
        <w:spacing w:after="0" w:line="62" w:lineRule="exact"/>
        <w:rPr>
          <w:sz w:val="20"/>
          <w:szCs w:val="20"/>
          <w:color w:val="auto"/>
        </w:rPr>
      </w:pPr>
    </w:p>
    <w:p>
      <w:pPr>
        <w:ind w:left="440" w:right="720"/>
        <w:spacing w:after="0" w:line="293" w:lineRule="auto"/>
        <w:rPr>
          <w:sz w:val="20"/>
          <w:szCs w:val="20"/>
          <w:color w:val="auto"/>
        </w:rPr>
      </w:pPr>
      <w:r>
        <w:rPr>
          <w:rFonts w:ascii="Arial" w:cs="Arial" w:eastAsia="Arial" w:hAnsi="Arial"/>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62" w:lineRule="exact"/>
        <w:rPr>
          <w:sz w:val="20"/>
          <w:szCs w:val="20"/>
          <w:color w:val="auto"/>
        </w:rPr>
      </w:pPr>
    </w:p>
    <w:p>
      <w:pPr>
        <w:ind w:left="440" w:right="460"/>
        <w:spacing w:after="0" w:line="293" w:lineRule="auto"/>
        <w:rPr>
          <w:sz w:val="20"/>
          <w:szCs w:val="20"/>
          <w:color w:val="auto"/>
        </w:rPr>
      </w:pPr>
      <w:r>
        <w:rPr>
          <w:rFonts w:ascii="Arial" w:cs="Arial" w:eastAsia="Arial" w:hAnsi="Arial"/>
          <w:sz w:val="18"/>
          <w:szCs w:val="18"/>
          <w:color w:val="auto"/>
        </w:rPr>
        <w:t>the costs involved in growing our organization to the size needed to allow for the research, development and potential commercialization of our current or future product candidates;</w:t>
      </w:r>
    </w:p>
    <w:p>
      <w:pPr>
        <w:spacing w:after="0" w:line="62" w:lineRule="exact"/>
        <w:rPr>
          <w:sz w:val="20"/>
          <w:szCs w:val="20"/>
          <w:color w:val="auto"/>
        </w:rPr>
      </w:pPr>
    </w:p>
    <w:p>
      <w:pPr>
        <w:jc w:val="both"/>
        <w:ind w:left="440" w:right="20"/>
        <w:spacing w:after="0" w:line="303" w:lineRule="auto"/>
        <w:rPr>
          <w:sz w:val="20"/>
          <w:szCs w:val="20"/>
          <w:color w:val="auto"/>
        </w:rPr>
      </w:pPr>
      <w:r>
        <w:rPr>
          <w:rFonts w:ascii="Arial" w:cs="Arial" w:eastAsia="Arial" w:hAnsi="Arial"/>
          <w:sz w:val="17"/>
          <w:szCs w:val="17"/>
          <w:color w:val="auto"/>
        </w:rPr>
        <w:t>to the extent we pursue strategic collaborations, including collaborations to commercialize DAY101, pimasertib, or any of our future pipeline product candidates, in any, our ability to establish and maintain collaborations on favorable terms, if at all, as well as the timing and amount of any milestone or royalty payments we are required to make or are eligible to receive under such collaborations or our current licenses;</w:t>
      </w:r>
    </w:p>
    <w:p>
      <w:pPr>
        <w:spacing w:after="0" w:line="56" w:lineRule="exact"/>
        <w:rPr>
          <w:sz w:val="20"/>
          <w:szCs w:val="20"/>
          <w:color w:val="auto"/>
        </w:rPr>
      </w:pPr>
    </w:p>
    <w:p>
      <w:pPr>
        <w:ind w:left="440" w:right="260"/>
        <w:spacing w:after="0" w:line="266" w:lineRule="auto"/>
        <w:rPr>
          <w:sz w:val="20"/>
          <w:szCs w:val="20"/>
          <w:color w:val="auto"/>
        </w:rPr>
      </w:pPr>
      <w:r>
        <w:rPr>
          <w:rFonts w:ascii="Arial" w:cs="Arial" w:eastAsia="Arial" w:hAnsi="Arial"/>
          <w:sz w:val="18"/>
          <w:szCs w:val="18"/>
          <w:color w:val="auto"/>
        </w:rPr>
        <w:t>the cost associated with commercializing any approved product candidates, including establishing sales, marketing, market access and distribution capabilities;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ind w:left="440"/>
        <w:spacing w:after="0"/>
        <w:rPr>
          <w:sz w:val="20"/>
          <w:szCs w:val="20"/>
          <w:color w:val="auto"/>
        </w:rPr>
      </w:pPr>
      <w:r>
        <w:rPr>
          <w:rFonts w:ascii="Arial" w:cs="Arial" w:eastAsia="Arial" w:hAnsi="Arial"/>
          <w:sz w:val="18"/>
          <w:szCs w:val="18"/>
          <w:color w:val="auto"/>
        </w:rPr>
        <w:t>the cost associated with completing any post-marketing studies or trials required by the FDA or other regulatory authorities;</w:t>
      </w:r>
    </w:p>
    <w:p>
      <w:pPr>
        <w:spacing w:after="0" w:line="131" w:lineRule="exact"/>
        <w:rPr>
          <w:sz w:val="20"/>
          <w:szCs w:val="20"/>
          <w:color w:val="auto"/>
        </w:rPr>
      </w:pPr>
    </w:p>
    <w:p>
      <w:pPr>
        <w:ind w:left="440" w:right="20"/>
        <w:spacing w:after="0" w:line="293" w:lineRule="auto"/>
        <w:rPr>
          <w:sz w:val="20"/>
          <w:szCs w:val="20"/>
          <w:color w:val="auto"/>
        </w:rPr>
      </w:pPr>
      <w:r>
        <w:rPr>
          <w:rFonts w:ascii="Arial" w:cs="Arial" w:eastAsia="Arial" w:hAnsi="Arial"/>
          <w:sz w:val="18"/>
          <w:szCs w:val="18"/>
          <w:color w:val="auto"/>
        </w:rPr>
        <w:t>the revenue, if any, received from commercial sales of DAY101, pimasertib or any of our future product candidates if any are approved, or any future pipeline product candidates that receive marketing approval;</w:t>
      </w:r>
    </w:p>
    <w:p>
      <w:pPr>
        <w:spacing w:after="0" w:line="62" w:lineRule="exact"/>
        <w:rPr>
          <w:sz w:val="20"/>
          <w:szCs w:val="20"/>
          <w:color w:val="auto"/>
        </w:rPr>
      </w:pPr>
    </w:p>
    <w:p>
      <w:pPr>
        <w:ind w:left="440"/>
        <w:spacing w:after="0" w:line="324" w:lineRule="auto"/>
        <w:rPr>
          <w:sz w:val="20"/>
          <w:szCs w:val="20"/>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 and</w:t>
      </w:r>
    </w:p>
    <w:p>
      <w:pPr>
        <w:spacing w:after="0" w:line="39" w:lineRule="exact"/>
        <w:rPr>
          <w:sz w:val="20"/>
          <w:szCs w:val="20"/>
          <w:color w:val="auto"/>
        </w:rPr>
      </w:pPr>
    </w:p>
    <w:p>
      <w:pPr>
        <w:ind w:left="440" w:right="440"/>
        <w:spacing w:after="0" w:line="293" w:lineRule="auto"/>
        <w:rPr>
          <w:sz w:val="20"/>
          <w:szCs w:val="20"/>
          <w:color w:val="auto"/>
        </w:rPr>
      </w:pPr>
      <w:r>
        <w:rPr>
          <w:rFonts w:ascii="Arial" w:cs="Arial" w:eastAsia="Arial" w:hAnsi="Arial"/>
          <w:sz w:val="18"/>
          <w:szCs w:val="18"/>
          <w:color w:val="auto"/>
        </w:rPr>
        <w:t>the costs associated with potential product liability claims, including the costs associated with obtaining insurance against such claims and with defending against such claims.</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6"/>
          <w:szCs w:val="16"/>
          <w:color w:val="auto"/>
        </w:rPr>
        <w:t>We will require additional capital to complete our planned clinical development programs for our current product candidates to obtain regulatory approval, and we anticipate needing to raise additional capital to complete the development of and commercialize our product candidates.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Furthermore, any additional capital-raising efforts may divert our management from their day-to-day activities, which may adversely affect our ability to develop and commercialize our current and future product candidates, if approved. Changing circumstances, some of which may be beyond our control, could cause us to consume capital significantly faster than we currently anticipate, and we may need to seek additional funds sooner than planned.</w:t>
      </w:r>
    </w:p>
    <w:p>
      <w:pPr>
        <w:spacing w:after="0" w:line="163"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To the extent that we raise additional capital through the sale of equity or convertible debt securities,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Our ability to raise additional funds may be adversely impacted by potential worsening global economic conditions and disruptions to and volatility in the credit and financial markets in the United States and worldwide resulting from the ongoing COVID-19 pandemic or otherwise.</w:t>
      </w:r>
    </w:p>
    <w:p>
      <w:pPr>
        <w:spacing w:after="0" w:line="178" w:lineRule="exact"/>
        <w:rPr>
          <w:sz w:val="20"/>
          <w:szCs w:val="20"/>
          <w:color w:val="auto"/>
        </w:rPr>
      </w:pPr>
    </w:p>
    <w:p>
      <w:pPr>
        <w:jc w:val="both"/>
        <w:ind w:right="260"/>
        <w:spacing w:after="0" w:line="279"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research or drug development programs, clinical trials or future commercialization efforts.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and commercialization of our product candidates</w:t>
      </w:r>
    </w:p>
    <w:p>
      <w:pPr>
        <w:spacing w:after="0" w:line="135" w:lineRule="exact"/>
        <w:rPr>
          <w:sz w:val="20"/>
          <w:szCs w:val="20"/>
          <w:color w:val="auto"/>
        </w:rPr>
      </w:pPr>
    </w:p>
    <w:p>
      <w:pPr>
        <w:jc w:val="both"/>
        <w:ind w:right="260"/>
        <w:spacing w:after="0" w:line="293"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DAY101, which is currently in clinical development and which has not completed a pivotal trial.</w:t>
      </w:r>
    </w:p>
    <w:p>
      <w:pPr>
        <w:spacing w:after="0" w:line="62"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color w:val="auto"/>
        </w:rPr>
        <w:t>Our future success is highly dependent on our ability to timely complete successful clinical trials, obtain regulatory approval for, and then successfully commercialize, our product candidates. We are early in our development efforts and our lead product candidate, DAY101, is currently in a pivotal Phase 2 clinical trial. Our other current product candidate, pimasertib, is in an earlier stage of development. We currently have no products that are approved for sale in any jurisdiction. There can be no assurance that DAY101, pimasertib or any future product candidates we develop, if any, will achieve success in their clinical trials or obtain regulatory approval.</w:t>
      </w:r>
    </w:p>
    <w:p>
      <w:pPr>
        <w:spacing w:after="0" w:line="191" w:lineRule="exact"/>
        <w:rPr>
          <w:sz w:val="20"/>
          <w:szCs w:val="20"/>
          <w:color w:val="auto"/>
        </w:rPr>
      </w:pPr>
    </w:p>
    <w:p>
      <w:pPr>
        <w:ind w:right="80"/>
        <w:spacing w:after="0" w:line="359" w:lineRule="auto"/>
        <w:rPr>
          <w:sz w:val="20"/>
          <w:szCs w:val="20"/>
          <w:color w:val="auto"/>
        </w:rPr>
      </w:pPr>
      <w:r>
        <w:rPr>
          <w:rFonts w:ascii="Arial" w:cs="Arial" w:eastAsia="Arial" w:hAnsi="Arial"/>
          <w:sz w:val="16"/>
          <w:szCs w:val="16"/>
          <w:color w:val="auto"/>
        </w:rPr>
        <w:t>Our ability to generate product revenue, which we do not expect will occur for many years, if ever, will depend heavily on the successful development and eventual commercialization of our lead product candidate, DAY101. The success of DAY101, will depend on several factors, including the following:</w:t>
      </w:r>
    </w:p>
    <w:p>
      <w:pPr>
        <w:spacing w:after="0" w:line="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successful and timely completion of current and future clinical trials resulting in attractive, competitive target product profiles;</w:t>
      </w:r>
    </w:p>
    <w:p>
      <w:pPr>
        <w:spacing w:after="0" w:line="131" w:lineRule="exact"/>
        <w:rPr>
          <w:sz w:val="20"/>
          <w:szCs w:val="20"/>
          <w:color w:val="auto"/>
        </w:rPr>
      </w:pPr>
    </w:p>
    <w:p>
      <w:pPr>
        <w:ind w:left="440" w:right="320"/>
        <w:spacing w:after="0" w:line="293" w:lineRule="auto"/>
        <w:rPr>
          <w:sz w:val="20"/>
          <w:szCs w:val="20"/>
          <w:color w:val="auto"/>
        </w:rPr>
      </w:pPr>
      <w:r>
        <w:rPr>
          <w:rFonts w:ascii="Arial" w:cs="Arial" w:eastAsia="Arial" w:hAnsi="Arial"/>
          <w:sz w:val="18"/>
          <w:szCs w:val="18"/>
          <w:color w:val="auto"/>
        </w:rPr>
        <w:t>acceptance of NDAs by the FDA or other similar clinical trial applications from foreign regulatory authorities for our future clinical trials for our pipeline product candidates;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timely and successful enrollment of patients in, and completion of, clinical trials with favorable results;</w:t>
      </w:r>
    </w:p>
    <w:p>
      <w:pPr>
        <w:spacing w:after="0" w:line="131" w:lineRule="exact"/>
        <w:rPr>
          <w:sz w:val="20"/>
          <w:szCs w:val="20"/>
          <w:color w:val="auto"/>
        </w:rPr>
      </w:pPr>
    </w:p>
    <w:p>
      <w:pPr>
        <w:ind w:left="440" w:right="120"/>
        <w:spacing w:after="0" w:line="266" w:lineRule="auto"/>
        <w:rPr>
          <w:sz w:val="20"/>
          <w:szCs w:val="20"/>
          <w:color w:val="auto"/>
        </w:rPr>
      </w:pPr>
      <w:r>
        <w:rPr>
          <w:rFonts w:ascii="Arial" w:cs="Arial" w:eastAsia="Arial" w:hAnsi="Arial"/>
          <w:sz w:val="18"/>
          <w:szCs w:val="18"/>
          <w:color w:val="auto"/>
        </w:rPr>
        <w:t>demonstration of safety, efficacy and acceptable risk-benefit profiles of our product candidates to the satisfaction of the FDA and foreign regulatory agencies and attractive to physicians, patients, advocates, payers and caregivers;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7" w:name="page38"/>
    <w:bookmarkEnd w:id="37"/>
    <w:p>
      <w:pPr>
        <w:ind w:left="440" w:right="360"/>
        <w:spacing w:after="0" w:line="293" w:lineRule="auto"/>
        <w:rPr>
          <w:sz w:val="20"/>
          <w:szCs w:val="20"/>
          <w:color w:val="auto"/>
        </w:rPr>
      </w:pPr>
      <w:r>
        <w:rPr>
          <w:rFonts w:ascii="Arial" w:cs="Arial" w:eastAsia="Arial" w:hAnsi="Arial"/>
          <w:sz w:val="18"/>
          <w:szCs w:val="18"/>
          <w:color w:val="auto"/>
        </w:rPr>
        <w:t>our ability, or that of our collaborators, to develop and obtain clearance or approval of companion diagnostics, on a timely basis, or at all, and an adequate supply of these companion diagnostics and access to these companion diagnostics that outpaces demand;</w:t>
      </w:r>
    </w:p>
    <w:p>
      <w:pPr>
        <w:spacing w:after="0" w:line="62" w:lineRule="exact"/>
        <w:rPr>
          <w:sz w:val="20"/>
          <w:szCs w:val="20"/>
          <w:color w:val="auto"/>
        </w:rPr>
      </w:pPr>
    </w:p>
    <w:p>
      <w:pPr>
        <w:ind w:left="440" w:right="320"/>
        <w:spacing w:after="0" w:line="293" w:lineRule="auto"/>
        <w:rPr>
          <w:sz w:val="20"/>
          <w:szCs w:val="20"/>
          <w:color w:val="auto"/>
        </w:rPr>
      </w:pPr>
      <w:r>
        <w:rPr>
          <w:rFonts w:ascii="Arial" w:cs="Arial" w:eastAsia="Arial" w:hAnsi="Arial"/>
          <w:sz w:val="18"/>
          <w:szCs w:val="18"/>
          <w:color w:val="auto"/>
        </w:rPr>
        <w:t>receipt and related terms of marketing approvals from applicable regulatory authorities, including the completion of any required post-marketing studies or trials and available funding to perform any post-marketing commitments;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raising additional funds necessary to complete clinical development of and commercialize our product candidates;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obtaining and maintaining patent, trade secret and other intellectual property protection and regulatory exclusivity for our product candidates;</w:t>
      </w:r>
    </w:p>
    <w:p>
      <w:pPr>
        <w:spacing w:after="0" w:line="142" w:lineRule="exact"/>
        <w:rPr>
          <w:sz w:val="20"/>
          <w:szCs w:val="20"/>
          <w:color w:val="auto"/>
        </w:rPr>
      </w:pPr>
    </w:p>
    <w:p>
      <w:pPr>
        <w:ind w:left="440" w:right="280"/>
        <w:spacing w:after="0" w:line="293" w:lineRule="auto"/>
        <w:rPr>
          <w:sz w:val="20"/>
          <w:szCs w:val="20"/>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 and ensuring a resilient, effective supply chain that produces supply that outpaces demand;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developing and implementing marketing and reimbursement strategies, as well as adequate demand forecasts for supply and sales planning;</w:t>
      </w:r>
    </w:p>
    <w:p>
      <w:pPr>
        <w:spacing w:after="0" w:line="142" w:lineRule="exact"/>
        <w:rPr>
          <w:sz w:val="20"/>
          <w:szCs w:val="20"/>
          <w:color w:val="auto"/>
        </w:rPr>
      </w:pPr>
    </w:p>
    <w:p>
      <w:pPr>
        <w:jc w:val="both"/>
        <w:ind w:left="440"/>
        <w:spacing w:after="0" w:line="279" w:lineRule="auto"/>
        <w:rPr>
          <w:sz w:val="20"/>
          <w:szCs w:val="20"/>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 in a market where promotional sales approaches are rapidly moving to digital platforms and rep access to major institutions remains uncertain;</w:t>
      </w:r>
    </w:p>
    <w:p>
      <w:pPr>
        <w:spacing w:after="0" w:line="75" w:lineRule="exact"/>
        <w:rPr>
          <w:sz w:val="20"/>
          <w:szCs w:val="20"/>
          <w:color w:val="auto"/>
        </w:rPr>
      </w:pPr>
    </w:p>
    <w:p>
      <w:pPr>
        <w:ind w:left="440" w:right="520"/>
        <w:spacing w:after="0" w:line="293" w:lineRule="auto"/>
        <w:rPr>
          <w:sz w:val="20"/>
          <w:szCs w:val="20"/>
          <w:color w:val="auto"/>
        </w:rPr>
      </w:pPr>
      <w:r>
        <w:rPr>
          <w:rFonts w:ascii="Arial" w:cs="Arial" w:eastAsia="Arial" w:hAnsi="Arial"/>
          <w:sz w:val="18"/>
          <w:szCs w:val="18"/>
          <w:color w:val="auto"/>
        </w:rPr>
        <w:t>acceptance of our products, if and when approved, by patients, the medical community and third-party payors underpinned by adequate health economic data and a meaningful value proposition;</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effectively competing with other therapies, including those that have not yet entered the market;</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obtaining and maintaining third-party payor coverage and adequate reimbursement in both public and private payor spaces across multiple countries;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obtaining appropriate support from patient advocacy organizations;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effectively shaping the market in the early years following launch to help providers understand a new way of thinking about treating these patients;</w:t>
      </w:r>
    </w:p>
    <w:p>
      <w:pPr>
        <w:spacing w:after="0" w:line="154" w:lineRule="exact"/>
        <w:rPr>
          <w:sz w:val="20"/>
          <w:szCs w:val="20"/>
          <w:color w:val="auto"/>
        </w:rPr>
      </w:pPr>
    </w:p>
    <w:p>
      <w:pPr>
        <w:ind w:left="440" w:right="320"/>
        <w:spacing w:after="0" w:line="293" w:lineRule="auto"/>
        <w:rPr>
          <w:sz w:val="20"/>
          <w:szCs w:val="20"/>
          <w:color w:val="auto"/>
        </w:rPr>
      </w:pPr>
      <w:r>
        <w:rPr>
          <w:rFonts w:ascii="Arial" w:cs="Arial" w:eastAsia="Arial" w:hAnsi="Arial"/>
          <w:sz w:val="18"/>
          <w:szCs w:val="18"/>
          <w:color w:val="auto"/>
        </w:rPr>
        <w:t>addressing any delays in our clinical trials resulting from factors related to the COVID-19 pandemic or other major natural disaster or significant political event;</w:t>
      </w:r>
    </w:p>
    <w:p>
      <w:pPr>
        <w:spacing w:after="0" w:line="62" w:lineRule="exact"/>
        <w:rPr>
          <w:sz w:val="20"/>
          <w:szCs w:val="20"/>
          <w:color w:val="auto"/>
        </w:rPr>
      </w:pPr>
    </w:p>
    <w:p>
      <w:pPr>
        <w:ind w:left="440" w:right="4620"/>
        <w:spacing w:after="0" w:line="500" w:lineRule="auto"/>
        <w:rPr>
          <w:sz w:val="20"/>
          <w:szCs w:val="20"/>
          <w:color w:val="auto"/>
        </w:rPr>
      </w:pPr>
      <w:r>
        <w:rPr>
          <w:rFonts w:ascii="Arial" w:cs="Arial" w:eastAsia="Arial" w:hAnsi="Arial"/>
          <w:sz w:val="16"/>
          <w:szCs w:val="16"/>
          <w:color w:val="auto"/>
        </w:rPr>
        <w:t>protecting and enforcing our rights in our intellectual property portfolio; and maintaining a continued acceptable safety profile of the products following approval.</w:t>
      </w:r>
    </w:p>
    <w:p>
      <w:pPr>
        <w:spacing w:after="0" w:line="16"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results of our ongoing clinical trial of DAY101 do not meet the clinical endpoints, or if we are unable to initiate a Phase 1b/2 trial of DAY101 as monotherapy or in combination with pimasertib.</w:t>
      </w:r>
    </w:p>
    <w:p>
      <w:pPr>
        <w:spacing w:after="0" w:line="299" w:lineRule="exact"/>
        <w:rPr>
          <w:sz w:val="20"/>
          <w:szCs w:val="20"/>
          <w:color w:val="auto"/>
        </w:rPr>
      </w:pPr>
    </w:p>
    <w:p>
      <w:pPr>
        <w:ind w:right="120"/>
        <w:spacing w:after="0" w:line="303" w:lineRule="auto"/>
        <w:rPr>
          <w:sz w:val="20"/>
          <w:szCs w:val="20"/>
          <w:color w:val="auto"/>
        </w:rPr>
      </w:pPr>
      <w:r>
        <w:rPr>
          <w:rFonts w:ascii="Arial" w:cs="Arial" w:eastAsia="Arial" w:hAnsi="Arial"/>
          <w:sz w:val="17"/>
          <w:szCs w:val="17"/>
          <w:b w:val="1"/>
          <w:bCs w:val="1"/>
          <w:i w:val="1"/>
          <w:iCs w:val="1"/>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Our product candidates may not have favorable results in later clinical trials, if any, or receive regulatory approval.</w:t>
      </w:r>
    </w:p>
    <w:p>
      <w:pPr>
        <w:spacing w:after="0" w:line="56"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The risk of failure for our product candidates is high. It is impossible to predict when or if any of our product candidates will prove effective or safe in humans or will receive regulatory approval. To obtain the requisite regulatory approvals to market and sell any of our product candidates, we must demonstrate through extensive preclinical studies and clinical trials that our product candidates are safe and effective in humans for use in each target indication. Clinical testing is expensive and can take many years to complete, and the outcome is inherently uncertain. Failure can occur at any time during the clinical trial process.</w:t>
      </w:r>
    </w:p>
    <w:p>
      <w:pPr>
        <w:spacing w:after="0" w:line="191"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In addition, the results of preclinical studies and earlier clinical trials may not be predictive of the results of later-stage preclinical studies or clinical trials. We have limited clinical data for our product candidates. Product candidates in later stages of clinical trials may fail to show the desired safety and efficacy traits despite having progressed through preclinical and earlier stage clinical trials.</w:t>
      </w:r>
    </w:p>
    <w:p>
      <w:pPr>
        <w:spacing w:after="0" w:line="183"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color w:val="auto"/>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8" w:name="page39"/>
    <w:bookmarkEnd w:id="38"/>
    <w:p>
      <w:pPr>
        <w:ind w:right="120"/>
        <w:spacing w:after="0" w:line="275" w:lineRule="auto"/>
        <w:rPr>
          <w:sz w:val="20"/>
          <w:szCs w:val="20"/>
          <w:color w:val="auto"/>
        </w:rPr>
      </w:pPr>
      <w:r>
        <w:rPr>
          <w:rFonts w:ascii="Arial" w:cs="Arial" w:eastAsia="Arial" w:hAnsi="Arial"/>
          <w:sz w:val="18"/>
          <w:szCs w:val="18"/>
          <w:color w:val="auto"/>
        </w:rPr>
        <w:t>of the patient populations, adherence to the dosing regimen and other clinical trial protocols, and the rate of discontinuation among clinical trial participants. If we fail to produce positive results in our planned clinical trials of any of our product candidates, the development timeline and regulatory approval and commercialization prospects for our product candidates, and, correspondingly, our business and financial prospects, would be materially and adversely affected.</w:t>
      </w:r>
    </w:p>
    <w:p>
      <w:pPr>
        <w:spacing w:after="0" w:line="293"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We expect to rely on data from an investigator-initiated trial Phase 1 clinical trial in our regulatory filings and we do not control the trial operations or reporting of the results.</w:t>
      </w:r>
    </w:p>
    <w:p>
      <w:pPr>
        <w:spacing w:after="0" w:line="6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DAY101’s Phase 1 trial is run as investigator-initiated, multi-center trial in patients with relapsed/refractory pLGG that is being conducted by the Dana Farber Cancer Institute in collaboration with the Pacific Pediatric Neuro-Oncology Consortium, or PNOC. The last data reported from this trial was in January 2020. It is possible that additional data, when reported, will not demonstrate similar results. We have no control over the timing of such clinical data announcements. In addition, although we expect that our pivotal Phase 2 trial in pLGG will provide a sufficient dataset to support approval with only 60 patients based on preliminary discussions with regulatory agencies, we cannot assure you that the FDA will not require data from additional patients to support approval. In later-stage clinical trials, we will likely be subject to more rigorous statistical analyses than in completed earlier stage clinical trials. A number of companies in the pharmaceutical industry have suffered significant setbacks in later-stage clinical trials due to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Furthermore,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initiated trials could be useful to inform our own clinical development efforts, there is no guarantee that we will be able to use the data from these trials to form the basis for regulatory approval of our product candidates.</w:t>
      </w:r>
    </w:p>
    <w:p>
      <w:pPr>
        <w:spacing w:after="0" w:line="290" w:lineRule="exact"/>
        <w:rPr>
          <w:sz w:val="20"/>
          <w:szCs w:val="20"/>
          <w:color w:val="auto"/>
        </w:rPr>
      </w:pPr>
    </w:p>
    <w:p>
      <w:pPr>
        <w:ind w:right="840"/>
        <w:spacing w:after="0" w:line="293" w:lineRule="auto"/>
        <w:rPr>
          <w:sz w:val="20"/>
          <w:szCs w:val="20"/>
          <w:color w:val="auto"/>
        </w:rPr>
      </w:pPr>
      <w:r>
        <w:rPr>
          <w:rFonts w:ascii="Arial" w:cs="Arial" w:eastAsia="Arial" w:hAnsi="Arial"/>
          <w:sz w:val="18"/>
          <w:szCs w:val="18"/>
          <w:b w:val="1"/>
          <w:bCs w:val="1"/>
          <w:i w:val="1"/>
          <w:iCs w:val="1"/>
          <w:color w:val="auto"/>
        </w:rPr>
        <w:t>Our clinical trials may fail to adequately demonstrate the safety and efficacy of any of our product candidates, which would prevent or delay development, regulatory approval and commercialization.</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Before obtaining marketing approval from the FDA or comparable foreign regulatory authorities for the sale of our current product candidates, we must demonstrate through lengthy, complex and expensive clinical trials that our product candidates are both safe and effective for use in each target indication. Clinical testing is expensive, difficult to design and implement, can take many years to complete and its ultimate outcome is uncertain. Failure can occur at any time during the clinical trial processes, and, because our product candidates are in earlier stages of development, there is a high risk of failure and we may never succeed in developing marketable products.</w:t>
      </w:r>
    </w:p>
    <w:p>
      <w:pPr>
        <w:spacing w:after="0" w:line="191"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failure of our product candidates in clinical trials to demonstrate safety and efficacy;</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failure of our product candidates in clinical trials to demonstrate important functional, quality, or patient-reported outcomes;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receipt of feedback from regulatory authorities that requires us to modify the design of our clinical trials;</w:t>
      </w:r>
    </w:p>
    <w:p>
      <w:pPr>
        <w:spacing w:after="0" w:line="131" w:lineRule="exact"/>
        <w:rPr>
          <w:sz w:val="20"/>
          <w:szCs w:val="20"/>
          <w:color w:val="auto"/>
        </w:rPr>
      </w:pPr>
    </w:p>
    <w:p>
      <w:pPr>
        <w:ind w:left="440" w:right="700"/>
        <w:spacing w:after="0" w:line="293" w:lineRule="auto"/>
        <w:rPr>
          <w:sz w:val="20"/>
          <w:szCs w:val="20"/>
          <w:color w:val="auto"/>
        </w:rPr>
      </w:pPr>
      <w:r>
        <w:rPr>
          <w:rFonts w:ascii="Arial" w:cs="Arial" w:eastAsia="Arial" w:hAnsi="Arial"/>
          <w:sz w:val="18"/>
          <w:szCs w:val="18"/>
          <w:color w:val="auto"/>
        </w:rPr>
        <w:t>negative or inconclusive clinical trial results that may require us to conduct additional clinical trials or abandon certain research and/or drug development programs;</w:t>
      </w:r>
    </w:p>
    <w:p>
      <w:pPr>
        <w:spacing w:after="0" w:line="62" w:lineRule="exact"/>
        <w:rPr>
          <w:sz w:val="20"/>
          <w:szCs w:val="20"/>
          <w:color w:val="auto"/>
        </w:rPr>
      </w:pPr>
    </w:p>
    <w:p>
      <w:pPr>
        <w:ind w:left="440" w:right="380"/>
        <w:spacing w:after="0" w:line="293" w:lineRule="auto"/>
        <w:rPr>
          <w:sz w:val="20"/>
          <w:szCs w:val="20"/>
          <w:color w:val="auto"/>
        </w:rPr>
      </w:pPr>
      <w:r>
        <w:rPr>
          <w:rFonts w:ascii="Arial" w:cs="Arial" w:eastAsia="Arial" w:hAnsi="Arial"/>
          <w:sz w:val="18"/>
          <w:szCs w:val="18"/>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third-party contractors failing to comply with regulatory requirements or meet their contractual obligations to us in a timely manner, or at all;</w:t>
      </w:r>
    </w:p>
    <w:p>
      <w:pPr>
        <w:spacing w:after="0" w:line="142" w:lineRule="exact"/>
        <w:rPr>
          <w:sz w:val="20"/>
          <w:szCs w:val="20"/>
          <w:color w:val="auto"/>
        </w:rPr>
      </w:pPr>
    </w:p>
    <w:p>
      <w:pPr>
        <w:ind w:left="440" w:right="180"/>
        <w:spacing w:after="0" w:line="266" w:lineRule="auto"/>
        <w:rPr>
          <w:sz w:val="20"/>
          <w:szCs w:val="20"/>
          <w:color w:val="auto"/>
        </w:rPr>
      </w:pPr>
      <w:r>
        <w:rPr>
          <w:rFonts w:ascii="Arial" w:cs="Arial" w:eastAsia="Arial" w:hAnsi="Arial"/>
          <w:sz w:val="18"/>
          <w:szCs w:val="18"/>
          <w:color w:val="auto"/>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9" w:name="page40"/>
    <w:bookmarkEnd w:id="39"/>
    <w:p>
      <w:pPr>
        <w:ind w:left="440"/>
        <w:spacing w:after="0"/>
        <w:rPr>
          <w:sz w:val="20"/>
          <w:szCs w:val="20"/>
          <w:color w:val="auto"/>
        </w:rPr>
      </w:pPr>
      <w:r>
        <w:rPr>
          <w:rFonts w:ascii="Arial" w:cs="Arial" w:eastAsia="Arial" w:hAnsi="Arial"/>
          <w:sz w:val="18"/>
          <w:szCs w:val="18"/>
          <w:color w:val="auto"/>
        </w:rPr>
        <w:t>the cost of clinical trials of our product candidates being greater than anticipated;</w:t>
      </w:r>
    </w:p>
    <w:p>
      <w:pPr>
        <w:spacing w:after="0" w:line="131" w:lineRule="exact"/>
        <w:rPr>
          <w:sz w:val="20"/>
          <w:szCs w:val="20"/>
          <w:color w:val="auto"/>
        </w:rPr>
      </w:pPr>
    </w:p>
    <w:p>
      <w:pPr>
        <w:ind w:left="440" w:right="200"/>
        <w:spacing w:after="0" w:line="293" w:lineRule="auto"/>
        <w:rPr>
          <w:sz w:val="20"/>
          <w:szCs w:val="20"/>
          <w:color w:val="auto"/>
        </w:rPr>
      </w:pPr>
      <w:r>
        <w:rPr>
          <w:rFonts w:ascii="Arial" w:cs="Arial" w:eastAsia="Arial" w:hAnsi="Arial"/>
          <w:sz w:val="18"/>
          <w:szCs w:val="18"/>
          <w:color w:val="auto"/>
        </w:rPr>
        <w:t>the supply or quality of our product candidates or other materials necessary to conduct clinical trials of our product candidates being insufficient or inadequate; and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regulators revising the requirements for approving our product candidates.</w:t>
      </w:r>
    </w:p>
    <w:p>
      <w:pPr>
        <w:spacing w:after="0" w:line="239" w:lineRule="exact"/>
        <w:rPr>
          <w:sz w:val="20"/>
          <w:szCs w:val="20"/>
          <w:color w:val="auto"/>
        </w:rPr>
      </w:pPr>
    </w:p>
    <w:p>
      <w:pPr>
        <w:ind w:right="440"/>
        <w:spacing w:after="0" w:line="292"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spacing w:after="0" w:line="174"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Our product candidates are initially targeted towards the pediatric population, for which safety concerns may be particularly scrutinized by regulatory agencies. Trials involving pediatric populations can be difficult to conduct, can be quite costly and, like other clinical trials, may not yield the anticipated results. In addition, pediatric studies are more dependent on a smaller number of specialized clinical trial sites, which in turn can limit site availability and make the trials more expensive to conduct. In addition, as interest in pediatric indications grows as a result of the RACE Act and other market forces, trial recruitment may become even more difficult due to competition for eligible patients. Moreover, it may be challenging to ensure that pediatric or adolescent patients adhere to clinical trial protocols. Our inability to enroll a sufficient number of pediatric patients for our clinical trial could result in significant delays, could require us to abandon one or more clinical trials altogether, could impact our ability to raise additional capital and could delay or prevent our ability to obtain necessary regulatory approvals for any drug product candidate.</w:t>
      </w:r>
    </w:p>
    <w:p>
      <w:pPr>
        <w:spacing w:after="0" w:line="182" w:lineRule="exact"/>
        <w:rPr>
          <w:sz w:val="20"/>
          <w:szCs w:val="20"/>
          <w:color w:val="auto"/>
        </w:rPr>
      </w:pPr>
    </w:p>
    <w:p>
      <w:pPr>
        <w:ind w:right="600"/>
        <w:spacing w:after="0" w:line="293"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 delayed in obtaining marketing approval, if at all;</w:t>
      </w:r>
    </w:p>
    <w:p>
      <w:pPr>
        <w:spacing w:after="0" w:line="131" w:lineRule="exact"/>
        <w:rPr>
          <w:sz w:val="20"/>
          <w:szCs w:val="20"/>
          <w:color w:val="auto"/>
        </w:rPr>
      </w:pPr>
    </w:p>
    <w:p>
      <w:pPr>
        <w:ind w:left="440" w:right="380"/>
        <w:spacing w:after="0" w:line="293" w:lineRule="auto"/>
        <w:rPr>
          <w:sz w:val="20"/>
          <w:szCs w:val="20"/>
          <w:color w:val="auto"/>
        </w:rPr>
      </w:pPr>
      <w:r>
        <w:rPr>
          <w:rFonts w:ascii="Arial" w:cs="Arial" w:eastAsia="Arial" w:hAnsi="Arial"/>
          <w:sz w:val="18"/>
          <w:szCs w:val="18"/>
          <w:color w:val="auto"/>
        </w:rPr>
        <w:t>obtain approval for indications or patient populations that are not as broad as intended or desired or may have restricted duration expectations or guidance;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 subject to additional post-marketing testing requirements;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131" w:lineRule="exact"/>
        <w:rPr>
          <w:sz w:val="20"/>
          <w:szCs w:val="20"/>
          <w:color w:val="auto"/>
        </w:rPr>
      </w:pPr>
    </w:p>
    <w:p>
      <w:pPr>
        <w:ind w:left="440" w:right="240"/>
        <w:spacing w:after="0" w:line="293" w:lineRule="auto"/>
        <w:rPr>
          <w:sz w:val="20"/>
          <w:szCs w:val="20"/>
          <w:color w:val="auto"/>
        </w:rPr>
      </w:pPr>
      <w:r>
        <w:rPr>
          <w:rFonts w:ascii="Arial" w:cs="Arial" w:eastAsia="Arial" w:hAnsi="Arial"/>
          <w:sz w:val="18"/>
          <w:szCs w:val="18"/>
          <w:color w:val="auto"/>
        </w:rPr>
        <w:t>have regulatory authorities withdraw, or suspend, their approval of the drug or impose restrictions on its distribution in the form of a modified risk evaluation and mitigation strategy, or REMS;</w:t>
      </w:r>
    </w:p>
    <w:p>
      <w:pPr>
        <w:spacing w:after="0" w:line="62" w:lineRule="exact"/>
        <w:rPr>
          <w:sz w:val="20"/>
          <w:szCs w:val="20"/>
          <w:color w:val="auto"/>
        </w:rPr>
      </w:pPr>
    </w:p>
    <w:p>
      <w:pPr>
        <w:ind w:left="440" w:right="4480"/>
        <w:spacing w:after="0" w:line="404" w:lineRule="auto"/>
        <w:rPr>
          <w:sz w:val="20"/>
          <w:szCs w:val="20"/>
          <w:color w:val="auto"/>
        </w:rPr>
      </w:pPr>
      <w:r>
        <w:rPr>
          <w:rFonts w:ascii="Arial" w:cs="Arial" w:eastAsia="Arial" w:hAnsi="Arial"/>
          <w:sz w:val="18"/>
          <w:szCs w:val="18"/>
          <w:color w:val="auto"/>
        </w:rPr>
        <w:t>be subject to the addition of labeling statements, such as warnings or contraindications; be subject to civil or criminal investigations and litigation; or experience damage to our reputation.</w:t>
      </w:r>
    </w:p>
    <w:p>
      <w:pPr>
        <w:spacing w:after="0" w:line="75" w:lineRule="exact"/>
        <w:rPr>
          <w:sz w:val="20"/>
          <w:szCs w:val="20"/>
          <w:color w:val="auto"/>
        </w:rPr>
      </w:pPr>
    </w:p>
    <w:p>
      <w:pPr>
        <w:ind w:right="160"/>
        <w:spacing w:after="0" w:line="303" w:lineRule="auto"/>
        <w:rPr>
          <w:sz w:val="20"/>
          <w:szCs w:val="20"/>
          <w:color w:val="auto"/>
        </w:rPr>
      </w:pPr>
      <w:r>
        <w:rPr>
          <w:rFonts w:ascii="Arial" w:cs="Arial" w:eastAsia="Arial" w:hAnsi="Arial"/>
          <w:sz w:val="17"/>
          <w:szCs w:val="17"/>
          <w:color w:val="auto"/>
        </w:rPr>
        <w:t>Our drug development costs will also increase if we experience delays in testing or obtaining marketing approvals. Also, delays in obtaining marketing approval may increase commercialization costs if the competitive environment becomes more intense prior to market entry. We do not know whether any of our preclinical studies or clinical trials will begin as planned, need to be restructured or be completed on schedule, if at all.</w:t>
      </w:r>
    </w:p>
    <w:p>
      <w:pPr>
        <w:spacing w:after="0" w:line="164"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Further, we, the FDA or an institutional review board, or IRB, may suspend our clinical trials at any time if it appears that we or our collaborators are failing to conduct a trial in accordance with regulatory requirements, including the FDA’s current Good Clinical Practice, or GCP, regulations, that we are exposing participants to unacceptable health risks, or if the FDA finds deficiencies in our investigational NDAs or the conduct of these trials. Therefore, we cannot predict with any certainty the schedule for commencement and completion of future clinical trials. 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0" w:name="page41"/>
    <w:bookmarkEnd w:id="40"/>
    <w:p>
      <w:pPr>
        <w:ind w:right="120"/>
        <w:spacing w:after="0" w:line="288"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to bridge our modified product candidates to earlier versions. 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 or eliminated entirely.</w:t>
      </w:r>
    </w:p>
    <w:p>
      <w:pPr>
        <w:spacing w:after="0" w:line="299" w:lineRule="exact"/>
        <w:rPr>
          <w:sz w:val="20"/>
          <w:szCs w:val="20"/>
          <w:color w:val="auto"/>
        </w:rPr>
      </w:pPr>
    </w:p>
    <w:p>
      <w:pPr>
        <w:spacing w:after="0" w:line="293" w:lineRule="auto"/>
        <w:rPr>
          <w:sz w:val="20"/>
          <w:szCs w:val="20"/>
          <w:color w:val="auto"/>
        </w:rPr>
      </w:pPr>
      <w:r>
        <w:rPr>
          <w:rFonts w:ascii="Arial" w:cs="Arial" w:eastAsia="Arial" w:hAnsi="Arial"/>
          <w:sz w:val="18"/>
          <w:szCs w:val="18"/>
          <w:b w:val="1"/>
          <w:bCs w:val="1"/>
          <w:i w:val="1"/>
          <w:iCs w:val="1"/>
          <w:color w:val="auto"/>
        </w:rPr>
        <w:t>If we experience delays or difficulties in enrolling patients in our ongoing or planned clinical trials, our receipt of necessary regulatory approvals could be delayed or prevented.</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our DAY101 program, we utilize genomic profiling of patients’ tumors to identify suitable patients for recruitment into our clinical trials. We cannot be certain (i) how many patients will have the requisite alterations for inclusion in our clinical trials, (ii) that the number of patients enrolled in each program will suffice for regulatory approval or (iii) whether each specific BRAF mutation targeted will be included in the approved drug labeling. If our strategies for patient identification and enrollment prove unsuccessful, we may have difficulty enrolling or maintaining patients appropriate for our product candidates. The conditions for which we currently plan to evaluate our product candidates are orphan or rare diseases with limited patient pools from which to draw for clinical trials. The eligibility criteria of our clinical trials, once established, will further limit the pool of available trial participants. In addition,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Patient enrollment is also affected by other factors, including:</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severity of the disease under investigation;</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ability to recruit clinical trial investigators of appropriate competencies and experience;</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incidence and prevalence of our target indications;</w:t>
      </w:r>
    </w:p>
    <w:p>
      <w:pPr>
        <w:spacing w:after="0" w:line="131" w:lineRule="exact"/>
        <w:rPr>
          <w:sz w:val="20"/>
          <w:szCs w:val="20"/>
          <w:color w:val="auto"/>
        </w:rPr>
      </w:pPr>
    </w:p>
    <w:p>
      <w:pPr>
        <w:ind w:left="440" w:right="40"/>
        <w:spacing w:after="0" w:line="293" w:lineRule="auto"/>
        <w:rPr>
          <w:sz w:val="20"/>
          <w:szCs w:val="20"/>
          <w:color w:val="auto"/>
        </w:rPr>
      </w:pPr>
      <w:r>
        <w:rPr>
          <w:rFonts w:ascii="Arial" w:cs="Arial" w:eastAsia="Arial" w:hAnsi="Arial"/>
          <w:sz w:val="18"/>
          <w:szCs w:val="18"/>
          <w:color w:val="auto"/>
        </w:rPr>
        <w:t>clinicians’ and patients’ awareness of, and perceptions as to the potential advantages and risks of our product candidates in relation to other available therapies, including any new drugs that may be approved for the indications we are investigating;</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competing studies or trials with similar eligibility criteria;</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invasive procedures required to enroll patients and to obtain evidence of the product candidate’s performance during the clinical trial;</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availability and efficacy of approved medications for the disease under investigation;</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eligibility criteria defined in the protocol for the trial in question;</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size and nature of the patient population required for analysis of the trial’s primary endpoints;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efforts to facilitate timely enrollment in clinical trials;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whether we are subject to a partial or full clinical hold on any of our clinical trials;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reluctance of physicians or patient advocacy organizations to encourage patient participation in clinical trials;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ability to monitor patients adequately during and after treatment;</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ability to obtain and maintain patient consents; and</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proximity and availability of clinical trial sites for prospective patients.</w:t>
      </w:r>
    </w:p>
    <w:p>
      <w:pPr>
        <w:spacing w:after="0" w:line="23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Our inability to enroll and maintain a sufficient number of patients for our clinical trials would result in significant delays or may require us to abandon one or more clinical trials altogether. There may be competing trials, as well as the limited bandwidth 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1" w:name="page42"/>
    <w:bookmarkEnd w:id="41"/>
    <w:p>
      <w:pPr>
        <w:ind w:right="60"/>
        <w:spacing w:after="0" w:line="271" w:lineRule="auto"/>
        <w:rPr>
          <w:sz w:val="20"/>
          <w:szCs w:val="20"/>
          <w:color w:val="auto"/>
        </w:rPr>
      </w:pPr>
      <w:r>
        <w:rPr>
          <w:rFonts w:ascii="Arial" w:cs="Arial" w:eastAsia="Arial" w:hAnsi="Arial"/>
          <w:sz w:val="18"/>
          <w:szCs w:val="18"/>
          <w:color w:val="auto"/>
        </w:rPr>
        <w:t>pediatric oncology institutions for running trials, which can lead to the prioritization of certain trials, leading to delays in our clinical trials. In addition, parents may be reluctant to enroll their children in our clinical trials, or may decide to withdraw their children from our clinical trials to pursue other therapies. The American Cancer Society has reported that the COVID-19 pandemic has led to declines in screening, diagnosis and treatment for patients, which will adversely impact the enrollment of patients in clinical trials targeting cancers and retention of patients overall. Enrollment delays in our clinical trials, including due to the COVID-19 pandemic, may result in increased development costs, which would cause the value of our company to decline and limit our ability to obtain additional financing.</w:t>
      </w:r>
    </w:p>
    <w:p>
      <w:pPr>
        <w:spacing w:after="0" w:line="299"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 candidates are currently under development, and may become commercially available in the future, for the treatment of conditions for which we may attempt to develop product candidates. In addition, our product candidates may need to compete with drugs physicians use off-label to treat the indications for which we seek approval. This may make it difficult for us to replace existing therapies with our product candidates.</w:t>
      </w:r>
    </w:p>
    <w:p>
      <w:pPr>
        <w:spacing w:after="0" w:line="181" w:lineRule="exact"/>
        <w:rPr>
          <w:sz w:val="20"/>
          <w:szCs w:val="20"/>
          <w:color w:val="auto"/>
        </w:rPr>
      </w:pPr>
    </w:p>
    <w:p>
      <w:pPr>
        <w:ind w:right="320"/>
        <w:spacing w:after="0" w:line="279" w:lineRule="auto"/>
        <w:rPr>
          <w:sz w:val="20"/>
          <w:szCs w:val="20"/>
          <w:color w:val="auto"/>
        </w:rPr>
      </w:pPr>
      <w:r>
        <w:rPr>
          <w:rFonts w:ascii="Arial" w:cs="Arial" w:eastAsia="Arial" w:hAnsi="Arial"/>
          <w:sz w:val="18"/>
          <w:szCs w:val="18"/>
          <w:color w:val="auto"/>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w:t>
      </w:r>
    </w:p>
    <w:p>
      <w:pPr>
        <w:spacing w:after="0" w:line="183" w:lineRule="exact"/>
        <w:rPr>
          <w:sz w:val="20"/>
          <w:szCs w:val="20"/>
          <w:color w:val="auto"/>
        </w:rPr>
      </w:pPr>
    </w:p>
    <w:p>
      <w:pPr>
        <w:ind w:right="400"/>
        <w:spacing w:after="0" w:line="303" w:lineRule="auto"/>
        <w:rPr>
          <w:sz w:val="20"/>
          <w:szCs w:val="20"/>
          <w:color w:val="auto"/>
        </w:rPr>
      </w:pPr>
      <w:r>
        <w:rPr>
          <w:rFonts w:ascii="Arial" w:cs="Arial" w:eastAsia="Arial" w:hAnsi="Arial"/>
          <w:sz w:val="17"/>
          <w:szCs w:val="17"/>
          <w:color w:val="auto"/>
        </w:rPr>
        <w:t>We also compete with these organizations to recruit and retain qualified scientific and management and sales and marketing personnel, which could negatively affect our level of expertise and our ability to execute our business plan. We will also face competition in establishing clinical trial sites and patient registration for clinical trials, as well as in acquiring technologies complementary to, or necessary for, our programs.</w:t>
      </w:r>
    </w:p>
    <w:p>
      <w:pPr>
        <w:spacing w:after="0" w:line="16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expect to face competition from existing products and products in development for each of our programs. Drug discovery efforts focused on V600 mutations have led to clinical success in some cancers. Three BRAF inhibitors have been approved by the FDA for the treatment of tumors containing V600E or V600K mutations. These first-generation BRAF inhibitors, known more generally as Type I RAF inhibitors, are vemurafenib, marketed as Zelboraf</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by Genentech; dabrafenib, marketed as Tafinlar</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by Novartis; and encorafenib, marketed as Braftovi</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by Pfizer. Dabrafinib, in combination with trametinib, is being evaluated in a Novartis-sponsored randomized Phase 2 clinical trial in newly-diagnosed patients with BRAF V600 mutant pLGG.</w:t>
      </w:r>
    </w:p>
    <w:p>
      <w:pPr>
        <w:spacing w:after="0" w:line="173"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Four MEK inhibitors have been approved by the FDA. Three have been approved for the treatment of tumors containing BRAF V600E or V600K mutations, including cobimetinib, marketed as Cotellic</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by Genentech; trametinib, marketed as Tafinlar</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by Novartis; and binimetinib, marketed as Mektovi</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by Pfizer. A fourth MEK inhibitor—selumetinib, marketed as Koselugo</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by AstraZeneca, has been approved for the treatment of pediatric patients, 2 years of age and older, with neurofibromatosis type 1, or NF1, who have symptomatic, inoperable plexiform neurofibromas.</w:t>
      </w:r>
    </w:p>
    <w:p>
      <w:pPr>
        <w:spacing w:after="0" w:line="175"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auto"/>
        </w:rPr>
        <w:t>Novartis is developing the next-generation BRAF inhibitor LXH254 in combination with various agents, in Phase 1/2 clinical trials. BeiGene has two next-generation BRAF programs: Lifirafenib (BGB-283), which is currently in a Phase 1/2 trial in combination with mirdametinib, and BGB-3245 which is currently in a single agent in Phase 1 dose escalation study. Hanmi / Genentech are developing belvarafenib in combination with cobimetinib in a Phase 1b clinical trial. Fore Therapeutics (formerly NovellusDx) is developing the RAF dimer breaker PLX8394 in a Phase 1/2 trial in combination with cobicistat. Kinnate and Black Diamond Therapeutics have next-generation BRAF inhibitors in various stages of preclinical development.</w:t>
      </w:r>
    </w:p>
    <w:p>
      <w:pPr>
        <w:spacing w:after="0" w:line="160" w:lineRule="exact"/>
        <w:rPr>
          <w:sz w:val="20"/>
          <w:szCs w:val="20"/>
          <w:color w:val="auto"/>
        </w:rPr>
      </w:pPr>
    </w:p>
    <w:p>
      <w:pPr>
        <w:jc w:val="both"/>
        <w:ind w:right="620"/>
        <w:spacing w:after="0" w:line="279" w:lineRule="auto"/>
        <w:rPr>
          <w:sz w:val="20"/>
          <w:szCs w:val="20"/>
          <w:color w:val="auto"/>
        </w:rPr>
      </w:pPr>
      <w:r>
        <w:rPr>
          <w:rFonts w:ascii="Arial" w:cs="Arial" w:eastAsia="Arial" w:hAnsi="Arial"/>
          <w:sz w:val="18"/>
          <w:szCs w:val="18"/>
          <w:color w:val="auto"/>
        </w:rPr>
        <w:t>With regard to the treatment of pLGG, some MEK inhibitors and some type I RAF inhibitors other targeted therapies are being studied in academic investigator-initiated clinical trials, and in some regions may be being used in an off-label manner. The off-label use of these agents may represent competition for DAY101 when it enters the market.</w:t>
      </w:r>
    </w:p>
    <w:p>
      <w:pPr>
        <w:spacing w:after="0" w:line="183" w:lineRule="exact"/>
        <w:rPr>
          <w:sz w:val="20"/>
          <w:szCs w:val="20"/>
          <w:color w:val="auto"/>
        </w:rPr>
      </w:pPr>
    </w:p>
    <w:p>
      <w:pPr>
        <w:jc w:val="both"/>
        <w:ind w:right="280"/>
        <w:spacing w:after="0" w:line="279" w:lineRule="auto"/>
        <w:rPr>
          <w:sz w:val="20"/>
          <w:szCs w:val="20"/>
          <w:color w:val="auto"/>
        </w:rPr>
      </w:pPr>
      <w:r>
        <w:rPr>
          <w:rFonts w:ascii="Arial" w:cs="Arial" w:eastAsia="Arial" w:hAnsi="Arial"/>
          <w:sz w:val="18"/>
          <w:szCs w:val="18"/>
          <w:color w:val="auto"/>
        </w:rPr>
        <w:t>Many of our competitors, either alone or with their collaborators, have significantly greater financial resources, established presence in the market, and expertise in research and development, manufacturing, preclinical and clinical testing, obtaining regulatory approvals and reimbursement and marketing approved products than we do.</w:t>
      </w:r>
    </w:p>
    <w:p>
      <w:pPr>
        <w:spacing w:after="0" w:line="183"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color w:val="auto"/>
        </w:rPr>
        <w:t>Large pharmaceutical and biotechnology companies, in particular, have extensive experience in clinical testing, obtaining regulatory approvals, recruiting patients and manufacturing biotechnology product candidates. These companies also have significantly greater research, marketing and sales capabilities than we do and may also have product candidates that have been approved or are in late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2" w:name="page43"/>
    <w:bookmarkEnd w:id="42"/>
    <w:p>
      <w:pPr>
        <w:ind w:right="80"/>
        <w:spacing w:after="0" w:line="272" w:lineRule="auto"/>
        <w:rPr>
          <w:sz w:val="20"/>
          <w:szCs w:val="20"/>
          <w:color w:val="auto"/>
        </w:rPr>
      </w:pPr>
      <w:r>
        <w:rPr>
          <w:rFonts w:ascii="Arial" w:cs="Arial" w:eastAsia="Arial" w:hAnsi="Arial"/>
          <w:sz w:val="18"/>
          <w:szCs w:val="18"/>
          <w:color w:val="auto"/>
        </w:rPr>
        <w:t>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w:t>
      </w:r>
    </w:p>
    <w:p>
      <w:pPr>
        <w:spacing w:after="0" w:line="191" w:lineRule="exact"/>
        <w:rPr>
          <w:sz w:val="20"/>
          <w:szCs w:val="20"/>
          <w:color w:val="auto"/>
        </w:rPr>
      </w:pPr>
    </w:p>
    <w:p>
      <w:pPr>
        <w:jc w:val="both"/>
        <w:ind w:right="380"/>
        <w:spacing w:after="0" w:line="279" w:lineRule="auto"/>
        <w:rPr>
          <w:sz w:val="20"/>
          <w:szCs w:val="20"/>
          <w:color w:val="auto"/>
        </w:rPr>
      </w:pPr>
      <w:r>
        <w:rPr>
          <w:rFonts w:ascii="Arial" w:cs="Arial" w:eastAsia="Arial" w:hAnsi="Arial"/>
          <w:sz w:val="18"/>
          <w:szCs w:val="18"/>
          <w:color w:val="auto"/>
        </w:rPr>
        <w:t>As a result of all of these factors, our competitors may succeed in obtaining approval from the FDA or comparable foreign regulatory authorities or in discovering, developing and commercializing product candidates in our field before we do, which could result in our competitors establishing a strong market position before we are able to enter the market or make our development more complicated.</w:t>
      </w:r>
    </w:p>
    <w:p>
      <w:pPr>
        <w:spacing w:after="0" w:line="18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Our potential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any products that we may develop.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demonstrate safety and efficacy to our stakeholders, our reputation may be harmed and our business will suffer.</w:t>
      </w:r>
    </w:p>
    <w:p>
      <w:pPr>
        <w:spacing w:after="0" w:line="131" w:lineRule="exact"/>
        <w:rPr>
          <w:sz w:val="20"/>
          <w:szCs w:val="20"/>
          <w:color w:val="auto"/>
        </w:rPr>
      </w:pPr>
    </w:p>
    <w:p>
      <w:pPr>
        <w:spacing w:after="0" w:line="314" w:lineRule="auto"/>
        <w:rPr>
          <w:sz w:val="20"/>
          <w:szCs w:val="20"/>
          <w:color w:val="auto"/>
        </w:rPr>
      </w:pPr>
      <w:r>
        <w:rPr>
          <w:rFonts w:ascii="Arial" w:cs="Arial" w:eastAsia="Arial" w:hAnsi="Arial"/>
          <w:sz w:val="16"/>
          <w:szCs w:val="16"/>
          <w:color w:val="auto"/>
        </w:rPr>
        <w:t>In addition to the regulatory approvals required for product candidates developed for adults, parents, physicians, caregivers, advocates, and patients may not want to participate in our trials, prescribe or take our products, or want to be affiliated with our company if we do not maintain trust and a reputation for integrity and high quality interactions and products. Pediatric drug development is typically deferred to protect children from exposure to investigational agents, which have historically been cytotoxic chemotherapies that are often associated with severe side effects and poor tolerability. If one of our products or product candidates was found to have a safety impact on pediatric patients our reputation would be harmed and our business would suffer.</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impact our business, including our clinical trials and clinical trial operations.</w:t>
      </w:r>
    </w:p>
    <w:p>
      <w:pPr>
        <w:spacing w:after="0" w:line="131" w:lineRule="exact"/>
        <w:rPr>
          <w:sz w:val="20"/>
          <w:szCs w:val="20"/>
          <w:color w:val="auto"/>
        </w:rPr>
      </w:pPr>
    </w:p>
    <w:p>
      <w:pPr>
        <w:ind w:right="120"/>
        <w:spacing w:after="0" w:line="324" w:lineRule="auto"/>
        <w:rPr>
          <w:sz w:val="20"/>
          <w:szCs w:val="20"/>
          <w:color w:val="auto"/>
        </w:rPr>
      </w:pPr>
      <w:r>
        <w:rPr>
          <w:rFonts w:ascii="Arial" w:cs="Arial" w:eastAsia="Arial" w:hAnsi="Arial"/>
          <w:sz w:val="17"/>
          <w:szCs w:val="17"/>
          <w:color w:val="auto"/>
        </w:rPr>
        <w:t>The COVID-19 pandemic in the United States and in other countries in which we have planned or have active clinical trial sites and where our third-party manufacturers operate, could cause significant disruptions that could severely impact our business and clinical trials, including:</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delays or difficulties in screening, enrolling and maintaining patients in our clinical trials;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31" w:lineRule="exact"/>
        <w:rPr>
          <w:sz w:val="20"/>
          <w:szCs w:val="20"/>
          <w:color w:val="auto"/>
        </w:rPr>
      </w:pPr>
    </w:p>
    <w:p>
      <w:pPr>
        <w:ind w:left="440" w:right="260"/>
        <w:spacing w:after="0" w:line="324" w:lineRule="auto"/>
        <w:rPr>
          <w:sz w:val="20"/>
          <w:szCs w:val="20"/>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our clinical trials as they prioritize resources towards addressing the COVID-19 pandemic;</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inability or unwillingness of subjects to travel to the clinical trial sites;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delays, difficulties, or incompleteness in data collection and analysis and other related activities;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decreased implementation of protocol required clinical trial activities and quality of source data verification at clinical trial sites;</w:t>
      </w:r>
    </w:p>
    <w:p>
      <w:pPr>
        <w:spacing w:after="0" w:line="131" w:lineRule="exact"/>
        <w:rPr>
          <w:sz w:val="20"/>
          <w:szCs w:val="20"/>
          <w:color w:val="auto"/>
        </w:rPr>
      </w:pPr>
    </w:p>
    <w:p>
      <w:pPr>
        <w:ind w:left="440" w:right="240"/>
        <w:spacing w:after="0" w:line="293" w:lineRule="auto"/>
        <w:rPr>
          <w:sz w:val="20"/>
          <w:szCs w:val="20"/>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sz w:val="20"/>
          <w:szCs w:val="20"/>
          <w:color w:val="auto"/>
        </w:rPr>
      </w:pPr>
    </w:p>
    <w:p>
      <w:pPr>
        <w:ind w:left="440" w:right="480"/>
        <w:spacing w:after="0" w:line="359" w:lineRule="auto"/>
        <w:rPr>
          <w:sz w:val="20"/>
          <w:szCs w:val="20"/>
          <w:color w:val="auto"/>
        </w:rPr>
      </w:pPr>
      <w:r>
        <w:rPr>
          <w:rFonts w:ascii="Arial" w:cs="Arial" w:eastAsia="Arial" w:hAnsi="Arial"/>
          <w:sz w:val="16"/>
          <w:szCs w:val="16"/>
          <w:color w:val="auto"/>
        </w:rPr>
        <w:t>limitations in employee resources that would otherwise be focused on the conduct of our clinical trials and our other research and development activities, including because of sickness of employees or their families or mitigation measures such as lock-downs and social distancing;</w:t>
      </w:r>
    </w:p>
    <w:p>
      <w:pPr>
        <w:spacing w:after="0" w:line="17" w:lineRule="exact"/>
        <w:rPr>
          <w:sz w:val="20"/>
          <w:szCs w:val="20"/>
          <w:color w:val="auto"/>
        </w:rPr>
      </w:pPr>
    </w:p>
    <w:p>
      <w:pPr>
        <w:ind w:left="440" w:right="480"/>
        <w:spacing w:after="0" w:line="293" w:lineRule="auto"/>
        <w:rPr>
          <w:sz w:val="20"/>
          <w:szCs w:val="20"/>
          <w:color w:val="auto"/>
        </w:rPr>
      </w:pPr>
      <w:r>
        <w:rPr>
          <w:rFonts w:ascii="Arial" w:cs="Arial" w:eastAsia="Arial" w:hAnsi="Arial"/>
          <w:sz w:val="18"/>
          <w:szCs w:val="18"/>
          <w:color w:val="auto"/>
        </w:rPr>
        <w:t>interruptions, difficulties or delays arising in our existing operations and company culture as a result of all of our employees working remotely, including those hired during the COVID-19 pandemic;</w:t>
      </w:r>
    </w:p>
    <w:p>
      <w:pPr>
        <w:spacing w:after="0" w:line="62" w:lineRule="exact"/>
        <w:rPr>
          <w:sz w:val="20"/>
          <w:szCs w:val="20"/>
          <w:color w:val="auto"/>
        </w:rPr>
      </w:pPr>
    </w:p>
    <w:p>
      <w:pPr>
        <w:ind w:left="440" w:right="1180"/>
        <w:spacing w:after="0" w:line="391" w:lineRule="auto"/>
        <w:rPr>
          <w:sz w:val="20"/>
          <w:szCs w:val="20"/>
          <w:color w:val="auto"/>
        </w:rPr>
      </w:pPr>
      <w:r>
        <w:rPr>
          <w:rFonts w:ascii="Arial" w:cs="Arial" w:eastAsia="Arial" w:hAnsi="Arial"/>
          <w:sz w:val="18"/>
          <w:szCs w:val="18"/>
          <w:color w:val="auto"/>
        </w:rPr>
        <w:t>delays due to production shortages resulting from any events affecting supply or manufacturing capabilities domestically and abroad; delays in receiving approval from local regulatory authorities to initiate our planned clinical trials;</w:t>
      </w:r>
    </w:p>
    <w:p>
      <w:pPr>
        <w:spacing w:after="0" w:line="1" w:lineRule="exact"/>
        <w:rPr>
          <w:sz w:val="20"/>
          <w:szCs w:val="20"/>
          <w:color w:val="auto"/>
        </w:rPr>
      </w:pPr>
    </w:p>
    <w:p>
      <w:pPr>
        <w:ind w:left="5540" w:right="3900" w:hanging="5084"/>
        <w:spacing w:after="0" w:line="293" w:lineRule="auto"/>
        <w:rPr>
          <w:sz w:val="20"/>
          <w:szCs w:val="20"/>
          <w:color w:val="auto"/>
        </w:rPr>
      </w:pPr>
      <w:r>
        <w:rPr>
          <w:rFonts w:ascii="Arial" w:cs="Arial" w:eastAsia="Arial" w:hAnsi="Arial"/>
          <w:sz w:val="18"/>
          <w:szCs w:val="18"/>
          <w:color w:val="auto"/>
        </w:rPr>
        <w:t>delays in clinical sites receiving the supplies and materials needed to conduct our clinical trials;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3" w:name="page44"/>
    <w:bookmarkEnd w:id="43"/>
    <w:p>
      <w:pPr>
        <w:ind w:left="440" w:right="120"/>
        <w:spacing w:after="0" w:line="293" w:lineRule="auto"/>
        <w:rPr>
          <w:sz w:val="20"/>
          <w:szCs w:val="20"/>
          <w:color w:val="auto"/>
        </w:rPr>
      </w:pPr>
      <w:r>
        <w:rPr>
          <w:rFonts w:ascii="Arial" w:cs="Arial" w:eastAsia="Arial" w:hAnsi="Arial"/>
          <w:sz w:val="18"/>
          <w:szCs w:val="18"/>
          <w:color w:val="auto"/>
        </w:rPr>
        <w:t>interruption in global and domestic shipping that may affect the transport of clinical trial materials, such as investigational drug products used in our clinical trials;</w:t>
      </w:r>
    </w:p>
    <w:p>
      <w:pPr>
        <w:spacing w:after="0" w:line="62" w:lineRule="exact"/>
        <w:rPr>
          <w:sz w:val="20"/>
          <w:szCs w:val="20"/>
          <w:color w:val="auto"/>
        </w:rPr>
      </w:pPr>
    </w:p>
    <w:p>
      <w:pPr>
        <w:ind w:left="440" w:right="160"/>
        <w:spacing w:after="0" w:line="279" w:lineRule="auto"/>
        <w:rPr>
          <w:sz w:val="20"/>
          <w:szCs w:val="20"/>
          <w:color w:val="auto"/>
        </w:rPr>
      </w:pPr>
      <w:r>
        <w:rPr>
          <w:rFonts w:ascii="Arial" w:cs="Arial" w:eastAsia="Arial" w:hAnsi="Arial"/>
          <w:sz w:val="18"/>
          <w:szCs w:val="18"/>
          <w:color w:val="auto"/>
        </w:rPr>
        <w:t>changes in local regulations as part of a response to the COVID-19 pandemic, including as a result of the emergence and spread of variants of the COVID-19 virus, which may require us to change the ways in which our clinical trials are conducted, which may result in unexpected costs, delays, or to discontinue the clinical trials altogether;</w:t>
      </w:r>
    </w:p>
    <w:p>
      <w:pPr>
        <w:spacing w:after="0" w:line="75" w:lineRule="exact"/>
        <w:rPr>
          <w:sz w:val="20"/>
          <w:szCs w:val="20"/>
          <w:color w:val="auto"/>
        </w:rPr>
      </w:pPr>
    </w:p>
    <w:p>
      <w:pPr>
        <w:ind w:left="440" w:right="100"/>
        <w:spacing w:after="0" w:line="293" w:lineRule="auto"/>
        <w:rPr>
          <w:sz w:val="20"/>
          <w:szCs w:val="20"/>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refusal of regulatory authorities such as FDA to accept data from clinical trials in affected geographies; and</w:t>
      </w:r>
    </w:p>
    <w:p>
      <w:pPr>
        <w:spacing w:after="0" w:line="131" w:lineRule="exact"/>
        <w:rPr>
          <w:sz w:val="20"/>
          <w:szCs w:val="20"/>
          <w:color w:val="auto"/>
        </w:rPr>
      </w:pPr>
    </w:p>
    <w:p>
      <w:pPr>
        <w:ind w:left="440" w:right="140"/>
        <w:spacing w:after="0" w:line="293" w:lineRule="auto"/>
        <w:rPr>
          <w:sz w:val="20"/>
          <w:szCs w:val="20"/>
          <w:color w:val="auto"/>
        </w:rPr>
      </w:pPr>
      <w:r>
        <w:rPr>
          <w:rFonts w:ascii="Arial" w:cs="Arial" w:eastAsia="Arial" w:hAnsi="Arial"/>
          <w:sz w:val="18"/>
          <w:szCs w:val="18"/>
          <w:color w:val="auto"/>
        </w:rPr>
        <w:t>adverse impacts on global economic conditions which could have an adverse effect on our business and financial condition, including impairing our ability to raise capital when needed.</w:t>
      </w:r>
    </w:p>
    <w:p>
      <w:pPr>
        <w:spacing w:after="0" w:line="170"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Such disruptions could impede, delay, limit or prevent completion of our ongoing clinical trials and future preclinical studies or commencement of new clinical trials and ultimately lead to the delay or denial of regulatory approval of our product candidates, which would seriously harm our operations and financial condition and increase our costs and expenses. We are in close contact with our contract research organizations, or CROs, contract manufacturing organizations, or CMOs, and clinical sites as we seek to mitigate the impact of the COVID-19 pandemic on our studies and current timelines. Measures we have taken in response to the COVID-19 pandemic include, where feasible, conducting remote clinical trial site activations and data monitoring, and limiting on-site patient visits by adjusting patient assessments and protocol. While we have taken these and other measures to limit the impact of COVID-19 on our operations, we have experienced delays in trial site initiations, patient participation and patient enrollment in some of our clinical trials and we may continue to experience some delays in our clinical trials and preclinical studies and delays in data collection and analysis, and the measures we have taken in response to the COVID-19 pandemic, may themselves negatively impact our operations. These delays so far have had a limited impact, but this may change as the COVID-19 pandemic and the response to such COVID-19 pandemic continues to evolve, and could have an adverse impact on our timelines and our business. The COVID-19 pandemic could also affect the business of the FDA or other health authorities, which could result in delays in meetings related to planned or completed clinical trials and ultimately of reviews and approvals of our product candidates.</w:t>
      </w:r>
    </w:p>
    <w:p>
      <w:pPr>
        <w:spacing w:after="0" w:line="173" w:lineRule="exact"/>
        <w:rPr>
          <w:sz w:val="20"/>
          <w:szCs w:val="20"/>
          <w:color w:val="auto"/>
        </w:rPr>
      </w:pPr>
    </w:p>
    <w:p>
      <w:pPr>
        <w:ind w:right="60"/>
        <w:spacing w:after="0" w:line="308" w:lineRule="auto"/>
        <w:rPr>
          <w:sz w:val="20"/>
          <w:szCs w:val="20"/>
          <w:color w:val="auto"/>
        </w:rPr>
      </w:pPr>
      <w:r>
        <w:rPr>
          <w:rFonts w:ascii="Arial" w:cs="Arial" w:eastAsia="Arial" w:hAnsi="Arial"/>
          <w:sz w:val="16"/>
          <w:szCs w:val="16"/>
          <w:color w:val="auto"/>
        </w:rPr>
        <w:t>The global COVID-19 pandemic continues to evolve. Certain jurisdictions have begun re-opening only to return to restrictions due to increases in new COVID-19 cases and the emergence of new variant strains of COVID-19. Even in areas where “stay-at-home” restrictions have been lifted and the number of cases of COVID-19 has declined, many individuals remain cautious about resuming activities such as preventive-care medical visits. Additionally, the emergence of new variant strains of COVID-19 in regions that have reopened has necessitated, and may in the future necessitate, renewed government restrictions. The extent to which the COVID-19 pandemic may impact our business and clinical trials will depend on future developments, which are highly uncertain and cannot be predicted with confidence, such as the ultimate geographic spread of the disease, the duration of the pandemic, the emergence and spread of variants of the COVID-19 virus, travel restrictions and social distancing in the United States and other countries, business closures or business disruptions and the effectiveness of actions taken in the United States and other countries to contain and treat the disease.</w:t>
      </w:r>
    </w:p>
    <w:p>
      <w:pPr>
        <w:spacing w:after="0" w:line="163"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To the extent the COVID-19 pandemic adversely affects our business, financial condition and operating results, it may also have the effect of heightening many of the risks described in this “Risk Factors” section.</w:t>
      </w:r>
    </w:p>
    <w:p>
      <w:pPr>
        <w:spacing w:after="0" w:line="278"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b w:val="1"/>
          <w:bCs w:val="1"/>
          <w:i w:val="1"/>
          <w:iCs w:val="1"/>
          <w:color w:val="auto"/>
        </w:rPr>
        <w:t>Adverse side effects or other safety risks associated with DAY101, pimasertib or any future product candidates we may develop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75" w:lineRule="exact"/>
        <w:rPr>
          <w:sz w:val="20"/>
          <w:szCs w:val="20"/>
          <w:color w:val="auto"/>
        </w:rPr>
      </w:pPr>
    </w:p>
    <w:p>
      <w:pPr>
        <w:ind w:right="180"/>
        <w:spacing w:after="0" w:line="324" w:lineRule="auto"/>
        <w:rPr>
          <w:sz w:val="20"/>
          <w:szCs w:val="20"/>
          <w:color w:val="auto"/>
        </w:rPr>
      </w:pPr>
      <w:r>
        <w:rPr>
          <w:rFonts w:ascii="Arial" w:cs="Arial" w:eastAsia="Arial" w:hAnsi="Arial"/>
          <w:sz w:val="17"/>
          <w:szCs w:val="17"/>
          <w:color w:val="auto"/>
        </w:rPr>
        <w:t>As is the case with pharmaceuticals generally, we have observed side effects and adverse events associated with our lead product candidate, DAY101 and our other product candidates. These side effects included acneiform rash, anemia, headache, muscle pain nausea and fatigue.</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Results of our ongoing and planned clinical trials could reveal a high and unacceptable severity and prevalence of side effects or unexpected characteristics. Undesirable side effects caused by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w:t>
      </w:r>
    </w:p>
    <w:p>
      <w:pPr>
        <w:spacing w:after="0" w:line="191"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Additionally, patients treated with our product candidates may also be undergoing surgical, radiation and chemotherapy treatments, which can cause side effects or adverse events that are unrelated to our product candidates but may still impact the success of our clinical trials. The inclusion of critically ill patients in our clinical trials may result in deaths or other adverse medical events due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4" w:name="page45"/>
    <w:bookmarkEnd w:id="44"/>
    <w:p>
      <w:pPr>
        <w:ind w:right="120"/>
        <w:spacing w:after="0" w:line="288" w:lineRule="auto"/>
        <w:rPr>
          <w:sz w:val="20"/>
          <w:szCs w:val="20"/>
          <w:color w:val="auto"/>
        </w:rPr>
      </w:pPr>
      <w:r>
        <w:rPr>
          <w:rFonts w:ascii="Arial" w:cs="Arial" w:eastAsia="Arial" w:hAnsi="Arial"/>
          <w:sz w:val="17"/>
          <w:szCs w:val="17"/>
          <w:color w:val="auto"/>
        </w:rPr>
        <w:t>other therapies or medications that such patients may be using or due to the gravity of such patients’ illnesses. For example, it is expected that some of the patients to be enrolled in our future clinical trials will die or experience major clinical events either during the course of our clinical trials or after participating in such trials for non-treatment related reasons, which could impact development of DAY101 or pimasertib. If we elect or are required to delay, suspend or terminate any clinical trial, the commercial prospects of our product candidates will be harmed and our ability to generate product revenues from this product candidate will be delayed or eliminated. Serious adverse events, or SAEs, observed in clinical trials could hinder or prevent market acceptance of our product candidates or reduce the duration of time that physicians expect to use our product in particular patients. Any of these occurrences may harm our business, prospects, financial condition and results of operations significantly.</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 stage testing have later been found to cause side effects that prevented further development. In addition, regulatory authorities may draw different conclusions, require additional testing to confirm these determinations, require more restrictive labeling, or deny regulatory approval of the product candidate.</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It is possible that, as we test our product candidates in larger, longer and more extensive clinical trials, including with different dosing regimens, or as the use of our product candidates becomes more widespread following any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harm our business, financial condition, results of operations and prospects significantly.</w:t>
      </w:r>
    </w:p>
    <w:p>
      <w:pPr>
        <w:spacing w:after="0" w:line="191"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In addition, if any of our product candidates receive marketing approval, and we or others later identify undesirable side effects caused by treatment with such drug, a number of potentially significant negative consequences could result, including:</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regulatory authorities may withdraw approval of the drug;</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be required to recall a product or change the way the drug is administered to patients;</w:t>
      </w:r>
    </w:p>
    <w:p>
      <w:pPr>
        <w:spacing w:after="0" w:line="131" w:lineRule="exact"/>
        <w:rPr>
          <w:sz w:val="20"/>
          <w:szCs w:val="20"/>
          <w:color w:val="auto"/>
        </w:rPr>
      </w:pPr>
    </w:p>
    <w:p>
      <w:pPr>
        <w:ind w:left="440" w:right="380"/>
        <w:spacing w:after="0" w:line="359" w:lineRule="auto"/>
        <w:rPr>
          <w:sz w:val="20"/>
          <w:szCs w:val="20"/>
          <w:color w:val="auto"/>
        </w:rPr>
      </w:pPr>
      <w:r>
        <w:rPr>
          <w:rFonts w:ascii="Arial" w:cs="Arial" w:eastAsia="Arial" w:hAnsi="Arial"/>
          <w:sz w:val="16"/>
          <w:szCs w:val="16"/>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may be required to implement a REMS or create a medication guide outlining the risks of such side effects for distribution to patients;</w:t>
      </w:r>
    </w:p>
    <w:p>
      <w:pPr>
        <w:spacing w:after="0" w:line="142" w:lineRule="exact"/>
        <w:rPr>
          <w:sz w:val="20"/>
          <w:szCs w:val="20"/>
          <w:color w:val="auto"/>
        </w:rPr>
      </w:pPr>
    </w:p>
    <w:p>
      <w:pPr>
        <w:ind w:left="440" w:right="40"/>
        <w:spacing w:after="0" w:line="293" w:lineRule="auto"/>
        <w:rPr>
          <w:sz w:val="20"/>
          <w:szCs w:val="20"/>
          <w:color w:val="auto"/>
        </w:rPr>
      </w:pPr>
      <w:r>
        <w:rPr>
          <w:rFonts w:ascii="Arial" w:cs="Arial" w:eastAsia="Arial" w:hAnsi="Arial"/>
          <w:sz w:val="18"/>
          <w:szCs w:val="18"/>
          <w:color w:val="auto"/>
        </w:rPr>
        <w:t>additional restrictions may be imposed on the marketing or promotion of the particular product or the manufacturing processes for the product or any component thereof;</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could be sued and held liable for harm caused to patients;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be subject to regulatory investigations and government enforcement actions;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drug could become less competitive; and</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reputation may suffer.</w:t>
      </w:r>
    </w:p>
    <w:p>
      <w:pPr>
        <w:spacing w:after="0" w:line="23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if approved, and could significantly harm our business, financial condition, results of operations and prospects.</w:t>
      </w:r>
    </w:p>
    <w:p>
      <w:pPr>
        <w:spacing w:after="0" w:line="278" w:lineRule="exact"/>
        <w:rPr>
          <w:sz w:val="20"/>
          <w:szCs w:val="20"/>
          <w:color w:val="auto"/>
        </w:rPr>
      </w:pPr>
    </w:p>
    <w:p>
      <w:pPr>
        <w:ind w:right="140"/>
        <w:spacing w:after="0" w:line="324" w:lineRule="auto"/>
        <w:rPr>
          <w:sz w:val="20"/>
          <w:szCs w:val="20"/>
          <w:color w:val="auto"/>
        </w:rPr>
      </w:pPr>
      <w:r>
        <w:rPr>
          <w:rFonts w:ascii="Arial" w:cs="Arial" w:eastAsia="Arial" w:hAnsi="Arial"/>
          <w:sz w:val="17"/>
          <w:szCs w:val="17"/>
          <w:b w:val="1"/>
          <w:bCs w:val="1"/>
          <w:i w:val="1"/>
          <w:iCs w:val="1"/>
          <w:color w:val="auto"/>
        </w:rPr>
        <w:t>Preliminary,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39"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From time to time, we may publicly disclose preliminary, interim or topline data from our clinical trials, such as the preliminary data analysis for the pivotal Phase 2 of our DAY101 trial. These updates are based on a preliminary analysis of then-available data, and the results and related findings and conclusions are subject to change following a more comprehensive review of the data related to the particular study or trial. Additionally, interim data from clinical trials that we may complete are subject to the risk that one or more of the clinical outcomes may materially change as patient enrollment continues and more patient data become available. Therefore, positive interim results in any ongoing clinical trial may not be predictive of such results in the completed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5" w:name="page46"/>
    <w:bookmarkEnd w:id="45"/>
    <w:p>
      <w:pPr>
        <w:jc w:val="both"/>
        <w:ind w:right="80"/>
        <w:spacing w:after="0" w:line="279" w:lineRule="auto"/>
        <w:rPr>
          <w:sz w:val="20"/>
          <w:szCs w:val="20"/>
          <w:color w:val="auto"/>
        </w:rPr>
      </w:pPr>
      <w:r>
        <w:rPr>
          <w:rFonts w:ascii="Arial" w:cs="Arial" w:eastAsia="Arial" w:hAnsi="Arial"/>
          <w:sz w:val="18"/>
          <w:szCs w:val="18"/>
          <w:color w:val="auto"/>
        </w:rPr>
        <w:t>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w:t>
      </w:r>
    </w:p>
    <w:p>
      <w:pPr>
        <w:spacing w:after="0" w:line="183"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71"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280"/>
        <w:spacing w:after="0" w:line="288"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89"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b w:val="1"/>
          <w:bCs w:val="1"/>
          <w:i w:val="1"/>
          <w:iCs w:val="1"/>
          <w:color w:val="auto"/>
        </w:rPr>
        <w:t>The market opportunities for any product candidates we develop, if approved, may be limited to certain smaller patient subsets and may be smaller than we estimate them to be.</w:t>
      </w:r>
    </w:p>
    <w:p>
      <w:pPr>
        <w:spacing w:after="0" w:line="62" w:lineRule="exact"/>
        <w:rPr>
          <w:sz w:val="20"/>
          <w:szCs w:val="20"/>
          <w:color w:val="auto"/>
        </w:rPr>
      </w:pPr>
    </w:p>
    <w:p>
      <w:pPr>
        <w:ind w:right="280"/>
        <w:spacing w:after="0" w:line="359" w:lineRule="auto"/>
        <w:rPr>
          <w:sz w:val="20"/>
          <w:szCs w:val="20"/>
          <w:color w:val="auto"/>
        </w:rPr>
      </w:pPr>
      <w:r>
        <w:rPr>
          <w:rFonts w:ascii="Arial" w:cs="Arial" w:eastAsia="Arial" w:hAnsi="Arial"/>
          <w:sz w:val="16"/>
          <w:szCs w:val="16"/>
          <w:color w:val="auto"/>
        </w:rPr>
        <w:t>We plan to seek approval of DAY101 as first-line treatment in pLGG. There is no guarantee that our product candidates would be approved for first-line treatment, and prior to any such approvals we may have to conduct additional clinical trials that may be costly, time-consuming and subject to risk.</w:t>
      </w:r>
    </w:p>
    <w:p>
      <w:pPr>
        <w:spacing w:after="0" w:line="125" w:lineRule="exact"/>
        <w:rPr>
          <w:sz w:val="20"/>
          <w:szCs w:val="20"/>
          <w:color w:val="auto"/>
        </w:rPr>
      </w:pPr>
    </w:p>
    <w:p>
      <w:pPr>
        <w:ind w:right="20"/>
        <w:spacing w:after="0" w:line="305" w:lineRule="auto"/>
        <w:rPr>
          <w:sz w:val="20"/>
          <w:szCs w:val="20"/>
          <w:color w:val="auto"/>
        </w:rPr>
      </w:pPr>
      <w:r>
        <w:rPr>
          <w:rFonts w:ascii="Arial" w:cs="Arial" w:eastAsia="Arial" w:hAnsi="Arial"/>
          <w:sz w:val="16"/>
          <w:szCs w:val="16"/>
          <w:color w:val="auto"/>
        </w:rPr>
        <w:t>Our projections of both the number of people who have the cancers we are targeting, as well as the subset of people with these cancers in a position to receive a particular line of therapy and who have the potential to benefit from treatment with our product candidates, are based on our beliefs and estimates. For example, pLGG is a rare disease, and as such, our projections of both the number of people who have this disease, as well as the subset of people with pLGG who have the potential to benefit from treatment with our product candidates, are based on estimates. These estimates have been derived from a variety of sources, including scientific literature, surveys of clinics, patient foundations or market research, and may prove to be incorrect. Further, new studies may change the estimated incidence or prevalence of the cancers that we are targeting. The potentially addressable patient population for our product candidates may be limited or may not be amenable to treatment with our product candidates. Consequently, even if our product candidates are approved,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 Even if we obtain significant market share for our products, if approved, if the potential target populations are small, we may never achieve profitability without obtaining regulatory approval for additional indications.</w:t>
      </w:r>
    </w:p>
    <w:p>
      <w:pPr>
        <w:spacing w:after="0" w:line="277"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b w:val="1"/>
          <w:bCs w:val="1"/>
          <w:i w:val="1"/>
          <w:iCs w:val="1"/>
          <w:color w:val="auto"/>
        </w:rPr>
        <w:t>Our clinical development activities are focused on the development of targeted therapeutics for patients with genomically defined cancers, which is a rapidly evolving area of science, and the approach we are taking to discover and develop drugs is novel and may never lead to approved or marketable products.</w:t>
      </w:r>
    </w:p>
    <w:p>
      <w:pPr>
        <w:spacing w:after="0" w:line="75"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The discovery and development of targeted therapeutics for patients with genomically defined cancers is an emerging field, and the scientific discoveries that form the basis for our efforts to discover, identify and develop product candidates are relatively new. The scientific evidence to support the feasibility of developing product candidates based on these discoveries is both preliminary and limited. Although we believe, based on our product candidates’ preclinical trial results and our clinical work, that the genomic alterations targeted by our programs are oncogenic drivers,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6" w:name="page47"/>
    <w:bookmarkEnd w:id="46"/>
    <w:p>
      <w:pPr>
        <w:spacing w:after="0" w:line="290" w:lineRule="auto"/>
        <w:rPr>
          <w:sz w:val="20"/>
          <w:szCs w:val="20"/>
          <w:color w:val="auto"/>
        </w:rPr>
      </w:pPr>
      <w:r>
        <w:rPr>
          <w:rFonts w:ascii="Arial" w:cs="Arial" w:eastAsia="Arial" w:hAnsi="Arial"/>
          <w:sz w:val="17"/>
          <w:szCs w:val="17"/>
          <w:color w:val="auto"/>
        </w:rPr>
        <w:t>including achieving certainty as to how specific alterations respond to our product candidates and the ability to identify such alterations. Furthermore, even if we are successful in identifying patients, we cannot be certain that the resulting patient populations for each mutation will be large enough to allow us to successfully obtain approval for each mutation type and commercialize our product candidates and achieve profitability. In addition, even if our approach is successful in showing clinical benefit for RAF-driven cancers for our DAY101 program, we may never successfully identify additional oncogenic alterations sensitive to DAY101 in other MAPK-driven tumors. Therefore, we do not know if our approach of treating patients with genomically defined cancers will be successful, and if our approach is unsuccessful, our business will suffer.</w:t>
      </w:r>
    </w:p>
    <w:p>
      <w:pPr>
        <w:spacing w:after="0" w:line="284"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or their families, healthcare payors and others in the medical community necessary for commercial success.</w:t>
      </w:r>
    </w:p>
    <w:p>
      <w:pPr>
        <w:spacing w:after="0" w:line="62" w:lineRule="exact"/>
        <w:rPr>
          <w:sz w:val="20"/>
          <w:szCs w:val="20"/>
          <w:color w:val="auto"/>
        </w:rPr>
      </w:pPr>
    </w:p>
    <w:p>
      <w:pPr>
        <w:ind w:right="300"/>
        <w:spacing w:after="0" w:line="279"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or their families, third-party payors and others in the medical community. The degree of market acceptance of any of our approved product candidates will depend on a number of factors, including:</w:t>
      </w:r>
    </w:p>
    <w:p>
      <w:pPr>
        <w:spacing w:after="0" w:line="75" w:lineRule="exact"/>
        <w:rPr>
          <w:sz w:val="20"/>
          <w:szCs w:val="20"/>
          <w:color w:val="auto"/>
        </w:rPr>
      </w:pPr>
    </w:p>
    <w:p>
      <w:pPr>
        <w:ind w:left="440" w:right="300"/>
        <w:spacing w:after="0" w:line="293" w:lineRule="auto"/>
        <w:rPr>
          <w:sz w:val="20"/>
          <w:szCs w:val="20"/>
          <w:color w:val="auto"/>
        </w:rPr>
      </w:pPr>
      <w:r>
        <w:rPr>
          <w:rFonts w:ascii="Arial" w:cs="Arial" w:eastAsia="Arial" w:hAnsi="Arial"/>
          <w:sz w:val="18"/>
          <w:szCs w:val="18"/>
          <w:color w:val="auto"/>
        </w:rPr>
        <w:t>the efficacy, durability and safety profile as demonstrated in clinical trials compared to alternative treatments, in addition to functional, quality, or patient-reported outcomes;</w:t>
      </w:r>
    </w:p>
    <w:p>
      <w:pPr>
        <w:spacing w:after="0" w:line="62" w:lineRule="exact"/>
        <w:rPr>
          <w:sz w:val="20"/>
          <w:szCs w:val="20"/>
          <w:color w:val="auto"/>
        </w:rPr>
      </w:pPr>
    </w:p>
    <w:p>
      <w:pPr>
        <w:ind w:left="440" w:right="4240"/>
        <w:spacing w:after="0" w:line="391" w:lineRule="auto"/>
        <w:rPr>
          <w:sz w:val="20"/>
          <w:szCs w:val="20"/>
          <w:color w:val="auto"/>
        </w:rPr>
      </w:pPr>
      <w:r>
        <w:rPr>
          <w:rFonts w:ascii="Arial" w:cs="Arial" w:eastAsia="Arial" w:hAnsi="Arial"/>
          <w:sz w:val="18"/>
          <w:szCs w:val="18"/>
          <w:color w:val="auto"/>
        </w:rPr>
        <w:t>the timing of market introduction of the product candidate as well as competitive products; the clinical indications for which a product candidate is approved;</w:t>
      </w:r>
    </w:p>
    <w:p>
      <w:pPr>
        <w:spacing w:after="0" w:line="1" w:lineRule="exact"/>
        <w:rPr>
          <w:sz w:val="20"/>
          <w:szCs w:val="20"/>
          <w:color w:val="auto"/>
        </w:rPr>
      </w:pPr>
    </w:p>
    <w:p>
      <w:pPr>
        <w:ind w:left="440" w:right="540"/>
        <w:spacing w:after="0" w:line="293" w:lineRule="auto"/>
        <w:rPr>
          <w:sz w:val="20"/>
          <w:szCs w:val="20"/>
          <w:color w:val="auto"/>
        </w:rPr>
      </w:pPr>
      <w:r>
        <w:rPr>
          <w:rFonts w:ascii="Arial" w:cs="Arial" w:eastAsia="Arial" w:hAnsi="Arial"/>
          <w:sz w:val="18"/>
          <w:szCs w:val="18"/>
          <w:color w:val="auto"/>
        </w:rPr>
        <w:t>restrictions on the use of product candidates in the labeling approved by regulatory authorities, such as boxed warnings or contraindications in labeling, or a REMS, if any, which may not be required of alternative treatments and competitor products;</w:t>
      </w:r>
    </w:p>
    <w:p>
      <w:pPr>
        <w:spacing w:after="0" w:line="62" w:lineRule="exact"/>
        <w:rPr>
          <w:sz w:val="20"/>
          <w:szCs w:val="20"/>
          <w:color w:val="auto"/>
        </w:rPr>
      </w:pPr>
    </w:p>
    <w:p>
      <w:pPr>
        <w:ind w:left="440" w:right="4100"/>
        <w:spacing w:after="0" w:line="440" w:lineRule="auto"/>
        <w:rPr>
          <w:sz w:val="20"/>
          <w:szCs w:val="20"/>
          <w:color w:val="auto"/>
        </w:rPr>
      </w:pPr>
      <w:r>
        <w:rPr>
          <w:rFonts w:ascii="Arial" w:cs="Arial" w:eastAsia="Arial" w:hAnsi="Arial"/>
          <w:sz w:val="16"/>
          <w:szCs w:val="16"/>
          <w:color w:val="auto"/>
        </w:rPr>
        <w:t>the potential and perceived advantages of our product candidates over alternative treatments; the cost of treatment in relation to alternative treatments and the cost/benefit ratios of each;</w:t>
      </w:r>
    </w:p>
    <w:p>
      <w:pPr>
        <w:ind w:left="440" w:right="200"/>
        <w:spacing w:after="0" w:line="293" w:lineRule="auto"/>
        <w:rPr>
          <w:sz w:val="20"/>
          <w:szCs w:val="20"/>
          <w:color w:val="auto"/>
        </w:rPr>
      </w:pPr>
      <w:r>
        <w:rPr>
          <w:rFonts w:ascii="Arial" w:cs="Arial" w:eastAsia="Arial" w:hAnsi="Arial"/>
          <w:sz w:val="18"/>
          <w:szCs w:val="18"/>
          <w:color w:val="auto"/>
        </w:rPr>
        <w:t>the availability of coverage and adequate reimbursement by third-party payors, including government authorities, and timing of relevant formulary decision-making resulting in this coverage and reimbursement;</w:t>
      </w:r>
    </w:p>
    <w:p>
      <w:pPr>
        <w:spacing w:after="0" w:line="62" w:lineRule="exact"/>
        <w:rPr>
          <w:sz w:val="20"/>
          <w:szCs w:val="20"/>
          <w:color w:val="auto"/>
        </w:rPr>
      </w:pPr>
    </w:p>
    <w:p>
      <w:pPr>
        <w:ind w:left="440" w:right="4800"/>
        <w:spacing w:after="0" w:line="440" w:lineRule="auto"/>
        <w:rPr>
          <w:sz w:val="20"/>
          <w:szCs w:val="20"/>
          <w:color w:val="auto"/>
        </w:rPr>
      </w:pPr>
      <w:r>
        <w:rPr>
          <w:rFonts w:ascii="Arial" w:cs="Arial" w:eastAsia="Arial" w:hAnsi="Arial"/>
          <w:sz w:val="16"/>
          <w:szCs w:val="16"/>
          <w:color w:val="auto"/>
        </w:rPr>
        <w:t>the availability of an approved product candidate for use as a combination therapy; relative convenience and ease of administration in relation to competition;</w:t>
      </w:r>
    </w:p>
    <w:p>
      <w:pPr>
        <w:ind w:left="440" w:right="240"/>
        <w:spacing w:after="0" w:line="324" w:lineRule="auto"/>
        <w:rPr>
          <w:sz w:val="20"/>
          <w:szCs w:val="20"/>
          <w:color w:val="auto"/>
        </w:rPr>
      </w:pPr>
      <w:r>
        <w:rPr>
          <w:rFonts w:ascii="Arial" w:cs="Arial" w:eastAsia="Arial" w:hAnsi="Arial"/>
          <w:sz w:val="17"/>
          <w:szCs w:val="17"/>
          <w:color w:val="auto"/>
        </w:rPr>
        <w:t>the willingness of the target patient population (which may include willingness of our pediatric patients’ parents) to try new therapies and undergo required diagnostic screening to determine treatment eligibility and of physicians to prescribe these therapies and diagnostic tests;</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effectiveness of sales, marketing efforts and market access;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unfavorable publicity relating to our product candidates; and</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approval of other new therapies for the same indications.</w:t>
      </w:r>
    </w:p>
    <w:p>
      <w:pPr>
        <w:spacing w:after="0" w:line="239" w:lineRule="exact"/>
        <w:rPr>
          <w:sz w:val="20"/>
          <w:szCs w:val="20"/>
          <w:color w:val="auto"/>
        </w:rPr>
      </w:pPr>
    </w:p>
    <w:p>
      <w:pPr>
        <w:ind w:right="180"/>
        <w:spacing w:after="0" w:line="324" w:lineRule="auto"/>
        <w:rPr>
          <w:sz w:val="20"/>
          <w:szCs w:val="20"/>
          <w:color w:val="auto"/>
        </w:rPr>
      </w:pPr>
      <w:r>
        <w:rPr>
          <w:rFonts w:ascii="Arial" w:cs="Arial" w:eastAsia="Arial" w:hAnsi="Arial"/>
          <w:sz w:val="17"/>
          <w:szCs w:val="17"/>
          <w:color w:val="auto"/>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255" w:lineRule="exact"/>
        <w:rPr>
          <w:sz w:val="20"/>
          <w:szCs w:val="20"/>
          <w:color w:val="auto"/>
        </w:rPr>
      </w:pPr>
    </w:p>
    <w:p>
      <w:pPr>
        <w:ind w:right="840"/>
        <w:spacing w:after="0" w:line="293" w:lineRule="auto"/>
        <w:rPr>
          <w:sz w:val="20"/>
          <w:szCs w:val="20"/>
          <w:color w:val="auto"/>
        </w:rPr>
      </w:pPr>
      <w:r>
        <w:rPr>
          <w:rFonts w:ascii="Arial" w:cs="Arial" w:eastAsia="Arial" w:hAnsi="Arial"/>
          <w:sz w:val="18"/>
          <w:szCs w:val="18"/>
          <w:b w:val="1"/>
          <w:bCs w:val="1"/>
          <w:i w:val="1"/>
          <w:iCs w:val="1"/>
          <w:color w:val="auto"/>
        </w:rPr>
        <w:t>Any product candidates we develop may become subject to unfavorable third-party coverage and reimbursement practices, as well as pricing regulations.</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36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The payer mix for pediatric products in the United States is a fragmented combination of state-specific Medicaid policies and a broad universe 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7" w:name="page48"/>
    <w:bookmarkEnd w:id="47"/>
    <w:p>
      <w:pPr>
        <w:ind w:right="40"/>
        <w:spacing w:after="0" w:line="314" w:lineRule="auto"/>
        <w:rPr>
          <w:sz w:val="20"/>
          <w:szCs w:val="20"/>
          <w:color w:val="auto"/>
        </w:rPr>
      </w:pPr>
      <w:r>
        <w:rPr>
          <w:rFonts w:ascii="Arial" w:cs="Arial" w:eastAsia="Arial" w:hAnsi="Arial"/>
          <w:sz w:val="16"/>
          <w:szCs w:val="16"/>
          <w:color w:val="auto"/>
        </w:rPr>
        <w:t>private insurance companies. There is no consistent policy or leading payer to inform other price setting entities. National payer policies are expected to be critical to our ability to achieve broad payment coverage.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60"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color w:val="auto"/>
        </w:rPr>
        <w:t>As federal and state governments implement additional health care cost containment measures, including measures to lower prescription drug pricing, we cannot be sure that our products, if approved, will be covered by private or public payors, and if covered, whether the reimbursement will be adequate or competitive with other marketed products. For example, the former president of the United States signed executive orders aimed at lowering prescription drug prices and the current president of the United States has expressed an intention to address prescription drug costs. These and other actions by federal and state governments and health plans may put additional downward pressure on pharmaceutical pricing and health care costs, which could negatively impact coverage and reimbursement for our products if approved, our revenue, and our ability to compete with other marketed products and to recoup the costs of our research and development.</w:t>
      </w:r>
    </w:p>
    <w:p>
      <w:pPr>
        <w:spacing w:after="0" w:line="181"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plan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96" w:lineRule="exact"/>
        <w:rPr>
          <w:sz w:val="20"/>
          <w:szCs w:val="20"/>
          <w:color w:val="auto"/>
        </w:rPr>
      </w:pPr>
    </w:p>
    <w:p>
      <w:pPr>
        <w:ind w:right="100"/>
        <w:spacing w:after="0" w:line="319" w:lineRule="auto"/>
        <w:rPr>
          <w:sz w:val="20"/>
          <w:szCs w:val="20"/>
          <w:color w:val="auto"/>
        </w:rPr>
      </w:pPr>
      <w:r>
        <w:rPr>
          <w:rFonts w:ascii="Arial" w:cs="Arial" w:eastAsia="Arial" w:hAnsi="Arial"/>
          <w:sz w:val="16"/>
          <w:szCs w:val="16"/>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15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or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65" w:lineRule="exact"/>
        <w:rPr>
          <w:sz w:val="20"/>
          <w:szCs w:val="20"/>
          <w:color w:val="auto"/>
        </w:rPr>
      </w:pPr>
    </w:p>
    <w:p>
      <w:pPr>
        <w:ind w:right="20" w:firstLine="4"/>
        <w:spacing w:after="0" w:line="272"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99"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6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48" w:name="page49"/>
    <w:bookmarkEnd w:id="48"/>
    <w:p>
      <w:pPr>
        <w:spacing w:after="0" w:line="311" w:lineRule="auto"/>
        <w:rPr>
          <w:sz w:val="20"/>
          <w:szCs w:val="20"/>
          <w:color w:val="auto"/>
        </w:rPr>
      </w:pPr>
      <w:r>
        <w:rPr>
          <w:rFonts w:ascii="Arial" w:cs="Arial" w:eastAsia="Arial" w:hAnsi="Arial"/>
          <w:sz w:val="16"/>
          <w:szCs w:val="16"/>
          <w:color w:val="auto"/>
        </w:rPr>
        <w:t>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advancing our product candidates into clinical trials or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35"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b w:val="1"/>
          <w:bCs w:val="1"/>
          <w:i w:val="1"/>
          <w:iCs w:val="1"/>
          <w:color w:val="auto"/>
        </w:rPr>
        <w:t>The development and commercialization of pharmaceutical products are subject to extensive regulation, and we may not obtain regulatory approvals for DAY101, pimasertib or any future product candidates, on a timely basis or at all.</w:t>
      </w:r>
    </w:p>
    <w:p>
      <w:pPr>
        <w:spacing w:after="0" w:line="62"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DAY101 and pimasertib, currently our only product candidates in planned or ongoing clinical trials, as well as any other product candidate that we may develop in the future, are subject to extensive regulation. Marketing approval of drugs in the United States requires the submission of an NDA to the FDA, and we are not permitted to market any product candidate in the United States until we obtain approval from the FDA of the NDA for that product. An NDA must be supported by extensive clinical and preclinical data, as well as extensive information regarding pharmacology, chemistry, manufacturing and controls. Our product candidates must be approved by comparable regulatory authorities in other jurisdictions prior to commercialization.</w:t>
      </w:r>
    </w:p>
    <w:p>
      <w:pPr>
        <w:spacing w:after="0" w:line="164"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FDA approval of an NDA is not guaranteed, and the review and approval process is an expensive and uncertain process that may take several years. Of the large number of drugs in development in the United States, only a small percentage will successfully complete the FDA regulatory approval process and will be commercialized. Accordingly, there can be no assurance that any of our product candidates will receive regulatory approval in the United States, or other jurisdictions.</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FDA also has substantial discretion in the approval process. The number and types of preclinical studies and clinical trials that will be required for NDA approval varies depending on the product candidate, the disease or the condition that the product candidate is designed to treat and the regulations applicable to any particular product candidate. For example, if successful, we believe that the expansion portions of the pivotal Phase 2 clinical trial of DAY101 may be sufficient to support FDA approval of an NDA for DAY101, but the FDA may disagree with the sufficiency of our data and require additional clinical trials. Additionally, depending upon the results of the expansion portions of the Phase 2 clinical trial of DAY101, we may choose to seek Subpart H accelerated approval for DAY101, which would require completion of a confirmatory trial to validate the clinical benefit of the drug. Despite the time and expense associated with preclinical studies and clinical trials, failure can occur at any stage. The results of preclinical and early clinical trials of DAY101 or pimasertib or any other product candidate may not be predictive of the results of our later-stage clinical trials. For example, while we may believe certain results in patients, such as stable disease, suggest encouraging clinical activity, stable disease is not considered a response for regulatory purposes in an endpoint assessing objective response rate, or ORR.</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Clinical trial failure may result from a multitude of factors including flaws in trial design, dose selection, placebo effect, patient enrollment criteria and failure to demonstrate favorable safety or efficacy traits, and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The FDA could delay, limit or deny approval of a product candidate for many reasons, including because the FDA:</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may not deem our product candidate to be safe and effective;</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determines that the product candidate does not have an acceptable benefit-risk profile;</w:t>
      </w:r>
    </w:p>
    <w:p>
      <w:pPr>
        <w:spacing w:after="0" w:line="131" w:lineRule="exact"/>
        <w:rPr>
          <w:sz w:val="20"/>
          <w:szCs w:val="20"/>
          <w:color w:val="auto"/>
        </w:rPr>
      </w:pPr>
    </w:p>
    <w:p>
      <w:pPr>
        <w:ind w:left="440" w:right="460"/>
        <w:spacing w:after="0" w:line="293" w:lineRule="auto"/>
        <w:rPr>
          <w:sz w:val="20"/>
          <w:szCs w:val="20"/>
          <w:color w:val="auto"/>
        </w:rPr>
      </w:pPr>
      <w:r>
        <w:rPr>
          <w:rFonts w:ascii="Arial" w:cs="Arial" w:eastAsia="Arial" w:hAnsi="Arial"/>
          <w:sz w:val="18"/>
          <w:szCs w:val="18"/>
          <w:color w:val="auto"/>
        </w:rPr>
        <w:t>determines in the case of an NDA seeking accelerated approval that the NDA does not provide evidence that the product candidate represents a meaningful advantage over available therapies;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determines that the ORR and duration of response are not clinically meaningful;</w:t>
      </w:r>
    </w:p>
    <w:p>
      <w:pPr>
        <w:spacing w:after="0" w:line="131" w:lineRule="exact"/>
        <w:rPr>
          <w:sz w:val="20"/>
          <w:szCs w:val="20"/>
          <w:color w:val="auto"/>
        </w:rPr>
      </w:pPr>
    </w:p>
    <w:p>
      <w:pPr>
        <w:ind w:left="440" w:right="200"/>
        <w:spacing w:after="0" w:line="324" w:lineRule="auto"/>
        <w:rPr>
          <w:sz w:val="20"/>
          <w:szCs w:val="20"/>
          <w:color w:val="auto"/>
        </w:rPr>
      </w:pPr>
      <w:r>
        <w:rPr>
          <w:rFonts w:ascii="Arial" w:cs="Arial" w:eastAsia="Arial" w:hAnsi="Arial"/>
          <w:sz w:val="17"/>
          <w:szCs w:val="17"/>
          <w:color w:val="auto"/>
        </w:rPr>
        <w:t>may not agree that the data collected from preclinical studies and clinical trials are acceptable or sufficient to support the submission of an NDA or other submission or to obtain regulatory approval, and may impose requirements for additional preclinical studies or clinical trials;</w:t>
      </w:r>
    </w:p>
    <w:p>
      <w:pPr>
        <w:spacing w:after="0" w:line="39" w:lineRule="exact"/>
        <w:rPr>
          <w:sz w:val="20"/>
          <w:szCs w:val="20"/>
          <w:color w:val="auto"/>
        </w:rPr>
      </w:pPr>
    </w:p>
    <w:p>
      <w:pPr>
        <w:ind w:left="5540" w:right="1960" w:hanging="5084"/>
        <w:spacing w:after="0" w:line="293" w:lineRule="auto"/>
        <w:rPr>
          <w:sz w:val="20"/>
          <w:szCs w:val="20"/>
          <w:color w:val="auto"/>
        </w:rPr>
      </w:pPr>
      <w:r>
        <w:rPr>
          <w:rFonts w:ascii="Arial" w:cs="Arial" w:eastAsia="Arial" w:hAnsi="Arial"/>
          <w:sz w:val="18"/>
          <w:szCs w:val="18"/>
          <w:color w:val="auto"/>
        </w:rPr>
        <w:t>may determine that adverse events experienced by participants in our clinical trials represent an unacceptable level of risk;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9" w:name="page50"/>
    <w:bookmarkEnd w:id="49"/>
    <w:p>
      <w:pPr>
        <w:ind w:left="440" w:right="20"/>
        <w:spacing w:after="0" w:line="293" w:lineRule="auto"/>
        <w:rPr>
          <w:sz w:val="20"/>
          <w:szCs w:val="20"/>
          <w:color w:val="auto"/>
        </w:rPr>
      </w:pPr>
      <w:r>
        <w:rPr>
          <w:rFonts w:ascii="Arial" w:cs="Arial" w:eastAsia="Arial" w:hAnsi="Arial"/>
          <w:sz w:val="18"/>
          <w:szCs w:val="18"/>
          <w:color w:val="auto"/>
        </w:rPr>
        <w:t>may determine that the population studied in the clinical trial may not be sufficiently broad or representative to assure safety in the full population for which we seek approval;</w:t>
      </w:r>
    </w:p>
    <w:p>
      <w:pPr>
        <w:spacing w:after="0" w:line="62" w:lineRule="exact"/>
        <w:rPr>
          <w:sz w:val="20"/>
          <w:szCs w:val="20"/>
          <w:color w:val="auto"/>
        </w:rPr>
      </w:pPr>
    </w:p>
    <w:p>
      <w:pPr>
        <w:ind w:left="440" w:right="320"/>
        <w:spacing w:after="0" w:line="293" w:lineRule="auto"/>
        <w:rPr>
          <w:sz w:val="20"/>
          <w:szCs w:val="20"/>
          <w:color w:val="auto"/>
        </w:rPr>
      </w:pPr>
      <w:r>
        <w:rPr>
          <w:rFonts w:ascii="Arial" w:cs="Arial" w:eastAsia="Arial" w:hAnsi="Arial"/>
          <w:sz w:val="18"/>
          <w:szCs w:val="18"/>
          <w:color w:val="auto"/>
        </w:rPr>
        <w:t>may not accept clinical data from trials, which are conducted at clinical facilities or in countries where the standard of care is potentially different from that of the United States;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may disagree regarding the formulation, labeling and/or the specifications;</w:t>
      </w:r>
    </w:p>
    <w:p>
      <w:pPr>
        <w:spacing w:after="0" w:line="131" w:lineRule="exact"/>
        <w:rPr>
          <w:sz w:val="20"/>
          <w:szCs w:val="20"/>
          <w:color w:val="auto"/>
        </w:rPr>
      </w:pPr>
    </w:p>
    <w:p>
      <w:pPr>
        <w:ind w:left="440" w:right="80"/>
        <w:spacing w:after="0" w:line="293" w:lineRule="auto"/>
        <w:rPr>
          <w:sz w:val="20"/>
          <w:szCs w:val="20"/>
          <w:color w:val="auto"/>
        </w:rPr>
      </w:pPr>
      <w:r>
        <w:rPr>
          <w:rFonts w:ascii="Arial" w:cs="Arial" w:eastAsia="Arial" w:hAnsi="Arial"/>
          <w:sz w:val="18"/>
          <w:szCs w:val="18"/>
          <w:color w:val="auto"/>
        </w:rPr>
        <w:t>may not approve the manufacturing processes associated with our product candidate or may determine that a manufacturing facility does not have an acceptable compliance status;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may change approval policies or adopt new regulations; or</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may not file a submission due to, among other reasons, the content or formatting of the submission.</w:t>
      </w:r>
    </w:p>
    <w:p>
      <w:pPr>
        <w:spacing w:after="0" w:line="239"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color w:val="auto"/>
        </w:rPr>
        <w:t>We have not obtained FDA approval for any product. This lack of experience may impede our ability to obtain FDA approval in a timely manner, if at all, for our clinical product candidates.</w:t>
      </w:r>
    </w:p>
    <w:p>
      <w:pPr>
        <w:spacing w:after="0" w:line="170" w:lineRule="exact"/>
        <w:rPr>
          <w:sz w:val="20"/>
          <w:szCs w:val="20"/>
          <w:color w:val="auto"/>
        </w:rPr>
      </w:pPr>
    </w:p>
    <w:p>
      <w:pPr>
        <w:ind w:right="80"/>
        <w:spacing w:after="0" w:line="359" w:lineRule="auto"/>
        <w:rPr>
          <w:sz w:val="20"/>
          <w:szCs w:val="20"/>
          <w:color w:val="auto"/>
        </w:rPr>
      </w:pPr>
      <w:r>
        <w:rPr>
          <w:rFonts w:ascii="Arial" w:cs="Arial" w:eastAsia="Arial" w:hAnsi="Arial"/>
          <w:sz w:val="16"/>
          <w:szCs w:val="16"/>
          <w:color w:val="auto"/>
        </w:rPr>
        <w:t>If we experience delays in obtaining approval or if we fail to obtain approval of DAY101 or pimasertib, our commercial prospects will be harmed and our ability to generate revenues will be materially impaired which would adversely affect our business, prospects, financial condition and results of operations.</w:t>
      </w:r>
    </w:p>
    <w:p>
      <w:pPr>
        <w:spacing w:after="0" w:line="381"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b w:val="1"/>
          <w:bCs w:val="1"/>
          <w:i w:val="1"/>
          <w:iCs w:val="1"/>
          <w:color w:val="auto"/>
        </w:rPr>
        <w:t>The accelerated approval pathway for our product candidates may not lead to a faster development or regulatory review or approval process and does not increase the likelihood that our product candidates will receive marketing approval.</w:t>
      </w:r>
    </w:p>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Under the FDA’s accelerated approval program,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may seek accelerated approval for one or more of our product candidates on the basis of ORR, a surrogate endpoint that we believe is reasonably likely to predict clinical benefit.</w:t>
      </w:r>
    </w:p>
    <w:p>
      <w:pPr>
        <w:spacing w:after="0" w:line="19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For drugs granted accelerated approval, post-marketing confirmatory trials are required to describe the anticipated effect on irreversible morbidity or mortality or other clinical benefit. These confirmatory trials must be completed with due diligence and, in most cases, the FDA may require that the trial be designed, initiated, and/or fully enrolled prior to approval. If any of our competitors were to receive full approval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 Moreover, the FDA may withdraw approval of our product candidate approved under the accelerated approval pathway if, for example:</w:t>
      </w:r>
    </w:p>
    <w:p>
      <w:pPr>
        <w:spacing w:after="0" w:line="68" w:lineRule="exact"/>
        <w:rPr>
          <w:sz w:val="20"/>
          <w:szCs w:val="20"/>
          <w:color w:val="auto"/>
        </w:rPr>
      </w:pPr>
    </w:p>
    <w:p>
      <w:pPr>
        <w:ind w:left="440" w:right="220"/>
        <w:spacing w:after="0" w:line="293" w:lineRule="auto"/>
        <w:rPr>
          <w:sz w:val="20"/>
          <w:szCs w:val="20"/>
          <w:color w:val="auto"/>
        </w:rPr>
      </w:pPr>
      <w:r>
        <w:rPr>
          <w:rFonts w:ascii="Arial" w:cs="Arial" w:eastAsia="Arial" w:hAnsi="Arial"/>
          <w:sz w:val="18"/>
          <w:szCs w:val="18"/>
          <w:color w:val="auto"/>
        </w:rPr>
        <w:t>the trial or trials required to verify the predicted clinical benefit of our product candidate fail to verify such benefit or do not demonstrate sufficient clinical benefit to justify the risks associated with the drug;</w:t>
      </w:r>
    </w:p>
    <w:p>
      <w:pPr>
        <w:spacing w:after="0" w:line="62" w:lineRule="exact"/>
        <w:rPr>
          <w:sz w:val="20"/>
          <w:szCs w:val="20"/>
          <w:color w:val="auto"/>
        </w:rPr>
      </w:pPr>
    </w:p>
    <w:p>
      <w:pPr>
        <w:ind w:left="440" w:right="2220"/>
        <w:spacing w:after="0" w:line="435" w:lineRule="auto"/>
        <w:rPr>
          <w:sz w:val="20"/>
          <w:szCs w:val="20"/>
          <w:color w:val="auto"/>
        </w:rPr>
      </w:pPr>
      <w:r>
        <w:rPr>
          <w:rFonts w:ascii="Arial" w:cs="Arial" w:eastAsia="Arial" w:hAnsi="Arial"/>
          <w:sz w:val="17"/>
          <w:szCs w:val="17"/>
          <w:color w:val="auto"/>
        </w:rPr>
        <w:t>other evidence demonstrates that our product candidate is not shown to be safe or effective under the conditions of use; we fail to conduct any required post-approval trial of our product candidate with due diligence; or we disseminate false or misleading promotional materials relating to the relevant product candidate.</w:t>
      </w:r>
    </w:p>
    <w:p>
      <w:pPr>
        <w:spacing w:after="0" w:line="166" w:lineRule="exact"/>
        <w:rPr>
          <w:sz w:val="20"/>
          <w:szCs w:val="20"/>
          <w:color w:val="auto"/>
        </w:rPr>
      </w:pPr>
    </w:p>
    <w:p>
      <w:pPr>
        <w:ind w:right="40"/>
        <w:spacing w:after="0" w:line="359" w:lineRule="auto"/>
        <w:rPr>
          <w:sz w:val="20"/>
          <w:szCs w:val="20"/>
          <w:color w:val="auto"/>
        </w:rPr>
      </w:pPr>
      <w:r>
        <w:rPr>
          <w:rFonts w:ascii="Arial" w:cs="Arial" w:eastAsia="Arial" w:hAnsi="Arial"/>
          <w:sz w:val="16"/>
          <w:szCs w:val="16"/>
          <w:b w:val="1"/>
          <w:bCs w:val="1"/>
          <w:i w:val="1"/>
          <w:iCs w:val="1"/>
          <w:color w:val="auto"/>
        </w:rPr>
        <w:t>Even though we have received Breakthrough Therapy designation by the FDA for DAY101 in treating pLGG, such designation may not lead to a faster development or regulatory review or approval process, and it does not increase the likelihood that DAY101 will receive marketing approval.</w:t>
      </w:r>
    </w:p>
    <w:p>
      <w:pPr>
        <w:spacing w:after="0" w:line="17"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color w:val="auto"/>
        </w:rPr>
        <w:t>We have received Breakthrough Therapy designation by the FDA for DAY101 in patients with advanced pLGG.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NDA.</w:t>
      </w:r>
    </w:p>
    <w:p>
      <w:pPr>
        <w:spacing w:after="0" w:line="18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Although Breakthrough Designation or access to any other expedited program may expedite the development or approval process, it does not change the standards for approval. Although we obtained breakthrough device designation for DAY101 in advanced pLGG,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0" w:name="page51"/>
    <w:bookmarkEnd w:id="50"/>
    <w:p>
      <w:pPr>
        <w:ind w:right="40"/>
        <w:spacing w:after="0" w:line="271" w:lineRule="auto"/>
        <w:rPr>
          <w:sz w:val="20"/>
          <w:szCs w:val="20"/>
          <w:color w:val="auto"/>
        </w:rPr>
      </w:pPr>
      <w:r>
        <w:rPr>
          <w:rFonts w:ascii="Arial" w:cs="Arial" w:eastAsia="Arial" w:hAnsi="Arial"/>
          <w:sz w:val="18"/>
          <w:szCs w:val="18"/>
          <w:color w:val="auto"/>
        </w:rPr>
        <w:t>we may not experience faster development timelines or achieve faster review or approval compared to conventional FDA procedures. For example, the time required to identify and resolve issues relating to manufacturing and controls, the acquisition of a sufficient supply of our product for clinical trial purposes or the need to conduct additional nonclinical or clinical studies may delay approval by the FDA, even if the product qualifies for breakthrough designation or access to any other expedited program.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such product.</w:t>
      </w:r>
    </w:p>
    <w:p>
      <w:pPr>
        <w:spacing w:after="0" w:line="299" w:lineRule="exact"/>
        <w:rPr>
          <w:sz w:val="20"/>
          <w:szCs w:val="20"/>
          <w:color w:val="auto"/>
        </w:rPr>
      </w:pPr>
    </w:p>
    <w:p>
      <w:pPr>
        <w:ind w:right="20"/>
        <w:spacing w:after="0" w:line="394" w:lineRule="auto"/>
        <w:rPr>
          <w:sz w:val="20"/>
          <w:szCs w:val="20"/>
          <w:color w:val="auto"/>
        </w:rPr>
      </w:pPr>
      <w:r>
        <w:rPr>
          <w:rFonts w:ascii="Arial" w:cs="Arial" w:eastAsia="Arial" w:hAnsi="Arial"/>
          <w:sz w:val="15"/>
          <w:szCs w:val="15"/>
          <w:b w:val="1"/>
          <w:bCs w:val="1"/>
          <w:i w:val="1"/>
          <w:iCs w:val="1"/>
          <w:color w:val="auto"/>
        </w:rPr>
        <w:t>Our failure to obtain marketing approval in foreign jurisdictions would prevent our product candidates from being marketed in those jurisdictions, and any approval we are granted for our product candidates in the United States would not assure approval of product candidates in foreign jurisdictions.</w:t>
      </w:r>
    </w:p>
    <w:p>
      <w:pPr>
        <w:spacing w:after="0" w:line="1"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color w:val="auto"/>
        </w:rPr>
        <w:t>In order to market and sell our products in any jurisdiction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necessary approvals to commercialize our products in any market.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w:t>
      </w:r>
    </w:p>
    <w:p>
      <w:pPr>
        <w:spacing w:after="0" w:line="13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 have obtained orphan drug designation in the United States for use of DAY101 in treating malignant glioma. We may seek orphan drug designation for DAY101 in additional indications or for pimasertib or any product candidates we develop in the future. 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the drug for the type of disease or condition will be recovered from sales of the product in the United States.</w:t>
      </w:r>
    </w:p>
    <w:p>
      <w:pPr>
        <w:spacing w:after="0" w:line="16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Generally, if a product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drug for the same indication during that time period. The applicable period is seven years in the United States and ten years in the European Union. The European exclusivity period can be reduced to six years if a drug no longer meets the criteria for orphan drug designation or if the drug is sufficiently profitable so that market exclusivity is no longer justified. Orphan drug exclusivity may be lost if the FDA determines that the request for designation was materially defective or if the manufacturer is unable to assure sufficient quantity of the drug to meet the needs of patients with the rare disease or condition.</w:t>
      </w:r>
    </w:p>
    <w:p>
      <w:pPr>
        <w:spacing w:after="0" w:line="16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the United States, the FDA may approve a subsequent application to market the same drug for the same indication during the exclusivity period in certain circumstances, such as if the subsequent product demonstrates clinical superiority (i.e., the subsequent product is safer, more effective or makes a major contribution to patient care) over the product with orphan exclusivity. Competitors, however, may receive approval of different products for the same indication for which the orphan product has exclusivity, or obtain approval for the same product but for a different indication than that for which the orphan product has exclusivity. Orphan drug designation also entitles a party to financial incentives, such as opportunities for grant funding towards clinical trial costs, tax advantages and user-fee waivers.</w:t>
      </w:r>
    </w:p>
    <w:p>
      <w:pPr>
        <w:spacing w:after="0" w:line="191" w:lineRule="exact"/>
        <w:rPr>
          <w:sz w:val="20"/>
          <w:szCs w:val="20"/>
          <w:color w:val="auto"/>
        </w:rPr>
      </w:pPr>
    </w:p>
    <w:p>
      <w:pPr>
        <w:ind w:right="120"/>
        <w:spacing w:after="0" w:line="303" w:lineRule="auto"/>
        <w:rPr>
          <w:sz w:val="20"/>
          <w:szCs w:val="20"/>
          <w:color w:val="auto"/>
        </w:rPr>
      </w:pPr>
      <w:r>
        <w:rPr>
          <w:rFonts w:ascii="Arial" w:cs="Arial" w:eastAsia="Arial" w:hAnsi="Arial"/>
          <w:sz w:val="17"/>
          <w:szCs w:val="17"/>
          <w:color w:val="auto"/>
        </w:rPr>
        <w:t>We cannot assure you that any future application for orphan drug designation with respect to any other product candidate will be granted. If we are unable to obtain orphan drug designation with respect to other product candidates in the United States, we will not be eligible to obtain the period of market exclusivity that could result from orphan drug designation or be afforded the financial incentives associated with orphan drug designation.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1" w:name="page52"/>
    <w:bookmarkEnd w:id="51"/>
    <w:p>
      <w:pPr>
        <w:ind w:right="220"/>
        <w:spacing w:after="0" w:line="329" w:lineRule="auto"/>
        <w:rPr>
          <w:sz w:val="20"/>
          <w:szCs w:val="20"/>
          <w:color w:val="auto"/>
        </w:rPr>
      </w:pPr>
      <w:r>
        <w:rPr>
          <w:rFonts w:ascii="Arial" w:cs="Arial" w:eastAsia="Arial" w:hAnsi="Arial"/>
          <w:sz w:val="16"/>
          <w:szCs w:val="16"/>
          <w:b w:val="1"/>
          <w:bCs w:val="1"/>
          <w:i w:val="1"/>
          <w:iCs w:val="1"/>
          <w:color w:val="auto"/>
        </w:rPr>
        <w:t>We may seek a rare pediatric disease designation for one or more of our product candidates. Even if we were to obtain approval for our product candidates with the rare pediatric disease designation, the Rare Pediatric Disease Priority Review Voucher program may no longer be in effect at the time of such approval or we might not be able to capture the value of the rare pediatric disease Priority Review Voucher program.</w:t>
      </w:r>
    </w:p>
    <w:p>
      <w:pPr>
        <w:spacing w:after="0" w:line="40"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Congress authorized the FDA to award priority review vouchers to sponsors of certain rare pediatric disease product applications that meet the specified criteria. These vouchers are designed to encourage development of new drug and biological products for prevention and treatment of certain rare pediatric diseases.</w:t>
      </w:r>
    </w:p>
    <w:p>
      <w:pPr>
        <w:spacing w:after="0" w:line="18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Although the voucher can be sold or transferred to third parties, there is no guarantee that we will be able to receive such voucher, or realize any value if we receive and were to sell the voucher.</w:t>
      </w:r>
    </w:p>
    <w:p>
      <w:pPr>
        <w:spacing w:after="0" w:line="19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For the purposes of this program, a rare pediatric disease is a (i) serious or life-threatening disease in which the serious or life-threatening manifestations primarily affect individuals aged from birth to 18 years, including age groups often called neonates, infants, children, and adolescents; and (ii) rare disease or conditions within the meaning of the Orphan Drug Act. The FDA may determine that an application for one or more of our product candidates does not meet the eligibility criteria for a priority review voucher upon approval.</w:t>
      </w:r>
    </w:p>
    <w:p>
      <w:pPr>
        <w:spacing w:after="0" w:line="185"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Moreover, while the opportunity to receive a priority review voucher was meant to expire for those companies that had not received a designation by September 30, 2020, the Rare Pediatric Disease Priority Review Voucher program was extended by Congress in December 2020. Under the current statutory sunset provisions, after September 30, 2024, the FDA may only award a voucher for an approved rare pediatric disease product application if the sponsor has rare pediatric disease designation for the drug, and that designation was granted by September 30, 2024. After September 30, 2026, the FDA may not award any rare pediatric disease priority review vouchers.</w:t>
      </w:r>
    </w:p>
    <w:p>
      <w:pPr>
        <w:spacing w:after="0" w:line="299" w:lineRule="exact"/>
        <w:rPr>
          <w:sz w:val="20"/>
          <w:szCs w:val="20"/>
          <w:color w:val="auto"/>
        </w:rPr>
      </w:pPr>
    </w:p>
    <w:p>
      <w:pPr>
        <w:ind w:right="560"/>
        <w:spacing w:after="0" w:line="279" w:lineRule="auto"/>
        <w:rPr>
          <w:sz w:val="20"/>
          <w:szCs w:val="20"/>
          <w:color w:val="auto"/>
        </w:rPr>
      </w:pPr>
      <w:r>
        <w:rPr>
          <w:rFonts w:ascii="Arial" w:cs="Arial" w:eastAsia="Arial" w:hAnsi="Arial"/>
          <w:sz w:val="18"/>
          <w:szCs w:val="18"/>
          <w:b w:val="1"/>
          <w:bCs w:val="1"/>
          <w:i w:val="1"/>
          <w:iCs w:val="1"/>
          <w:color w:val="auto"/>
        </w:rPr>
        <w:t>If we are unable to successfully develop, validate, obtain regulatory approval of and commercialize companion diagnostic tests for any product candidates that require such tests, or experience significant delays in doing so, we may not realize the full commercial potential of these product candidates.</w:t>
      </w:r>
    </w:p>
    <w:p>
      <w:pPr>
        <w:spacing w:after="0" w:line="75"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 xml:space="preserve">A companion diagnostic is a medical device, often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device, which provides information that is essential for the safe and effective use of a corresponding therapeutic drug product. A companion diagnostic can be used to identify patients who are most likely to benefit from the therapeutic product. In the future, if required to develop a companion diagnostic, we may evaluate opportunities to develop, either by ourselves or with collaborators, companion diagnostic tests for our product candidates for certain indications.</w:t>
      </w:r>
    </w:p>
    <w:p>
      <w:pPr>
        <w:spacing w:after="0" w:line="185"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auto"/>
        </w:rPr>
        <w:t>A companion diagnostic is generally developed in conjunction with the clinical program for an associated therapeutic product. To date, the FDA has required premarket approval of the vast majority companion diagnostics for cancer therapies. Generally, when a companion diagnostic is essential to the safe and effective use of a drug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16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Development of a companion diagnostic could include additional meetings with regulatory authorities, such as a pre-submission meeting and the requirement to submit an investigational device exemption application. In the case of a companion diagnostic that is designated as “significant risk device,” approval of an investigational device exemption by the FDA and IRB is required before such diagnostic is used in conjunction with the clinical trials for a corresponding product candidate.</w:t>
      </w:r>
    </w:p>
    <w:p>
      <w:pPr>
        <w:spacing w:after="0" w:line="185"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To be successful in developing, validating, obtaining approval of and commercializing a companion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 therapeutic product candidates that require such tests, the application for and receipt of any required regulatory approvals, and the commercial supply of these companion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approval, and we may not realize the full</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2" w:name="page53"/>
    <w:bookmarkEnd w:id="52"/>
    <w:p>
      <w:pPr>
        <w:spacing w:after="0" w:line="309" w:lineRule="auto"/>
        <w:rPr>
          <w:sz w:val="20"/>
          <w:szCs w:val="20"/>
          <w:color w:val="auto"/>
        </w:rPr>
      </w:pPr>
      <w:r>
        <w:rPr>
          <w:rFonts w:ascii="Arial" w:cs="Arial" w:eastAsia="Arial" w:hAnsi="Arial"/>
          <w:sz w:val="16"/>
          <w:szCs w:val="16"/>
          <w:color w:val="auto"/>
        </w:rPr>
        <w:t>commercial potential of any of these therapeutics that obtain marketing approval.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regulatory approvals and the continued ability of such third parties to make the companion diagnostic commercially available to us on reasonable terms in the relevant geographies. There is no guarantee that physicians will adopt any particular companion diagnostic, be willing to understand how to use it, how to obtain reimbursement for it, how to explain it to patients, or dedicate staff to using it. Any failure to do so could materially harm our business, results of operations and financial condition.</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decide to pursue a Fast Track Designation by the FDA, it may not lead to a faster development or regulatory review or approval process.</w:t>
      </w:r>
    </w:p>
    <w:p>
      <w:pPr>
        <w:spacing w:after="0" w:line="154"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We may seek Fast Track Designation for one or more of our product candidates. If a drug is intended for the treatment of a serious or life-threatening condition and the drug demonstrates the potential to address unmet medical needs for this condition, the product sponsor may apply for FDA Fast Track Designation. The FDA has broad discretion whether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284"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b w:val="1"/>
          <w:bCs w:val="1"/>
          <w:i w:val="1"/>
          <w:iCs w:val="1"/>
          <w:color w:val="auto"/>
        </w:rPr>
        <w:t>Even if we obtain marketing approval for our product candidates,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w:t>
      </w:r>
    </w:p>
    <w:p>
      <w:pPr>
        <w:spacing w:after="0" w:line="75"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Any product candidates for which we receive accelerated approval from the FDA are required to undergo one or more confirmatory clinical trials. If such a product candidate fails to meet its safety and efficacy endpoints in such confirmatory clinical trials, the regulatory authority may withdraw its conditional approval. There is no assurance that any such product will successfully advance through its confirmatory clinical trial(s). Therefore, even if a product candidate receives accelerated approval from the FDA, such approval may be withdrawn at a later date. Even if marketing approval of a product candidate is granted, an approved product and its manufacturer and marketer are subject to ongoing review and extensive regulation, which may include the requirement to implement a REMS or to conduct costly post-marketing studies or clinical trials and surveillance to monitor the safety or efficacy of the product.</w:t>
      </w:r>
    </w:p>
    <w:p>
      <w:pPr>
        <w:spacing w:after="0" w:line="19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5"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and our CMOs could be subject to periodic unannounced inspections by the FDA to monitor and ensure compliance with cGMPs.</w:t>
      </w:r>
    </w:p>
    <w:p>
      <w:pPr>
        <w:spacing w:after="0" w:line="1"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color w:val="auto"/>
        </w:rPr>
        <w:t>Accordingly, assuming we obtain marketing approval for one or more of our product candidates,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p>
    <w:p>
      <w:pPr>
        <w:spacing w:after="0" w:line="282" w:lineRule="exact"/>
        <w:rPr>
          <w:sz w:val="20"/>
          <w:szCs w:val="20"/>
          <w:color w:val="auto"/>
        </w:rPr>
      </w:pPr>
    </w:p>
    <w:p>
      <w:pPr>
        <w:ind w:right="60"/>
        <w:spacing w:after="0" w:line="329" w:lineRule="auto"/>
        <w:rPr>
          <w:sz w:val="20"/>
          <w:szCs w:val="20"/>
          <w:color w:val="auto"/>
        </w:rPr>
      </w:pPr>
      <w:r>
        <w:rPr>
          <w:rFonts w:ascii="Arial" w:cs="Arial" w:eastAsia="Arial" w:hAnsi="Arial"/>
          <w:sz w:val="16"/>
          <w:szCs w:val="16"/>
          <w:b w:val="1"/>
          <w:bCs w:val="1"/>
          <w:i w:val="1"/>
          <w:iCs w:val="1"/>
          <w:color w:val="auto"/>
        </w:rPr>
        <w:t>Any product candidate for which we obtain marketing approval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p>
    <w:p>
      <w:pPr>
        <w:spacing w:after="0" w:line="40"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3" w:name="page54"/>
    <w:bookmarkEnd w:id="53"/>
    <w:p>
      <w:pPr>
        <w:ind w:right="60"/>
        <w:spacing w:after="0" w:line="287" w:lineRule="auto"/>
        <w:rPr>
          <w:sz w:val="20"/>
          <w:szCs w:val="20"/>
          <w:color w:val="auto"/>
        </w:rPr>
      </w:pPr>
      <w:r>
        <w:rPr>
          <w:rFonts w:ascii="Arial" w:cs="Arial" w:eastAsia="Arial" w:hAnsi="Arial"/>
          <w:sz w:val="17"/>
          <w:szCs w:val="17"/>
          <w:color w:val="auto"/>
        </w:rPr>
        <w:t>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Federal Food, Drug, and Cosmetic Act, or FDCA,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litigation involving patients taking our products;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restrictions on such products, manufacturers or manufacturing processes;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restrictions on the labeling or marketing of a product;</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restrictions on product distribution or use;</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requirements to conduct post-marketing studies or clinical trials;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warning or untitled letters;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withdrawal of the products from the market;</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refusal to approve pending applications or supplements to approved applications that we submit;</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recall of products;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fines, restitution or disgorgement of profits or revenues;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suspension or withdrawal of marketing approvals;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damage to relationships with any potential collaborators;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unfavorable press coverage and damage to our reputation;</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refusal to permit the import or export of our products;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product seizure; or</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injunctions or the imposition of civil or criminal penalties.</w:t>
      </w:r>
    </w:p>
    <w:p>
      <w:pPr>
        <w:spacing w:after="0" w:line="239"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spacing w:after="0" w:line="278" w:lineRule="exact"/>
        <w:rPr>
          <w:sz w:val="20"/>
          <w:szCs w:val="20"/>
          <w:color w:val="auto"/>
        </w:rPr>
      </w:pPr>
    </w:p>
    <w:p>
      <w:pPr>
        <w:jc w:val="both"/>
        <w:ind w:right="40"/>
        <w:spacing w:after="0" w:line="303" w:lineRule="auto"/>
        <w:rPr>
          <w:sz w:val="20"/>
          <w:szCs w:val="20"/>
          <w:color w:val="auto"/>
        </w:rPr>
      </w:pPr>
      <w:r>
        <w:rPr>
          <w:rFonts w:ascii="Arial" w:cs="Arial" w:eastAsia="Arial" w:hAnsi="Arial"/>
          <w:sz w:val="17"/>
          <w:szCs w:val="17"/>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p>
    <w:p>
      <w:pPr>
        <w:spacing w:after="0" w:line="56"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color w:val="auto"/>
        </w:rPr>
        <w:t>Healthcare providers, including physicians, and third-party payors will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Restrictions under applicable federal and state healthcare laws and regulations that may be applicable to our business include the following:</w:t>
      </w:r>
    </w:p>
    <w:p>
      <w:pPr>
        <w:spacing w:after="0" w:line="52" w:lineRule="exact"/>
        <w:rPr>
          <w:sz w:val="20"/>
          <w:szCs w:val="20"/>
          <w:color w:val="auto"/>
        </w:rPr>
      </w:pPr>
    </w:p>
    <w:p>
      <w:pPr>
        <w:jc w:val="both"/>
        <w:ind w:left="440" w:right="160"/>
        <w:spacing w:after="0" w:line="275" w:lineRule="auto"/>
        <w:rPr>
          <w:sz w:val="20"/>
          <w:szCs w:val="20"/>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7" w:lineRule="exact"/>
        <w:rPr>
          <w:sz w:val="20"/>
          <w:szCs w:val="20"/>
          <w:color w:val="auto"/>
        </w:rPr>
      </w:pPr>
    </w:p>
    <w:p>
      <w:pPr>
        <w:ind w:left="440"/>
        <w:spacing w:after="0" w:line="299" w:lineRule="auto"/>
        <w:rPr>
          <w:sz w:val="20"/>
          <w:szCs w:val="20"/>
          <w:color w:val="auto"/>
        </w:rPr>
      </w:pPr>
      <w:r>
        <w:rPr>
          <w:rFonts w:ascii="Arial" w:cs="Arial" w:eastAsia="Arial" w:hAnsi="Arial"/>
          <w:sz w:val="16"/>
          <w:szCs w:val="16"/>
          <w:color w:val="auto"/>
        </w:rPr>
        <w:t>the federal civil false claims laws,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4" w:name="page55"/>
    <w:bookmarkEnd w:id="54"/>
    <w:p>
      <w:pPr>
        <w:ind w:left="440" w:right="480"/>
        <w:spacing w:after="0" w:line="319" w:lineRule="auto"/>
        <w:rPr>
          <w:sz w:val="20"/>
          <w:szCs w:val="20"/>
          <w:color w:val="auto"/>
        </w:rPr>
      </w:pPr>
      <w:r>
        <w:rPr>
          <w:rFonts w:ascii="Arial" w:cs="Arial" w:eastAsia="Arial" w:hAnsi="Arial"/>
          <w:sz w:val="16"/>
          <w:szCs w:val="16"/>
          <w:color w:val="auto"/>
        </w:rPr>
        <w:t>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48" w:lineRule="exact"/>
        <w:rPr>
          <w:sz w:val="20"/>
          <w:szCs w:val="20"/>
          <w:color w:val="auto"/>
        </w:rPr>
      </w:pPr>
    </w:p>
    <w:p>
      <w:pPr>
        <w:ind w:left="440" w:right="120"/>
        <w:spacing w:after="0" w:line="296" w:lineRule="auto"/>
        <w:rPr>
          <w:sz w:val="20"/>
          <w:szCs w:val="20"/>
          <w:color w:val="auto"/>
        </w:rPr>
      </w:pPr>
      <w:r>
        <w:rPr>
          <w:rFonts w:ascii="Arial" w:cs="Arial" w:eastAsia="Arial" w:hAnsi="Arial"/>
          <w:sz w:val="17"/>
          <w:szCs w:val="17"/>
          <w:color w:val="auto"/>
        </w:rPr>
        <w:t>HIPAA, as amended by the Health Information Technology for Economic and Clinical Health Act, or HITECH, and their implementing regulations,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spacing w:after="0" w:line="62" w:lineRule="exact"/>
        <w:rPr>
          <w:sz w:val="20"/>
          <w:szCs w:val="20"/>
          <w:color w:val="auto"/>
        </w:rPr>
      </w:pPr>
    </w:p>
    <w:p>
      <w:pPr>
        <w:ind w:left="440"/>
        <w:spacing w:after="0" w:line="309" w:lineRule="auto"/>
        <w:rPr>
          <w:sz w:val="20"/>
          <w:szCs w:val="20"/>
          <w:color w:val="auto"/>
        </w:rPr>
      </w:pPr>
      <w:r>
        <w:rPr>
          <w:rFonts w:ascii="Arial" w:cs="Arial" w:eastAsia="Arial" w:hAnsi="Arial"/>
          <w:sz w:val="16"/>
          <w:szCs w:val="16"/>
          <w:color w:val="auto"/>
        </w:rPr>
        <w:t>the federal transparency requirements under the Patient Protection and Affordable Care Act, as amended by the Health Care and Education Reconciliation Act of 2010, collectively referred to as the ACA, requires certain manufacturers of drugs, devices, biologics and medical supplies to annually report to the Centers for Medicare &amp; Medicaid Services, or CMS, information related to payments and other transfers of value provided to teaching hospitals, as well as ownership and investment interests held by physicians, defined to include doctors, dentists, optometrists, podiatrists and chiropractors, and their immediate family members. Beginning calendar year 2021, manufacturers must collect information regarding payments and transfers of value to physician assistants, nurse practitioners, clinical nurse specialists, anesthesiologist assistants, certified nurse anesthetists and certified nurse-midwives for reporting in the following year. The reported information is made available on a public website; and</w:t>
      </w:r>
    </w:p>
    <w:p>
      <w:pPr>
        <w:spacing w:after="0" w:line="56" w:lineRule="exact"/>
        <w:rPr>
          <w:sz w:val="20"/>
          <w:szCs w:val="20"/>
          <w:color w:val="auto"/>
        </w:rPr>
      </w:pPr>
    </w:p>
    <w:p>
      <w:pPr>
        <w:ind w:left="440"/>
        <w:spacing w:after="0" w:line="287" w:lineRule="auto"/>
        <w:rPr>
          <w:sz w:val="20"/>
          <w:szCs w:val="20"/>
          <w:color w:val="auto"/>
        </w:rPr>
      </w:pPr>
      <w:r>
        <w:rPr>
          <w:rFonts w:ascii="Arial" w:cs="Arial" w:eastAsia="Arial" w:hAnsi="Arial"/>
          <w:sz w:val="17"/>
          <w:szCs w:val="17"/>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State and local laws require the registration of pharmaceutical sales representatives. State and non-U.S. laws that also govern the privacy and security of health information in some circumstances, many of which differ from each other in significant ways and often are not preempted by HIPAA, thus complicating compliance efforts.</w:t>
      </w:r>
    </w:p>
    <w:p>
      <w:pPr>
        <w:spacing w:after="0" w:line="18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Efforts to ensure that our internal business processes and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spacing w:after="0" w:line="306"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decrease the prices we may obtain.</w:t>
      </w:r>
    </w:p>
    <w:p>
      <w:pPr>
        <w:spacing w:after="0" w:line="62" w:lineRule="exact"/>
        <w:rPr>
          <w:sz w:val="20"/>
          <w:szCs w:val="20"/>
          <w:color w:val="auto"/>
        </w:rPr>
      </w:pPr>
    </w:p>
    <w:p>
      <w:pPr>
        <w:ind w:right="300"/>
        <w:spacing w:after="0" w:line="279"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83" w:lineRule="exact"/>
        <w:rPr>
          <w:sz w:val="20"/>
          <w:szCs w:val="20"/>
          <w:color w:val="auto"/>
        </w:rPr>
      </w:pPr>
    </w:p>
    <w:p>
      <w:pPr>
        <w:spacing w:after="0" w:line="303" w:lineRule="auto"/>
        <w:rPr>
          <w:sz w:val="20"/>
          <w:szCs w:val="20"/>
          <w:color w:val="auto"/>
        </w:rPr>
      </w:pPr>
      <w:r>
        <w:rPr>
          <w:rFonts w:ascii="Arial" w:cs="Arial" w:eastAsia="Arial" w:hAnsi="Arial"/>
          <w:sz w:val="17"/>
          <w:szCs w:val="17"/>
          <w:color w:val="auto"/>
        </w:rPr>
        <w:t>For example, in March 2010, the ACA was signed into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annual fees and taxes on manufacturers of certain branded prescription drugs;</w:t>
      </w:r>
    </w:p>
    <w:p>
      <w:pPr>
        <w:spacing w:after="0" w:line="131" w:lineRule="exact"/>
        <w:rPr>
          <w:sz w:val="20"/>
          <w:szCs w:val="20"/>
          <w:color w:val="auto"/>
        </w:rPr>
      </w:pPr>
    </w:p>
    <w:p>
      <w:pPr>
        <w:ind w:left="5540" w:right="1280" w:hanging="5084"/>
        <w:spacing w:after="0" w:line="293" w:lineRule="auto"/>
        <w:rPr>
          <w:sz w:val="20"/>
          <w:szCs w:val="20"/>
          <w:color w:val="auto"/>
        </w:rPr>
      </w:pPr>
      <w:r>
        <w:rPr>
          <w:rFonts w:ascii="Arial" w:cs="Arial" w:eastAsia="Arial" w:hAnsi="Arial"/>
          <w:sz w:val="18"/>
          <w:szCs w:val="18"/>
          <w:color w:val="auto"/>
        </w:rPr>
        <w:t>an annual, nondeductible fee on any entity that manufactures or imports specified branded prescription drugs and biologic products;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5" w:name="page56"/>
    <w:bookmarkEnd w:id="55"/>
    <w:p>
      <w:pPr>
        <w:ind w:left="440" w:right="40"/>
        <w:spacing w:after="0" w:line="279" w:lineRule="auto"/>
        <w:rPr>
          <w:sz w:val="20"/>
          <w:szCs w:val="20"/>
          <w:color w:val="auto"/>
        </w:rPr>
      </w:pPr>
      <w:r>
        <w:rPr>
          <w:rFonts w:ascii="Arial" w:cs="Arial" w:eastAsia="Arial" w:hAnsi="Arial"/>
          <w:sz w:val="18"/>
          <w:szCs w:val="18"/>
          <w:color w:val="auto"/>
        </w:rPr>
        <w:t>a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75" w:lineRule="exact"/>
        <w:rPr>
          <w:sz w:val="20"/>
          <w:szCs w:val="20"/>
          <w:color w:val="auto"/>
        </w:rPr>
      </w:pPr>
    </w:p>
    <w:p>
      <w:pPr>
        <w:ind w:left="440" w:right="360"/>
        <w:spacing w:after="0" w:line="293" w:lineRule="auto"/>
        <w:rPr>
          <w:sz w:val="20"/>
          <w:szCs w:val="20"/>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62" w:lineRule="exact"/>
        <w:rPr>
          <w:sz w:val="20"/>
          <w:szCs w:val="20"/>
          <w:color w:val="auto"/>
        </w:rPr>
      </w:pPr>
    </w:p>
    <w:p>
      <w:pPr>
        <w:ind w:left="440" w:right="80"/>
        <w:spacing w:after="0" w:line="293" w:lineRule="auto"/>
        <w:rPr>
          <w:sz w:val="20"/>
          <w:szCs w:val="20"/>
          <w:color w:val="auto"/>
        </w:rPr>
      </w:pPr>
      <w:r>
        <w:rPr>
          <w:rFonts w:ascii="Arial" w:cs="Arial" w:eastAsia="Arial" w:hAnsi="Arial"/>
          <w:sz w:val="18"/>
          <w:szCs w:val="18"/>
          <w:color w:val="auto"/>
        </w:rPr>
        <w:t>an increase in the statutory minimum rebates a manufacturer must pay under the Medicaid Drug Rebate Program and extended the rebate program to individuals enrolled in Medicaid managed care organizations;</w:t>
      </w:r>
    </w:p>
    <w:p>
      <w:pPr>
        <w:spacing w:after="0" w:line="62" w:lineRule="exact"/>
        <w:rPr>
          <w:sz w:val="20"/>
          <w:szCs w:val="20"/>
          <w:color w:val="auto"/>
        </w:rPr>
      </w:pPr>
    </w:p>
    <w:p>
      <w:pPr>
        <w:ind w:left="440" w:right="180"/>
        <w:spacing w:after="0" w:line="293" w:lineRule="auto"/>
        <w:rPr>
          <w:sz w:val="20"/>
          <w:szCs w:val="20"/>
          <w:color w:val="auto"/>
        </w:rPr>
      </w:pPr>
      <w:r>
        <w:rPr>
          <w:rFonts w:ascii="Arial" w:cs="Arial" w:eastAsia="Arial" w:hAnsi="Arial"/>
          <w:sz w:val="18"/>
          <w:szCs w:val="18"/>
          <w:color w:val="auto"/>
        </w:rPr>
        <w:t>expansion of healthcare fraud and abuse laws, including the False Claims Act and the federal Anti-Kickback Statute, new government investigative powers, and enhanced penalties for noncompliance;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extension of manufacturers’ Medicaid rebate liability;</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expansion of eligibility criteria for Medicaid programs;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requirements to report financial arrangements with physicians, as defined by such law, and teaching hospitals;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131" w:lineRule="exact"/>
        <w:rPr>
          <w:sz w:val="20"/>
          <w:szCs w:val="20"/>
          <w:color w:val="auto"/>
        </w:rPr>
      </w:pPr>
    </w:p>
    <w:p>
      <w:pPr>
        <w:ind w:left="440" w:right="80"/>
        <w:spacing w:after="0" w:line="293" w:lineRule="auto"/>
        <w:rPr>
          <w:sz w:val="20"/>
          <w:szCs w:val="20"/>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There have been executive, judicial and Congressional challenges to repeal or replace certain aspects of the ACA, including measures taken during the former U.S. president’s administration. The former president of the United States signed Executive Orders and other directives designed to delay the implementation of certain provisions of the ACA or otherwise circumvent some of the requirements for health insurance mandated by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eliminating the implementation of certain ACA-mandated fees, and increasing the point-of-sale discount that is owed by pharmaceutical manufacturers who participate in Medicare Part D. In November 2020, the United States Supreme Court held oral arguments on the U.S. Court of Appeals for the Fifth Circuit’s decision that held that the individual mandate is unconstitutional. On February 10, 2021, the current presidential administration withdrew the federal government’s support for overturning the ACA. In June 2021, the Supreme Court remanded the case with instructions to dismiss for lack of standing. However, the Supreme Court did not decide the ultimate issue of the validity of the individual mandate. Thus, there may be other efforts to challenge the individual mandate or to challenge, repeal or replace the ACA. It is unclear how the Supreme Court ruling, other such litigation and the healthcare reform measures of the current presidential administration will impact the ACA and our business.</w:t>
      </w:r>
    </w:p>
    <w:p>
      <w:pPr>
        <w:spacing w:after="0" w:line="182"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In addition, other legislative changes have been proposed and adopted since the ACA was enacted. On August 2, 2011, the Budget Control Act of 2011 was signed into law, which, among other things, created the Joint Select Committee on Deficit Reduction to recommend to Congress proposals for spending reductions. The Joint Select Committee did not achieve a targeted deficit reduction, triggering the legislation’s automatic reduction to several government programs. These changes include aggregate reductions to Medicare payments to providers of up to 2% per fiscal year, which began in 2013, and due to subsequent legislative amendments to the statute, will remain in effect through 2030, with the exception of a temporary suspension from May 1, 2020 through December 31, 2021 due to the COVID-19 pandemic,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w:t>
      </w:r>
    </w:p>
    <w:p>
      <w:pPr>
        <w:spacing w:after="0" w:line="178"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auto"/>
        </w:rPr>
        <w:t>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former president of the United States used several means to propose or implement drug pricing reform, including through federal budget proposals, executive orders, and policy initiatives. It is unclear whether the current presidential administration will work to reverse those measures or pursue similar policy initiatives. On March 11, 2021, the President signed the American Rescue Plan Act of 2021 into law, which eliminates the statutory Medicaid drug rebate cap, currently set at 100% of a drug’s average manufacturer price, for single source and innovator multiple source drugs, beginning January 1, 2024. In addition, at the state level, individual states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6" w:name="page57"/>
    <w:bookmarkEnd w:id="56"/>
    <w:p>
      <w:pPr>
        <w:ind w:right="20"/>
        <w:spacing w:after="0" w:line="275"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particularly in light of the new presidential administration. Such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spacing w:after="0" w:line="18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 It is also possible that additional governmental action is taken in response to the COVID-19 pandemic.</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of the United States tend to impose strict price controls, which may adversely affect our revenues, if any.</w:t>
      </w:r>
    </w:p>
    <w:p>
      <w:pPr>
        <w:spacing w:after="0" w:line="131"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In some countries, particularly the countries of the European Union, or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In addition, the recent withdrawal of the United Kingdom from its membership in the EU, often referred to as “Brexit,” could lead to legal and regulatory uncertainty in the United Kingdom and may lead to the United Kingdom and EU adopting divergent laws and regulations, including those related to the pricing of prescription pharmaceuticals, as the United Kingdom determines which EU laws to replicate or replace. If the United Kingdom were to significantly alter its regulations affecting the pricing of prescription pharmaceuticals, we could face significant new costs. As a result, Brexit could impair our ability to transact business in the EU and the United Kingdom.</w:t>
      </w:r>
    </w:p>
    <w:p>
      <w:pPr>
        <w:spacing w:after="0" w:line="278" w:lineRule="exact"/>
        <w:rPr>
          <w:sz w:val="20"/>
          <w:szCs w:val="20"/>
          <w:color w:val="auto"/>
        </w:rPr>
      </w:pPr>
    </w:p>
    <w:p>
      <w:pPr>
        <w:ind w:right="140"/>
        <w:spacing w:after="0" w:line="394" w:lineRule="auto"/>
        <w:rPr>
          <w:sz w:val="20"/>
          <w:szCs w:val="20"/>
          <w:color w:val="auto"/>
        </w:rPr>
      </w:pPr>
      <w:r>
        <w:rPr>
          <w:rFonts w:ascii="Arial" w:cs="Arial" w:eastAsia="Arial" w:hAnsi="Arial"/>
          <w:sz w:val="15"/>
          <w:szCs w:val="15"/>
          <w:b w:val="1"/>
          <w:bCs w:val="1"/>
          <w:i w:val="1"/>
          <w:iCs w:val="1"/>
          <w:color w:val="auto"/>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and their party agents from paying, offering, authorizing payment or offering anything of value, directly or indirectly, to any foreign official, political party or candidate for the purpose of influencing any act or decision of such third-party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w:t>
      </w:r>
    </w:p>
    <w:p>
      <w:pPr>
        <w:spacing w:after="0" w:line="18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We are also subject to U.S. laws and regulations governing export controls, as well as economic sanctions and embargoes on certain countries and persons.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19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the SEC, also may suspend or bar issuers from trading securities on U.S. exchanges for violations of the FCPA’s accounting provisions.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7" w:name="page58"/>
    <w:bookmarkEnd w:id="57"/>
    <w:p>
      <w:pPr>
        <w:ind w:right="120"/>
        <w:spacing w:after="0" w:line="293"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We could also be held liable for unexpected safety events that could happen in our business offices.</w:t>
      </w:r>
    </w:p>
    <w:p>
      <w:pPr>
        <w:spacing w:after="0" w:line="193" w:lineRule="exact"/>
        <w:rPr>
          <w:sz w:val="20"/>
          <w:szCs w:val="20"/>
          <w:color w:val="auto"/>
        </w:rPr>
      </w:pPr>
    </w:p>
    <w:p>
      <w:pPr>
        <w:jc w:val="both"/>
        <w:ind w:right="500"/>
        <w:spacing w:after="0" w:line="296" w:lineRule="auto"/>
        <w:rPr>
          <w:sz w:val="20"/>
          <w:szCs w:val="20"/>
          <w:color w:val="auto"/>
        </w:rPr>
      </w:pPr>
      <w:r>
        <w:rPr>
          <w:rFonts w:ascii="Arial" w:cs="Arial" w:eastAsia="Arial" w:hAnsi="Arial"/>
          <w:sz w:val="17"/>
          <w:szCs w:val="17"/>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70" w:lineRule="exact"/>
        <w:rPr>
          <w:sz w:val="20"/>
          <w:szCs w:val="20"/>
          <w:color w:val="auto"/>
        </w:rPr>
      </w:pPr>
    </w:p>
    <w:p>
      <w:pPr>
        <w:spacing w:after="0" w:line="303" w:lineRule="auto"/>
        <w:rPr>
          <w:sz w:val="20"/>
          <w:szCs w:val="20"/>
          <w:color w:val="auto"/>
        </w:rPr>
      </w:pPr>
      <w:r>
        <w:rPr>
          <w:rFonts w:ascii="Arial" w:cs="Arial" w:eastAsia="Arial" w:hAnsi="Arial"/>
          <w:sz w:val="17"/>
          <w:szCs w:val="17"/>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164" w:lineRule="exact"/>
        <w:rPr>
          <w:sz w:val="20"/>
          <w:szCs w:val="20"/>
          <w:color w:val="auto"/>
        </w:rPr>
      </w:pPr>
    </w:p>
    <w:p>
      <w:pPr>
        <w:jc w:val="both"/>
        <w:ind w:right="100"/>
        <w:spacing w:after="0" w:line="279" w:lineRule="auto"/>
        <w:rPr>
          <w:sz w:val="20"/>
          <w:szCs w:val="20"/>
          <w:color w:val="auto"/>
        </w:rPr>
      </w:pPr>
      <w:r>
        <w:rPr>
          <w:rFonts w:ascii="Arial" w:cs="Arial" w:eastAsia="Arial" w:hAnsi="Arial"/>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3"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291" w:lineRule="exact"/>
        <w:rPr>
          <w:sz w:val="20"/>
          <w:szCs w:val="20"/>
          <w:color w:val="auto"/>
        </w:rPr>
      </w:pPr>
    </w:p>
    <w:p>
      <w:pPr>
        <w:ind w:right="780"/>
        <w:spacing w:after="0" w:line="293" w:lineRule="auto"/>
        <w:rPr>
          <w:sz w:val="20"/>
          <w:szCs w:val="20"/>
          <w:color w:val="auto"/>
        </w:rPr>
      </w:pPr>
      <w:r>
        <w:rPr>
          <w:rFonts w:ascii="Arial" w:cs="Arial" w:eastAsia="Arial" w:hAnsi="Arial"/>
          <w:sz w:val="18"/>
          <w:szCs w:val="18"/>
          <w:b w:val="1"/>
          <w:bCs w:val="1"/>
          <w:i w:val="1"/>
          <w:iCs w:val="1"/>
          <w:color w:val="auto"/>
        </w:rPr>
        <w:t>We are subject to certain U.S. and certain foreign anti-corruption, anti-money laundering, export control, sanctions and other trade laws and regulations. We can face serious consequences for violations.</w:t>
      </w:r>
    </w:p>
    <w:p>
      <w:pPr>
        <w:spacing w:after="0" w:line="62"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78" w:lineRule="exact"/>
        <w:rPr>
          <w:sz w:val="20"/>
          <w:szCs w:val="20"/>
          <w:color w:val="auto"/>
        </w:rPr>
      </w:pPr>
    </w:p>
    <w:p>
      <w:pPr>
        <w:ind w:right="60"/>
        <w:spacing w:after="0" w:line="324" w:lineRule="auto"/>
        <w:rPr>
          <w:sz w:val="20"/>
          <w:szCs w:val="20"/>
          <w:color w:val="auto"/>
        </w:rPr>
      </w:pPr>
      <w:r>
        <w:rPr>
          <w:rFonts w:ascii="Arial" w:cs="Arial" w:eastAsia="Arial" w:hAnsi="Arial"/>
          <w:sz w:val="17"/>
          <w:szCs w:val="17"/>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55"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We are developing our current product candidates, and may continue to develop future product candidates, in combination with other therapies, which would expose us to additional risks.</w:t>
      </w:r>
    </w:p>
    <w:p>
      <w:pPr>
        <w:spacing w:after="0" w:line="6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We are developing our current product candidates in combination with one or more currently approved cancer therapies or therapies in development. Even if any of our current or future product candidates were to receive marketing approval or be commercialized for use in combination with other existing therapies, we would continue to be subject to the risks that the FDA or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8" w:name="page59"/>
    <w:bookmarkEnd w:id="58"/>
    <w:p>
      <w:pPr>
        <w:ind w:right="280"/>
        <w:spacing w:after="0" w:line="293" w:lineRule="auto"/>
        <w:rPr>
          <w:sz w:val="20"/>
          <w:szCs w:val="20"/>
          <w:color w:val="auto"/>
        </w:rPr>
      </w:pPr>
      <w:r>
        <w:rPr>
          <w:rFonts w:ascii="Arial" w:cs="Arial" w:eastAsia="Arial" w:hAnsi="Arial"/>
          <w:sz w:val="18"/>
          <w:szCs w:val="18"/>
          <w:color w:val="auto"/>
        </w:rPr>
        <w:t>could result in the need to identify other combination therapies for our product candidates or our own products being removed from the market or being less successful commercially.</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We may also evaluate our current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approval.</w:t>
      </w:r>
    </w:p>
    <w:p>
      <w:pPr>
        <w:spacing w:after="0" w:line="183"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If the FDA or comparable foreign regulatory authorities do not approve or withdraw their approval of these other therapies, or if safety, efficacy, commercial adoption, manufacturing or supply issues arise with the therapies we choose to evaluate in combination with any of our current or future product candidates, we may be unable to obtain approval of or successfully market any one or all of 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301" w:lineRule="exact"/>
        <w:rPr>
          <w:sz w:val="20"/>
          <w:szCs w:val="20"/>
          <w:color w:val="auto"/>
        </w:rPr>
      </w:pPr>
    </w:p>
    <w:p>
      <w:pPr>
        <w:ind w:right="180"/>
        <w:spacing w:after="0" w:line="324" w:lineRule="auto"/>
        <w:rPr>
          <w:sz w:val="20"/>
          <w:szCs w:val="20"/>
          <w:color w:val="auto"/>
        </w:rPr>
      </w:pPr>
      <w:r>
        <w:rPr>
          <w:rFonts w:ascii="Arial" w:cs="Arial" w:eastAsia="Arial" w:hAnsi="Arial"/>
          <w:sz w:val="17"/>
          <w:szCs w:val="17"/>
          <w:b w:val="1"/>
          <w:bCs w:val="1"/>
          <w:i w:val="1"/>
          <w:iCs w:val="1"/>
          <w:color w:val="auto"/>
        </w:rPr>
        <w:t>We have never commercialized a product candidate as a company before and currently lack the comprehensive, fully-staffed expertise, personnel and resources to successfully commercialize any products on our own or together with suitable collaborators.</w:t>
      </w:r>
    </w:p>
    <w:p>
      <w:pPr>
        <w:spacing w:after="0" w:line="39"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We have never commercialized a product candidate as a company. We may license certain rights with respect to our product candidates to collaborators, and rely on the assistance and guidance of those collaborators. For product candidates for which we retain commercialization rights and marketing approval, we will have to develop our own sales, marketing, market access, commercial planning and supply organization or outsource these activities to a third-party.</w:t>
      </w:r>
    </w:p>
    <w:p>
      <w:pPr>
        <w:spacing w:after="0" w:line="185" w:lineRule="exact"/>
        <w:rPr>
          <w:sz w:val="20"/>
          <w:szCs w:val="20"/>
          <w:color w:val="auto"/>
        </w:rPr>
      </w:pPr>
    </w:p>
    <w:p>
      <w:pPr>
        <w:ind w:right="100"/>
        <w:spacing w:after="0" w:line="305" w:lineRule="auto"/>
        <w:rPr>
          <w:sz w:val="20"/>
          <w:szCs w:val="20"/>
          <w:color w:val="auto"/>
        </w:rPr>
      </w:pPr>
      <w:r>
        <w:rPr>
          <w:rFonts w:ascii="Arial" w:cs="Arial" w:eastAsia="Arial" w:hAnsi="Arial"/>
          <w:sz w:val="16"/>
          <w:szCs w:val="16"/>
          <w:color w:val="auto"/>
        </w:rPr>
        <w:t>Factors that may affect our ability to commercialize our product candidates, if approved, on our own include recruiting and retaining adequate numbers of effective sales, marketing, and market access personnel, developing and producing adequate educational and marketing programs to increase public acceptance of our approved product candidates, ensuring regulatory compliance of our company, all communications and materials in the promotional domain,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35" w:lineRule="exact"/>
        <w:rPr>
          <w:sz w:val="20"/>
          <w:szCs w:val="20"/>
          <w:color w:val="auto"/>
        </w:rPr>
      </w:pPr>
    </w:p>
    <w:p>
      <w:pPr>
        <w:spacing w:after="0" w:line="319" w:lineRule="auto"/>
        <w:rPr>
          <w:sz w:val="20"/>
          <w:szCs w:val="20"/>
          <w:color w:val="auto"/>
        </w:rPr>
      </w:pPr>
      <w:r>
        <w:rPr>
          <w:rFonts w:ascii="Arial" w:cs="Arial" w:eastAsia="Arial" w:hAnsi="Arial"/>
          <w:sz w:val="16"/>
          <w:szCs w:val="16"/>
          <w:b w:val="1"/>
          <w:bCs w:val="1"/>
          <w:i w:val="1"/>
          <w:iCs w:val="1"/>
          <w:color w:val="auto"/>
        </w:rPr>
        <w:t>We rely, and intend to continue to rely, on third parties to conduct our clinical trials and perform some of our research and potential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48"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We do not have the ability to independently conduct all aspects of our clinical trials ourselves. As a result, we are dependent on third parties to conduct our ongoing and planned clinical trials of DAY101 and pimasertib, and any preclinical studies and clinical trials of any future product candidates. The timing of the initiation and completion of these trials will therefore be partially controlled by such third parties and may result in delays to our development programs. Specifically, we expect CROs, independent clinical investigators and consultants to play a significant role in the conduct of these trials and the subsequent collection and analysis of data. For example, in addition to the Phase 1 clinical trial run by Dana Farber Cancer Institute in collaboration with PNOC, the Children’s Oncology Group, a National Cancer Institute-supported clinical trials group and the world’s largest organization devoted exclusively to childhood and adolescent cancer research, is developing a group-wide clinical trial of DAY101 in relapsed Langerhans cell histiocytosis. However, these investigators,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are required to comply with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9" w:name="page60"/>
    <w:bookmarkEnd w:id="59"/>
    <w:p>
      <w:pPr>
        <w:spacing w:after="0" w:line="272" w:lineRule="auto"/>
        <w:rPr>
          <w:sz w:val="20"/>
          <w:szCs w:val="20"/>
          <w:color w:val="auto"/>
        </w:rPr>
      </w:pPr>
      <w:r>
        <w:rPr>
          <w:rFonts w:ascii="Arial" w:cs="Arial" w:eastAsia="Arial" w:hAnsi="Arial"/>
          <w:sz w:val="18"/>
          <w:szCs w:val="18"/>
          <w:color w:val="auto"/>
        </w:rPr>
        <w:t>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cGMP regulations. Our failure or the failure of third parties on whom we rely to comply with these regulations may require us to stop and/or repeat clinical trials, which would delay the marketing approval process.</w:t>
      </w:r>
    </w:p>
    <w:p>
      <w:pPr>
        <w:spacing w:after="0" w:line="191"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There is no guarantee that any such CROs, clinical trial investigators or other third parties on which we rely will devote adequate time and resources to our development activities or perform as contractually required.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176"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In addition, with respect to investigator-sponsored trials that may be conducted, we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investigator-sponsored trials. However, we would not have control over the timing and reporting of the data from investigator-sponsored trials, nor would we own the data from the investigator- 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The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Additionally, the FDA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may require us to obtain and submit additional preclinical, manufacturing, or clinical data.</w:t>
      </w:r>
    </w:p>
    <w:p>
      <w:pPr>
        <w:spacing w:after="0" w:line="171" w:lineRule="exact"/>
        <w:rPr>
          <w:sz w:val="20"/>
          <w:szCs w:val="20"/>
          <w:color w:val="auto"/>
        </w:rPr>
      </w:pPr>
    </w:p>
    <w:p>
      <w:pPr>
        <w:ind w:right="380"/>
        <w:spacing w:after="0" w:line="292" w:lineRule="auto"/>
        <w:rPr>
          <w:sz w:val="20"/>
          <w:szCs w:val="20"/>
          <w:color w:val="auto"/>
        </w:rPr>
      </w:pPr>
      <w:r>
        <w:rPr>
          <w:rFonts w:ascii="Arial" w:cs="Arial" w:eastAsia="Arial" w:hAnsi="Arial"/>
          <w:sz w:val="17"/>
          <w:szCs w:val="17"/>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DAY101, pimasertib or any future product candidates and will not be able to, or may be delayed in our efforts to, successfully commercialize our products.</w:t>
      </w:r>
    </w:p>
    <w:p>
      <w:pPr>
        <w:spacing w:after="0" w:line="282" w:lineRule="exact"/>
        <w:rPr>
          <w:sz w:val="20"/>
          <w:szCs w:val="20"/>
          <w:color w:val="auto"/>
        </w:rPr>
      </w:pPr>
    </w:p>
    <w:p>
      <w:pPr>
        <w:ind w:right="100"/>
        <w:spacing w:after="0" w:line="324" w:lineRule="auto"/>
        <w:rPr>
          <w:sz w:val="20"/>
          <w:szCs w:val="20"/>
          <w:color w:val="auto"/>
        </w:rPr>
      </w:pPr>
      <w:r>
        <w:rPr>
          <w:rFonts w:ascii="Arial" w:cs="Arial" w:eastAsia="Arial" w:hAnsi="Arial"/>
          <w:sz w:val="17"/>
          <w:szCs w:val="17"/>
          <w:b w:val="1"/>
          <w:bCs w:val="1"/>
          <w:i w:val="1"/>
          <w:iCs w:val="1"/>
          <w:color w:val="auto"/>
        </w:rPr>
        <w:t>The manufacture of our product candidates is complex. Our third-party manufacturers may encounter difficulties in production, which could delay or entirely halt their ability to supply our product candidates for clinical trials or, if approved, for commercial sale.</w:t>
      </w:r>
    </w:p>
    <w:p>
      <w:pPr>
        <w:spacing w:after="0" w:line="39" w:lineRule="exact"/>
        <w:rPr>
          <w:sz w:val="20"/>
          <w:szCs w:val="20"/>
          <w:color w:val="auto"/>
        </w:rPr>
      </w:pPr>
    </w:p>
    <w:p>
      <w:pPr>
        <w:ind w:right="80"/>
        <w:spacing w:after="0" w:line="299" w:lineRule="auto"/>
        <w:rPr>
          <w:sz w:val="20"/>
          <w:szCs w:val="20"/>
          <w:color w:val="auto"/>
        </w:rPr>
      </w:pPr>
      <w:r>
        <w:rPr>
          <w:rFonts w:ascii="Arial" w:cs="Arial" w:eastAsia="Arial" w:hAnsi="Arial"/>
          <w:sz w:val="16"/>
          <w:szCs w:val="16"/>
          <w:color w:val="auto"/>
        </w:rPr>
        <w:t>We do not have any manufacturing facilities, and we currently contract with certain third-party manufacturers in China. We rely, and expect to continue to rely, on third parties for the manufacture of our product candidates for clinical testing, product development purposes, to support regulatory application submissions, as well as for commercial manufacture if any of our product candidates obtain marketing approval.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 For example, the extent to which the COVID-19 pandemic impacts our ability to procure sufficient supplies for the development of our product candidates will depend on the severity and duration of the spread of the virus and the actions undertaken to contain COVID-19 or treat its effects. In addition, any disruption in production or inability of our manufacturers specifically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Any of these matters could materially adversely affect our business, financial condition and results of</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0" w:name="page61"/>
    <w:bookmarkEnd w:id="60"/>
    <w:p>
      <w:pPr>
        <w:ind w:right="380"/>
        <w:spacing w:after="0" w:line="293" w:lineRule="auto"/>
        <w:rPr>
          <w:sz w:val="20"/>
          <w:szCs w:val="20"/>
          <w:color w:val="auto"/>
        </w:rPr>
      </w:pPr>
      <w:r>
        <w:rPr>
          <w:rFonts w:ascii="Arial" w:cs="Arial" w:eastAsia="Arial" w:hAnsi="Arial"/>
          <w:sz w:val="18"/>
          <w:szCs w:val="18"/>
          <w:color w:val="auto"/>
        </w:rPr>
        <w:t>operations. In addition, disruptions in logistics routes and transportation capabilities could disrupt our supply chain. And, if we experience unexpected spikes in demand over time, we risk running out of our necessary supplies.</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We may be unable to establish any agreements with third-party manufacturers or do so on favorable terms. Even if we are able to establish agreements with third-party manufacturers, reliance on third-party manufacturers entails additional risks, including:</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reliance on the third-party for regulatory, compliance and quality assurance;</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reliance on the third-party for product development, analytical testing, and data generation to support regulatory applications;</w:t>
      </w:r>
    </w:p>
    <w:p>
      <w:pPr>
        <w:spacing w:after="0" w:line="131" w:lineRule="exact"/>
        <w:rPr>
          <w:sz w:val="20"/>
          <w:szCs w:val="20"/>
          <w:color w:val="auto"/>
        </w:rPr>
      </w:pPr>
    </w:p>
    <w:p>
      <w:pPr>
        <w:ind w:left="440" w:right="100"/>
        <w:spacing w:after="0" w:line="279" w:lineRule="auto"/>
        <w:rPr>
          <w:sz w:val="20"/>
          <w:szCs w:val="20"/>
          <w:color w:val="auto"/>
        </w:rPr>
      </w:pPr>
      <w:r>
        <w:rPr>
          <w:rFonts w:ascii="Arial" w:cs="Arial" w:eastAsia="Arial" w:hAnsi="Arial"/>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regulatory authority;</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possible breach of the manufacturing agreement by the third-party;</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possible misappropriation of our proprietary information, including our trade secrets and know-how;</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possible termination or nonrenewal of the agreement by the third-party at a time that is costly or inconvenient for us;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possible termination or nonrenewal of the agreement by the third-party at a time that is costly or inconvenient for us;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carrier disruptions or increased costs that are beyond our control; and</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failure to deliver our drugs under specified storage conditions and in a timely manner.</w:t>
      </w:r>
    </w:p>
    <w:p>
      <w:pPr>
        <w:spacing w:after="0" w:line="23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We have only limited supply arrangements in place with respect to our product candidates, and these arrangements do not extend to commercial supply. We acquire all key materials on a purchase order basis. As a result, we do not have long-term committed arrangements with respect to our product candidates and other materials. We will need to establish one or more agreements with third parties to develop and scale up the drug manufacturing process, conduct drug testing, and generate data to support a regulatory submission. If we obtain marketing approval for any of our product candidates, we will need to establish an agreement for commercial manufacture with a third-party. In addition, we are dependent on a sole supplier for certain components of our manufacturing process. Even if we are able to replace any raw materials or other materials with an alternative, such alternatives may cost more, result in lower yields or not be as suitable for our purposes. In addition, some of the materials that we use to manufacture our product candidates are complex materials, which may be more difficult to substitute. Therefore, any disruptions arising from our sole suppliers could result in delays and additional regulatory submissions.</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of the United States. If the FDA determines that our CMOs are not in compliance with FDA laws and regulations, including those governing cGMPs, the FDA may approve an NDA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182"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191" w:lineRule="exact"/>
        <w:rPr>
          <w:sz w:val="20"/>
          <w:szCs w:val="20"/>
          <w:color w:val="auto"/>
        </w:rPr>
      </w:pPr>
    </w:p>
    <w:p>
      <w:pPr>
        <w:ind w:right="380"/>
        <w:spacing w:after="0" w:line="279"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8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As we prepare for later-stage clinical trials and potential commercialization, we will need to take steps to increase the scale of production of our product candidates. We have not yet scaled up the manufacturing process for any of our product candidates. Third-party manufacturers may be unable to successfully increase the manufacturing capacity for any of our product candidates in a timely or cost-effective manner, or at all. In addition, quality issues may arise during scale-up or commercial activities. For example, if</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61" w:name="page62"/>
    <w:bookmarkEnd w:id="61"/>
    <w:p>
      <w:pPr>
        <w:ind w:right="380"/>
        <w:spacing w:after="0" w:line="359" w:lineRule="auto"/>
        <w:rPr>
          <w:sz w:val="20"/>
          <w:szCs w:val="20"/>
          <w:color w:val="auto"/>
        </w:rPr>
      </w:pPr>
      <w:r>
        <w:rPr>
          <w:rFonts w:ascii="Arial" w:cs="Arial" w:eastAsia="Arial" w:hAnsi="Arial"/>
          <w:sz w:val="16"/>
          <w:szCs w:val="16"/>
          <w:color w:val="auto"/>
        </w:rPr>
        <w:t>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25"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for clinical testing cannot perform as agreed, we may be required to replace such CMOs.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public health epidemics such as the recent COVID-19 pandemic. If our current third-party manufacturers cannot perform as agreed, we may be required to replace such manufacturers and we may be unable to replace them on a timely basis or at all.</w:t>
      </w:r>
    </w:p>
    <w:p>
      <w:pPr>
        <w:spacing w:after="0" w:line="196"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products may adversely affect our future profit margins and our ability to commercialize any products that obtain marketing approval on a timely and competitive basis.</w:t>
      </w:r>
    </w:p>
    <w:p>
      <w:pPr>
        <w:spacing w:after="0" w:line="278"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62" w:lineRule="exact"/>
        <w:rPr>
          <w:sz w:val="20"/>
          <w:szCs w:val="20"/>
          <w:color w:val="auto"/>
        </w:rPr>
      </w:pPr>
    </w:p>
    <w:p>
      <w:pPr>
        <w:spacing w:after="0" w:line="314" w:lineRule="auto"/>
        <w:rPr>
          <w:sz w:val="20"/>
          <w:szCs w:val="20"/>
          <w:color w:val="auto"/>
        </w:rPr>
      </w:pPr>
      <w:r>
        <w:rPr>
          <w:rFonts w:ascii="Arial" w:cs="Arial" w:eastAsia="Arial" w:hAnsi="Arial"/>
          <w:sz w:val="16"/>
          <w:szCs w:val="16"/>
          <w:color w:val="auto"/>
        </w:rPr>
        <w:t>We may seek third-party collaborators for the development and commercialization of some of our product candidates on a select basis. We have not entered into any collaborations to date.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spacing w:after="0" w:line="160"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If we do enter into any such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w:t>
      </w:r>
    </w:p>
    <w:p>
      <w:pPr>
        <w:spacing w:after="0" w:line="62" w:lineRule="exact"/>
        <w:rPr>
          <w:sz w:val="20"/>
          <w:szCs w:val="20"/>
          <w:color w:val="auto"/>
        </w:rPr>
      </w:pPr>
    </w:p>
    <w:p>
      <w:pPr>
        <w:ind w:left="440" w:right="340"/>
        <w:spacing w:after="0" w:line="293" w:lineRule="auto"/>
        <w:rPr>
          <w:sz w:val="20"/>
          <w:szCs w:val="20"/>
          <w:color w:val="auto"/>
        </w:rPr>
      </w:pPr>
      <w:r>
        <w:rPr>
          <w:rFonts w:ascii="Arial" w:cs="Arial" w:eastAsia="Arial" w:hAnsi="Arial"/>
          <w:sz w:val="18"/>
          <w:szCs w:val="18"/>
          <w:color w:val="auto"/>
        </w:rPr>
        <w:t>collaborators have significant discretion in determining the efforts and resources that they will apply to these collaborations and may not perform their obligations as expected;</w:t>
      </w:r>
    </w:p>
    <w:p>
      <w:pPr>
        <w:spacing w:after="0" w:line="62" w:lineRule="exact"/>
        <w:rPr>
          <w:sz w:val="20"/>
          <w:szCs w:val="20"/>
          <w:color w:val="auto"/>
        </w:rPr>
      </w:pPr>
    </w:p>
    <w:p>
      <w:pPr>
        <w:ind w:left="440" w:right="20"/>
        <w:spacing w:after="0" w:line="275" w:lineRule="auto"/>
        <w:rPr>
          <w:sz w:val="20"/>
          <w:szCs w:val="20"/>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77" w:lineRule="exact"/>
        <w:rPr>
          <w:sz w:val="20"/>
          <w:szCs w:val="20"/>
          <w:color w:val="auto"/>
        </w:rPr>
      </w:pPr>
    </w:p>
    <w:p>
      <w:pPr>
        <w:ind w:left="440" w:right="260"/>
        <w:spacing w:after="0" w:line="293" w:lineRule="auto"/>
        <w:rPr>
          <w:sz w:val="20"/>
          <w:szCs w:val="20"/>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2" w:lineRule="exact"/>
        <w:rPr>
          <w:sz w:val="20"/>
          <w:szCs w:val="20"/>
          <w:color w:val="auto"/>
        </w:rPr>
      </w:pPr>
    </w:p>
    <w:p>
      <w:pPr>
        <w:ind w:left="440" w:right="140"/>
        <w:spacing w:after="0" w:line="279" w:lineRule="auto"/>
        <w:rPr>
          <w:sz w:val="20"/>
          <w:szCs w:val="20"/>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75" w:lineRule="exact"/>
        <w:rPr>
          <w:sz w:val="20"/>
          <w:szCs w:val="20"/>
          <w:color w:val="auto"/>
        </w:rPr>
      </w:pPr>
    </w:p>
    <w:p>
      <w:pPr>
        <w:ind w:left="440" w:right="260"/>
        <w:spacing w:after="0" w:line="293" w:lineRule="auto"/>
        <w:rPr>
          <w:sz w:val="20"/>
          <w:szCs w:val="20"/>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62" w:lineRule="exact"/>
        <w:rPr>
          <w:sz w:val="20"/>
          <w:szCs w:val="20"/>
          <w:color w:val="auto"/>
        </w:rPr>
      </w:pPr>
    </w:p>
    <w:p>
      <w:pPr>
        <w:ind w:left="440" w:right="440"/>
        <w:spacing w:after="0" w:line="329" w:lineRule="auto"/>
        <w:rPr>
          <w:sz w:val="20"/>
          <w:szCs w:val="20"/>
          <w:color w:val="auto"/>
        </w:rPr>
      </w:pPr>
      <w:r>
        <w:rPr>
          <w:rFonts w:ascii="Arial" w:cs="Arial" w:eastAsia="Arial" w:hAnsi="Arial"/>
          <w:sz w:val="16"/>
          <w:szCs w:val="16"/>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40" w:lineRule="exact"/>
        <w:rPr>
          <w:sz w:val="20"/>
          <w:szCs w:val="20"/>
          <w:color w:val="auto"/>
        </w:rPr>
      </w:pPr>
    </w:p>
    <w:p>
      <w:pPr>
        <w:ind w:left="440" w:right="160"/>
        <w:spacing w:after="0" w:line="324" w:lineRule="auto"/>
        <w:rPr>
          <w:sz w:val="20"/>
          <w:szCs w:val="20"/>
          <w:color w:val="auto"/>
        </w:rPr>
      </w:pPr>
      <w:r>
        <w:rPr>
          <w:rFonts w:ascii="Arial" w:cs="Arial" w:eastAsia="Arial" w:hAnsi="Arial"/>
          <w:sz w:val="17"/>
          <w:szCs w:val="17"/>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39" w:lineRule="exact"/>
        <w:rPr>
          <w:sz w:val="20"/>
          <w:szCs w:val="20"/>
          <w:color w:val="auto"/>
        </w:rPr>
      </w:pPr>
    </w:p>
    <w:p>
      <w:pPr>
        <w:ind w:left="440" w:right="180"/>
        <w:spacing w:after="0" w:line="266" w:lineRule="auto"/>
        <w:rPr>
          <w:sz w:val="20"/>
          <w:szCs w:val="20"/>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2" w:name="page63"/>
    <w:bookmarkEnd w:id="62"/>
    <w:p>
      <w:pPr>
        <w:ind w:left="440"/>
        <w:spacing w:after="0"/>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 and</w:t>
      </w:r>
    </w:p>
    <w:p>
      <w:pPr>
        <w:spacing w:after="0" w:line="142" w:lineRule="exact"/>
        <w:rPr>
          <w:sz w:val="20"/>
          <w:szCs w:val="20"/>
          <w:color w:val="auto"/>
        </w:rPr>
      </w:pPr>
    </w:p>
    <w:p>
      <w:pPr>
        <w:ind w:left="440" w:right="340"/>
        <w:spacing w:after="0" w:line="293" w:lineRule="auto"/>
        <w:rPr>
          <w:sz w:val="20"/>
          <w:szCs w:val="20"/>
          <w:color w:val="auto"/>
        </w:rPr>
      </w:pPr>
      <w:r>
        <w:rPr>
          <w:rFonts w:ascii="Arial" w:cs="Arial" w:eastAsia="Arial" w:hAnsi="Arial"/>
          <w:sz w:val="18"/>
          <w:szCs w:val="18"/>
          <w:color w:val="auto"/>
        </w:rPr>
        <w:t>if a future collaborator of ours were to be involved in a business combination, the continued pursuit and emphasis on our product development or commercialization program could be delayed, diminished or terminated.</w:t>
      </w:r>
    </w:p>
    <w:p>
      <w:pPr>
        <w:spacing w:after="0" w:line="170"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color w:val="auto"/>
        </w:rPr>
        <w:t>If we establish one or more collaborations, all of the risks relating to product development, regulatory approval and commercialization described herein would also apply to the activities of any such future collaborators.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our operations</w:t>
      </w:r>
    </w:p>
    <w:p>
      <w:pPr>
        <w:spacing w:after="0" w:line="135"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b w:val="1"/>
          <w:bCs w:val="1"/>
          <w:i w:val="1"/>
          <w:iCs w:val="1"/>
          <w:color w:val="auto"/>
        </w:rPr>
        <w:t>Our future success depends on our ability to retain our executive officers and key employees and to attract, retain and motivate qualified personnel and manage our human capital.</w:t>
      </w:r>
    </w:p>
    <w:p>
      <w:pPr>
        <w:spacing w:after="0" w:line="62" w:lineRule="exact"/>
        <w:rPr>
          <w:sz w:val="20"/>
          <w:szCs w:val="20"/>
          <w:color w:val="auto"/>
        </w:rPr>
      </w:pPr>
    </w:p>
    <w:p>
      <w:pPr>
        <w:ind w:right="140"/>
        <w:spacing w:after="0" w:line="292" w:lineRule="auto"/>
        <w:rPr>
          <w:sz w:val="20"/>
          <w:szCs w:val="20"/>
          <w:color w:val="auto"/>
        </w:rPr>
      </w:pPr>
      <w:r>
        <w:rPr>
          <w:rFonts w:ascii="Arial" w:cs="Arial" w:eastAsia="Arial" w:hAnsi="Arial"/>
          <w:sz w:val="17"/>
          <w:szCs w:val="17"/>
          <w:color w:val="auto"/>
        </w:rPr>
        <w:t>Our ability to compete in the highly competitive biotechnology and pharmaceutical industries depends upon our ability to attract, motivate and retain highly qualified managerial, scientific and medical personnel. We are highly dependent on the development and management expertise of Jeremy Bender, Ph.D., M.B.A., our Chief Executive Officer, Samuel Blackman, M.D., Ph.D., our Chief Medical Officer, as well as the other members of our management team, other key employees and advisors. We currently do not maintain key person insurance on these individuals. Although we have entered into employment agreements with our executive officers, each of them may terminate their employment with us at any time.</w:t>
      </w:r>
    </w:p>
    <w:p>
      <w:pPr>
        <w:spacing w:after="0" w:line="174"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and management skills and experience.</w:t>
      </w:r>
    </w:p>
    <w:p>
      <w:pPr>
        <w:spacing w:after="0" w:line="183"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We conduct our operations in the greater San Francisco Bay Area, a region that is home to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In addition, as our business changes, key personnel may not want to work for a larger, commercial enterprise. Any or all of these competing factors may limit our ability to continue to attract and retain high quality personnel, which could negatively affect our ability to successfully develop and commercialize our product candidates and to grow our business and operations as currently contemplated.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131" w:lineRule="exact"/>
        <w:rPr>
          <w:sz w:val="20"/>
          <w:szCs w:val="20"/>
          <w:color w:val="auto"/>
        </w:rPr>
      </w:pPr>
    </w:p>
    <w:p>
      <w:pPr>
        <w:ind w:right="60"/>
        <w:spacing w:after="0" w:line="309" w:lineRule="auto"/>
        <w:rPr>
          <w:sz w:val="20"/>
          <w:szCs w:val="20"/>
          <w:color w:val="auto"/>
        </w:rPr>
      </w:pPr>
      <w:r>
        <w:rPr>
          <w:rFonts w:ascii="Arial" w:cs="Arial" w:eastAsia="Arial" w:hAnsi="Arial"/>
          <w:sz w:val="16"/>
          <w:szCs w:val="16"/>
          <w:color w:val="auto"/>
        </w:rPr>
        <w:t>We had 42 full-time employees as of September 30, 2021. We expect significant growth in the number of our employees and the scope of our operations, particularly in the areas of clinical development, clinical operations, manufacturing,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164"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DAY101, pimasertib,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DAY101, pimasertib, or any future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18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If we are not able to effectively manage growth and expand our organization, we may not be able to successfully implement the tasks necessary to further develop and commercialize DAY101, pimasertib, our other pipeline product candidates or any future product candidates and, accordingly, may not achieve our research, development and commercialization goals.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3" w:name="page64"/>
    <w:bookmarkEnd w:id="63"/>
    <w:p>
      <w:pPr>
        <w:ind w:right="300"/>
        <w:spacing w:after="0" w:line="324" w:lineRule="auto"/>
        <w:rPr>
          <w:sz w:val="20"/>
          <w:szCs w:val="20"/>
          <w:color w:val="auto"/>
        </w:rPr>
      </w:pPr>
      <w:r>
        <w:rPr>
          <w:rFonts w:ascii="Arial" w:cs="Arial" w:eastAsia="Arial" w:hAnsi="Arial"/>
          <w:sz w:val="17"/>
          <w:szCs w:val="17"/>
          <w:b w:val="1"/>
          <w:bCs w:val="1"/>
          <w:i w:val="1"/>
          <w:iCs w:val="1"/>
          <w:color w:val="auto"/>
        </w:rPr>
        <w:t>Our employees, clinical trial investigators, CROs, CMOs, consultants, vendors and any potential commercial partners may engage in misconduct or other improper activities, including non-compliance with regulatory standards and requirements and insider trading.</w:t>
      </w:r>
    </w:p>
    <w:p>
      <w:pPr>
        <w:spacing w:after="0" w:line="39"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We are exposed to the risk of fraud or other misconduct by our employees, clinical trial investigators, CROs, CMOs, consultants, vendors and any potential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w:t>
      </w:r>
    </w:p>
    <w:p>
      <w:pPr>
        <w:spacing w:after="0" w:line="164"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spacing w:after="0" w:line="302" w:lineRule="exact"/>
        <w:rPr>
          <w:sz w:val="20"/>
          <w:szCs w:val="20"/>
          <w:color w:val="auto"/>
        </w:rPr>
      </w:pPr>
    </w:p>
    <w:p>
      <w:pPr>
        <w:ind w:right="180"/>
        <w:spacing w:after="0" w:line="346" w:lineRule="auto"/>
        <w:rPr>
          <w:sz w:val="20"/>
          <w:szCs w:val="20"/>
          <w:color w:val="auto"/>
        </w:rPr>
      </w:pPr>
      <w:r>
        <w:rPr>
          <w:rFonts w:ascii="Arial" w:cs="Arial" w:eastAsia="Arial" w:hAnsi="Arial"/>
          <w:sz w:val="15"/>
          <w:szCs w:val="15"/>
          <w:b w:val="1"/>
          <w:bCs w:val="1"/>
          <w:i w:val="1"/>
          <w:iCs w:val="1"/>
          <w:color w:val="auto"/>
        </w:rPr>
        <w:t>If our security measures are compromised, or our information technology systems or those of our CROs, CMOs, vendors, contractors, consultants, or other third-party partners fail or suffer security breaches, cyber-attacks, loss or leakage of data and other disruptions, this could result in a material disruption of our development programs, compromise sensitive information related to our business or other personal information or prevent us from accessing critical information, potentially exposing us to liability, harm our reputation, or otherwise adversely affecting our business.</w:t>
      </w:r>
    </w:p>
    <w:p>
      <w:pPr>
        <w:spacing w:after="0" w:line="3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the ordinary course of business, we may collect, process, store, and transmit proprietary, confidential, and sensitive information (including but not limited to intellectual property, trade secrets, proprietary business information, personal information, and protected health information, or PHI). It is critical that we do so in a secure manner to maintain the confidentiality, integrity, and availability of such information. We depend on information technology and telecommunications systems for significant elements of our operations and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third-parties with whom we work, as we rely on a number of third parties to operate our critical business systems and process confidential, proprietary, and sensitive information.</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6"/>
          <w:szCs w:val="16"/>
          <w:color w:val="auto"/>
        </w:rPr>
        <w:t>Despite the implementation of security measures, given the size, complexity, and increasing amounts of proprietary, sensitive, and confidential information maintained by our internal information technology systems and those of our CROs, CMOs, vendors, contractors, consultants, and other third-party partners are potentially vulnerable to breakdown, service interruptions, system malfunction, accidents by our personnel or third-party partners, natural disasters, terrorism, global pandemics, war and telecommunication and electrical failures, as well as security breaches from inadvertent or intentional actions by our personnel or those of our CROs, CMOs, vendors, contractors, consultants, business partners and/or other third-party partners, or from cyber-attacks by malicious third parties (including through viruses, worms, malicious code, malware, ransomware, denial-of-service attacks, social engineering and other means to affect service reliability and the confidentiality, integrity and availability of information), which may compromise our system infrastructure, or that of our CROs, CMOs, vendors, contractors, consultants, and other third-party partners, or lead to data leakage.</w:t>
      </w:r>
    </w:p>
    <w:p>
      <w:pPr>
        <w:spacing w:after="0" w:line="163"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The risk of a security breach or disruption, particularly through cyber-attacks or cyber intrusion, including by computer hackers, viruses, foreign governments, and cyber terrorists, has generally increased as the number, intensity and sophistication of attempted attacks and intrusions from around the world have increased. The COVID-19 pandemic is generally increasing the attack surface available for exploitation,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recent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4" w:name="page65"/>
    <w:bookmarkEnd w:id="64"/>
    <w:p>
      <w:pPr>
        <w:ind w:right="120"/>
        <w:spacing w:after="0" w:line="306" w:lineRule="auto"/>
        <w:rPr>
          <w:sz w:val="20"/>
          <w:szCs w:val="20"/>
          <w:color w:val="auto"/>
        </w:rPr>
      </w:pPr>
      <w:r>
        <w:rPr>
          <w:rFonts w:ascii="Arial" w:cs="Arial" w:eastAsia="Arial" w:hAnsi="Arial"/>
          <w:sz w:val="16"/>
          <w:szCs w:val="16"/>
          <w:color w:val="auto"/>
        </w:rPr>
        <w:t>COVID-19 pandemic to their advantage.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CROs, CMOs, vendors, contractors, consultants, and other third-party partners, or inappropriate disclosure of confidential, sensitive, or proprietary information, we could incur liability and reputational damage and the further development and commercialization of DAY101, pimasertib, or any future product candidates could be delayed. Any breach, loss or compromise of proprietary, sensitive, or confidential information may also subject us to civil fines and penalties, including under HIPAA, and other relevant state and federal privacy laws in the United States. For example, the California Consumer Privacy Act of 2018, or the CCPA, imposes a private right of action for security breaches that could lead to some form of remedy including regulatory scrutiny, fines, private right of action settlements, and other consequences.</w:t>
      </w:r>
    </w:p>
    <w:p>
      <w:pPr>
        <w:spacing w:after="0" w:line="165" w:lineRule="exact"/>
        <w:rPr>
          <w:sz w:val="20"/>
          <w:szCs w:val="20"/>
          <w:color w:val="auto"/>
        </w:rPr>
      </w:pPr>
    </w:p>
    <w:p>
      <w:pPr>
        <w:jc w:val="both"/>
        <w:ind w:right="140"/>
        <w:spacing w:after="0" w:line="319" w:lineRule="auto"/>
        <w:rPr>
          <w:sz w:val="20"/>
          <w:szCs w:val="20"/>
          <w:color w:val="auto"/>
        </w:rPr>
      </w:pPr>
      <w:r>
        <w:rPr>
          <w:rFonts w:ascii="Arial" w:cs="Arial" w:eastAsia="Arial" w:hAnsi="Arial"/>
          <w:sz w:val="16"/>
          <w:szCs w:val="16"/>
          <w:color w:val="auto"/>
        </w:rPr>
        <w:t>The costs related to significant security breaches or disruptions could be material and exceed the limits of the cybersecurity insurance we maintain against such risks. If the information technology systems of our CROs, CMOs, vendors, contractors, consultants, and other third-party partners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56"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We cannot assure you that our data protection efforts and our investment in information technology will prevent significant breakdowns, data leakages, breaches in our systems, or those of our CROs, CMOs, vendors, contractors, consultants, and other third-party partners,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our product candidates could be delayed. In addition, the loss of clinical trial data for DAY101, pimasertib, or any other product candidates could result in delays in our marketing approval efforts and significantly increase our costs to recover or reproduce the data. Furthermore, significant disruptions of our internal information technology systems or those of our third-party CROs, CMOs,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personnel,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66"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auto"/>
        </w:rPr>
        <w:t>We are required to comply with laws, rules and regulations that require us to maintain the security of personal information. We may have contractual and other legal obligations to notify relevant stakeholders of security breaches. Failure to prevent or mitigate cyber-attacks could result in the unauthorized access to sensitive, confidential, or proprietary information. Most jurisdictions have enacted laws requiring companies to notify individuals, regulatory authorities, and others of security breaches involving certain types of data. In addition, our agreements with CROs, CMOs, vendors, contractors, consultants, and other third-party partners may require us to notify them in the event of a security breach. Such mandatory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w:t>
      </w:r>
    </w:p>
    <w:p>
      <w:pPr>
        <w:spacing w:after="0" w:line="164" w:lineRule="exact"/>
        <w:rPr>
          <w:sz w:val="20"/>
          <w:szCs w:val="20"/>
          <w:color w:val="auto"/>
        </w:rPr>
      </w:pPr>
    </w:p>
    <w:p>
      <w:pPr>
        <w:ind w:right="260"/>
        <w:spacing w:after="0" w:line="272" w:lineRule="auto"/>
        <w:rPr>
          <w:sz w:val="20"/>
          <w:szCs w:val="20"/>
          <w:color w:val="auto"/>
        </w:rPr>
      </w:pPr>
      <w:r>
        <w:rPr>
          <w:rFonts w:ascii="Arial" w:cs="Arial" w:eastAsia="Arial" w:hAnsi="Arial"/>
          <w:sz w:val="18"/>
          <w:szCs w:val="18"/>
          <w:color w:val="auto"/>
        </w:rPr>
        <w:t>The costs to respond to a security breach and/or to mitigate any security vulnerabilities that may be identified could be significant, our efforts to address these issues may not be successful, and these issues could result in interruptions, delays, negative publicity, loss of customer trust, diminished use of our products as well as other harms to our business and our competitive position. Remediation of any potential security breach may involve significant time, resources, and expenses. Any security breach may result in regulatory inquiries, litigation or other investigations, and can affect our financial and operational condition.</w:t>
      </w:r>
    </w:p>
    <w:p>
      <w:pPr>
        <w:spacing w:after="0" w:line="191"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A security breach may cause us to breach customer contracts. Our agreements with certain customers may require us to use industry-standard or reasonable measures to safeguard personal information. We also may be subject to laws that require us to use industry-standard or reasonable security measures to safeguard personal information. A security breach could lead to claims by our customers or other relevant stakeholders that we have failed to comply with such legal or contractual obligations. In addition, our inability to comply with data privacy obligations in our customer contracts or our inability to flow down such obligations from our customers to our CROs, CMOs, vendors, contractors, consultants, and other third-party partners may cause us to breach our customer contracts. As a result, we could be subject to legal action or our customers could end their relationships with us. There can be no assurance that the limitations of liability in our contracts would be enforceable or adequate or would otherwise protect us from liabilities or damages.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5" w:name="page66"/>
    <w:bookmarkEnd w:id="65"/>
    <w:p>
      <w:pPr>
        <w:ind w:right="280"/>
        <w:spacing w:after="0" w:line="279" w:lineRule="auto"/>
        <w:rPr>
          <w:sz w:val="20"/>
          <w:szCs w:val="20"/>
          <w:color w:val="auto"/>
        </w:rPr>
      </w:pPr>
      <w:r>
        <w:rPr>
          <w:rFonts w:ascii="Arial" w:cs="Arial" w:eastAsia="Arial" w:hAnsi="Arial"/>
          <w:sz w:val="18"/>
          <w:szCs w:val="18"/>
          <w:color w:val="auto"/>
        </w:rPr>
        <w:t>Litigation resulting from security breaches may adversely affect our business. Unauthorized access to our systems, networks, or physical facilities could result in litigation with our customers or other relevant stakeholders. These proceedings could force us to spend money in defense or settlement, divert management’s time and attention, increase our costs of doing business, or adversely affect our reputation.</w:t>
      </w:r>
    </w:p>
    <w:p>
      <w:pPr>
        <w:spacing w:after="0" w:line="18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may not have adequate insurance coverage for security incidents or breaches, including fines, judgments, settlements, penalties, costs, attorney fees and other impacts that arise out of incidents or breaches. The successful assertion of one or more large claims against us that exceeds available insurance coverage, or results in changes to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grow our customer base, and process, store, and transmit increasingly large amounts of proprietary and sensitive data.</w:t>
      </w:r>
    </w:p>
    <w:p>
      <w:pPr>
        <w:spacing w:after="0" w:line="271" w:lineRule="exact"/>
        <w:rPr>
          <w:sz w:val="20"/>
          <w:szCs w:val="20"/>
          <w:color w:val="auto"/>
        </w:rPr>
      </w:pPr>
    </w:p>
    <w:p>
      <w:pPr>
        <w:ind w:right="260"/>
        <w:spacing w:after="0" w:line="359" w:lineRule="auto"/>
        <w:rPr>
          <w:sz w:val="20"/>
          <w:szCs w:val="20"/>
          <w:color w:val="auto"/>
        </w:rPr>
      </w:pPr>
      <w:r>
        <w:rPr>
          <w:rFonts w:ascii="Arial" w:cs="Arial" w:eastAsia="Arial" w:hAnsi="Arial"/>
          <w:sz w:val="15"/>
          <w:szCs w:val="15"/>
          <w:b w:val="1"/>
          <w:bCs w:val="1"/>
          <w:i w:val="1"/>
          <w:iCs w:val="1"/>
          <w:color w:val="auto"/>
        </w:rPr>
        <w:t>We are subject to stringent and changing laws, regulations and standards, and contractual obligations related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spacing w:after="0" w:line="22"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We and third parties who we work with are or may become subject to numerous domestic and foreign data protection laws and regulations (i.e., laws and regulations that address privacy and data security), the scope of which is changing, subject to differing applications and interpretations, and may be inconsistent among countries, or conflict with other rules. We are or may become subject to the terms of contractual obligations related to privacy, data protection, and data security. The actual or perceived failure by us or related third parties to comply with such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w:t>
      </w:r>
    </w:p>
    <w:p>
      <w:pPr>
        <w:spacing w:after="0" w:line="163"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w:t>
      </w:r>
    </w:p>
    <w:p>
      <w:pPr>
        <w:spacing w:after="0" w:line="19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state of California recently enacted the CCPA, which creates new individual privacy rights for California consumers and places increased privacy and data security obligations on entities handling personal information of consumers or households. The CCPA went into effect on January 1, 2020 and may impact our business activities and exemplifies the vulnerability of our business to the evolving regulatory environment related to personal information and protected health information. Additionally, although not effective until January 1, 2023, the California Privacy Rights Act, or the CPRA, which expands upon the CCPA, was passed in the election on November 3, 2020. The CCPA gives (and the CPRA will give)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The CCPA and CPRA provide for civil penalties and a private right of action for data breaches that is expected to increase data breach litigation. The CCPA and CPRA may increase our compliance costs and potential liability. Additionally, the CCPA has prompted a number of proposals for new federal and state- level privacy legislation, such as in Virginia, Washington, Illinois, and Nebraska, that, could increase our potential liability, increase our compliance costs, and adversely affect our business.</w:t>
      </w:r>
    </w:p>
    <w:p>
      <w:pPr>
        <w:spacing w:after="0" w:line="165"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color w:val="auto"/>
        </w:rPr>
        <w:t>Foreign data protection laws, including Regulation 2016/679, known as the General Data Protection Regulation, or GDPR, may apply to health-related and other personal information obtained outside of the United States. The GDPR imposes strict obligations on businesses, including requiring changes to informed consent practices and more detailed notices for clinical trial subjects and investigators, requiring limitations on data processing, establishing a legal basis for processing personal information, notification of data processing obligations, notification of security incidents to appropriate data protection authorities or data subjects, protecting the security and confidentiality of the personal information, and establishing means for data subjects to exercise rights in relation to their personal information. The GDPR subjects noncompliant companies to fines of up to the greater of 20 million Euros or 4% of their global annual revenues, potential bans on processing of personal information (including clinical trials), and private litigation. To the extent applicable, the GDPR will increase our responsibility and liability in relation to personal information that we process, and we may be required to put in place additional mechanisms and expend additional time and resources to ensure compliance with the EU data protection rules. Additionally, the United Kingdom, or UK, implemented the Data Protection Act effective in May 2018 and statutorily amended in 2019, that substantially implements the GDPR and contains provisions, including UK-specific derogations, for</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6" w:name="page67"/>
    <w:bookmarkEnd w:id="66"/>
    <w:p>
      <w:pPr>
        <w:spacing w:after="0" w:line="279" w:lineRule="auto"/>
        <w:rPr>
          <w:sz w:val="20"/>
          <w:szCs w:val="20"/>
          <w:color w:val="auto"/>
        </w:rPr>
      </w:pPr>
      <w:r>
        <w:rPr>
          <w:rFonts w:ascii="Arial" w:cs="Arial" w:eastAsia="Arial" w:hAnsi="Arial"/>
          <w:sz w:val="18"/>
          <w:szCs w:val="18"/>
          <w:color w:val="auto"/>
        </w:rPr>
        <w:t>how GDPR is applied in the UK. Changes in these legislations may add additional complexity, variation in requirements, restrictions and potential legal risk, require additional investment in resources for compliance programs, could impact strategies and availability of previously useful data, and could result in increased compliance costs and/or changes in business practices and policies.</w:t>
      </w:r>
    </w:p>
    <w:p>
      <w:pPr>
        <w:spacing w:after="0" w:line="183"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In addition, European data protection laws prohibit the transfer of personal information to countries outside of the European Economic Area, or EEA, United Kingdom, and Switzerland, such as the United States, which are not considered by the European Commission to provide an adequate level of data protection. Switzerland has adopted similar restrictions. Although there are legal mechanisms to allow for the transfer of personal information from the EEA, United Kingdom, and Switzerland to the United States and other countries, they are or may become subject to legal challenges that, if successful, could invalidate these mechanisms, restrict our ability to process personal information of Europeans outside of Europe and adversely impact our business. For example, in July 2020, the European Courts of Justice invalidated the EU-U.S. Privacy Shield, which enabled the transfer of personal information from EU to the U.S. for companies that had self-certified to the Privacy Shield on the grounds that the EU-U.S. Privacy Shield failed to offer adequate protections to EU personal information transferred to the United States. While the Court of Justice did not invalidate the use of other data transfer mechanisms such as the Standard Contractual Clauses, the decision has led to some uncertainty regarding the use of such mechanisms for data transfers to the United States, and the court made clear that reliance on Standard Contractual Clauses alone may not necessarily be sufficient in all circumstances. The use of Standard Contractual Clauses for the transfer of personal information specifically to the United States also remains under review by a number of European data protection supervisory authorities. For example, German and Irish supervisory authorities have indicated that the Standard Contractual Clauses alone provide inadequate protection for EU-U.S. data transfers. Use of the data transfer mechanisms must now be assessed on a case-by-case basis taking into account the legal regime applicable in the destination country, in particular applicable surveillance laws and rights of individuals. The European Data Protection Board, or the EDPB, issued additional guidance regarding the Court of Justice’s decision on November 11, 2020 which imposes higher burdens on the use of data transfer mechanisms, such as the Standard Contractual Clauses, for cross-border data transfers.</w:t>
      </w:r>
    </w:p>
    <w:p>
      <w:pPr>
        <w:spacing w:after="0" w:line="171"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To comply with this guidance, we may need to implement additional safeguards to further enhance the security of data transferred out of the Europe, which could increase our compliance costs, expose us to further regulatory scrutiny and liability, and adversely affect our business. Further, the European Commission published new versions of the Standard Contractual Clauses for comment. While the comment period ended in December 2020, the European Commission is expected to finalize and implement the new Standard Contractual Clauses in early 2021. Additionally, other countries (e.g., Australia and Japan) have adopted certain legal requirements for cross-border transfers of personal information. These obligations may be interpreted and applied in a manner that is inconsistent from one jurisdiction to another and may conflict with other requirements or our practices. Further, since the transition period for Brexit ended December 31, 2020, there remains some uncertainty regarding cross-border data transfers from Europe to the United Kingdom. The EU issued a draft adequacy decision for personal information transfers from European countries to the U.K. on February 19, 2021. If this adequacy decision is not passed by the EU, it would require that companies implement protection measures such as the Standard Contractual Clauses for data transfers between Europe and the U.K. Some countries also are considering or have passed legislation requiring local storage and processing of data, or similar requirements, which could increase the cost and complexity of our business operations. To comply these requirements and as supervisory authorities continue to issue further guidance, we may need to implement additional safeguards to further enhance the security of data transferred out of Europe, we could suffer additional costs, complaints, or regulatory investigations or fines, and if we are otherwise unable to transfer personal information between and among countries and regions in which we operate, it could affect the manner in which we provide our products and services, the geographical location or segregation of our relevant systems and operations, and could adversely affect our financial results.</w:t>
      </w:r>
    </w:p>
    <w:p>
      <w:pPr>
        <w:spacing w:after="0" w:line="174"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auto"/>
        </w:rPr>
        <w:t>Other countries outside of Europe have enacted or are considering enacting similar cross-border data transfer restrictions and laws requiring local data residency and restricting cross-border data transfer, which could increase the cost and complexity of delivering our services and operating our business. For example, Brazil recently enacted the General Data Protection Law (Lei Geral de Proteção de Dados Pessoais or LGPD) (Law No. 13,709/2018), which broadly regulates the processing of personal information and imposes compliance obligations and penalties comparable to those of the GDPR.</w:t>
      </w:r>
    </w:p>
    <w:p>
      <w:pPr>
        <w:spacing w:after="0" w:line="156"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color w:val="auto"/>
        </w:rPr>
        <w:t>We are or may become subject to the terms of external and internal privacy and security policies, representations, certifications, publications related to privacy and security.</w:t>
      </w:r>
    </w:p>
    <w:p>
      <w:pPr>
        <w:spacing w:after="0" w:line="170"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color w:val="auto"/>
        </w:rPr>
        <w:t>Compliance with domestic and foreign privacy, data security, and data protection laws, regulations, and contractual and other obligations could require us to take on more onerous obligations in our contracts, restrict our ability to collect, use and disclose data, or in some cases, impact our ability to operate in certain jurisdictions. The actual or perceived failure to comply with domestic and foreign privacy, data privacy, and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privacy, data security, and data protection laws, or</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7" w:name="page68"/>
    <w:bookmarkEnd w:id="67"/>
    <w:p>
      <w:pPr>
        <w:ind w:right="640"/>
        <w:spacing w:after="0" w:line="293" w:lineRule="auto"/>
        <w:rPr>
          <w:sz w:val="20"/>
          <w:szCs w:val="20"/>
          <w:color w:val="auto"/>
        </w:rPr>
      </w:pPr>
      <w:r>
        <w:rPr>
          <w:rFonts w:ascii="Arial" w:cs="Arial" w:eastAsia="Arial" w:hAnsi="Arial"/>
          <w:sz w:val="18"/>
          <w:szCs w:val="18"/>
          <w:color w:val="auto"/>
        </w:rPr>
        <w:t>breached our contractual obligations, even if we are not found liable, could be expensive and time consuming to defend and could result in adverse publicity that could harm our business.</w:t>
      </w:r>
    </w:p>
    <w:p>
      <w:pPr>
        <w:spacing w:after="0" w:line="278"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62"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Our current operations are primarily located in San Francisco, California. Any unplanned event, such as earthquake, flood, fire, explosion, extreme weather conditions, medical epidemic or pandemic,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63"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62"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or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31"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We have incurred substantial losses during our history and do not expect to become profitable in the near future, and we may never achieve profitability. Unused losses incurred in taxable years beginning on or prior to December 31, 2017, will carry forward to offset future taxable income, if any, until such unused losses expire. Under the Tax Cuts and Jobs Act, as modified by the CARES Act, unused U.S. federal net operating losses generated in tax years beginning after December 31, 2017, will not expire and may be carried forward indefinitely but the deductibility of such federal net operating losses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or the Code, if we undergo, or have undergone, an “ownership change,” generally defined as a greater than 50 percentage point change (by value) in our equity ownership by certain stockholders over a three-year period. We have not completed a Section 382 study to assess whether an ownership change has occurred or whether there have been multiple ownership changes since our formation due to the complexity and cost associated with such a study and the fact that there may be additional ownership changes in the future. As a result, our net operating loss carryforwards generated in taxable years beginning on or before December 31, 2017, may expire prior to being used, and the deductibility of our net operating loss carryforwards generated in taxable years beginning after December 31, 2017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8" w:name="page69"/>
    <w:bookmarkEnd w:id="68"/>
    <w:p>
      <w:pPr>
        <w:ind w:right="460"/>
        <w:spacing w:after="0" w:line="293" w:lineRule="auto"/>
        <w:rPr>
          <w:sz w:val="20"/>
          <w:szCs w:val="20"/>
          <w:color w:val="auto"/>
        </w:rPr>
      </w:pPr>
      <w:r>
        <w:rPr>
          <w:rFonts w:ascii="Arial" w:cs="Arial" w:eastAsia="Arial" w:hAnsi="Arial"/>
          <w:sz w:val="18"/>
          <w:szCs w:val="18"/>
          <w:color w:val="auto"/>
        </w:rPr>
        <w:t>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278"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b w:val="1"/>
          <w:bCs w:val="1"/>
          <w:i w:val="1"/>
          <w:iCs w:val="1"/>
          <w:color w:val="auto"/>
        </w:rPr>
        <w:t>We have engaged, and will continue to engage, in strategic transactions that could impact our liquidity, increase our expenses and present significant distractions to our management.</w:t>
      </w:r>
    </w:p>
    <w:p>
      <w:pPr>
        <w:spacing w:after="0" w:line="62"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We have engaged, for instance with affiliates of Takeda Pharmaceutical Company Limited, Viracta Therapeutics, Inc. and Merck KGaA, Darmstadt, Germany, and from time to time, we may consider further strategic transactions, such as acquisitions of companies, businesses or assets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exposure to unknown liabilities;</w:t>
      </w:r>
    </w:p>
    <w:p>
      <w:pPr>
        <w:spacing w:after="0" w:line="131" w:lineRule="exact"/>
        <w:rPr>
          <w:sz w:val="20"/>
          <w:szCs w:val="20"/>
          <w:color w:val="auto"/>
        </w:rPr>
      </w:pPr>
    </w:p>
    <w:p>
      <w:pPr>
        <w:ind w:left="440" w:right="580"/>
        <w:spacing w:after="0" w:line="293" w:lineRule="auto"/>
        <w:rPr>
          <w:sz w:val="20"/>
          <w:szCs w:val="20"/>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incurrence of substantial debt or dilutive issuances of equity securities to pay for acquisitions;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higher than expected acquisition and integration costs;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write-downs of assets or goodwill or impairment charges;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increased amortization expenses;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difficulty and cost in combining the operations, systems and personnel of any acquired businesses with our operations, systems and personnel;</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impairment of relationships with key suppliers or customers of any acquired businesses due to changes in management and ownership; and</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inability to retain key employees of any acquired businesses.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3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i w:val="1"/>
          <w:iCs w:val="1"/>
          <w:color w:val="auto"/>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p>
    <w:p>
      <w:pPr>
        <w:spacing w:after="0" w:line="77"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United States and other countries for our current product candidates and future products, as well as our core technologies, including our manufacturing know-how. We strive to protect and enhance the proprietary technology, inventions and improvements that are commercially important to the development of our business by seeking, maintaining and defending our intellectual property, whether developed internally or licensed from third parties. We also rely on trade secrets, know-how, continuing technological innovation and in-licensing opportunities to develop, strengthen and maintain our proprietary position in the field of cancer drug development. Additionally, we intend to rely on regulatory protection afforded through rare drug designations, data exclusivity and market exclusivity as well as patent term extensions, where available.</w:t>
      </w:r>
    </w:p>
    <w:p>
      <w:pPr>
        <w:spacing w:after="0" w:line="181"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 or licensed patent applications will mature into issued patents, and cannot provide any assurances that any such patents, if issued, will include claims with a scope sufficient to protect our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twenty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69" w:name="page70"/>
    <w:bookmarkEnd w:id="69"/>
    <w:p>
      <w:pPr>
        <w:ind w:right="280"/>
        <w:spacing w:after="0" w:line="290" w:lineRule="auto"/>
        <w:rPr>
          <w:sz w:val="20"/>
          <w:szCs w:val="20"/>
          <w:color w:val="auto"/>
        </w:rPr>
      </w:pPr>
      <w:r>
        <w:rPr>
          <w:rFonts w:ascii="Arial" w:cs="Arial" w:eastAsia="Arial" w:hAnsi="Arial"/>
          <w:sz w:val="17"/>
          <w:szCs w:val="17"/>
          <w:color w:val="auto"/>
        </w:rPr>
        <w:t>Moreover, our exclusive licenses may be subject to field restrictions and retained rights, which may adversely impact our competitive position. See “Business—License agreement.” Our licensed patent portfolio may not provide us with adequate and continuing patent protection sufficient to exclude others from commercializing products similar to our product candidates, including generic versions of such products. In addition, the patent portfolio licensed to us is, or may be, licensed to third parties outside our licensed field, and such third parties may have certain enforcement rights. Thus, patents licensed to us could be put at risk of being invalidated or interpreted narrowly in litigation filed by or against another licensee or in administrative proceedings brought by or against another licensee in response to such litigation or for other reasons.</w:t>
      </w:r>
    </w:p>
    <w:p>
      <w:pPr>
        <w:spacing w:after="0" w:line="17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Publications of discoveries in the scientific literature often lag behind the actual discoveries, and patent applications in the United States and in 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they were the first to file for patent protection of such inventions. Further, we cannot assure you that all of the potentially relevant prior art relating to our patents and patent applications has been found. If such prior art exists, it can invalidate a patent or prevent a patent from issuing from a pending patent application. As a result, the issuance, scope, validity and commercial value of our patent rights cannot be predicted with any certainty. Further,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82"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In addition, the patent prosecution process is expensive and time-consuming, and we or our licensors may not be able to file and prosecute all necessary or desirable patent applications at a reasonable cost or in a timely manner. In addition, the scope of the claims initially submitted for examination may be significantly narrowed by the time they issue, if at all. It is also possible that we or our licensors will fail to identify patentable aspects of our research and development output before it is too late to obtain patent protection. We cannot provide any assurances that we will be able to pursue or obtain additional patent protection based on our research and development efforts, or that any such patents or other intellectual property we generate will provide any competitive advantage. Moreover, we do not have the right to control the preparation, filing and prosecution of patent applications, or to control the maintenance of the patents, covering technology that we license from third parties. Therefore, these patents and applications may not be filed, prosecuted or maintained in a manner consistent with the best interests of our business.</w:t>
      </w:r>
    </w:p>
    <w:p>
      <w:pPr>
        <w:spacing w:after="0" w:line="182"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Even if we acquire patent protection that we expect should enable us to maintain competitive advantage, the issuance of a patent is not conclusive as to its inventorship, scope, validity or enforceability. Third parties, including competitors, may challenge the inventorship, scope, validity, or enforceability thereof, which may result in such patents being narrowed, invalidated or held unenforceable. If issued, our patents may be challenged in patent offices in the United States and abroad, or in court. For example, we may be subject to a third-party submission of prior art to the U.S. Patent and Trademark Office, or USPTO, challenging the validity of one or more claims of our patents, once issued. Such submissions may also be made prior to a patent’s issuance, precluding the granting of a patent based on one of our patent applications. We may become involved in opposition, reexamination, inter partes review, post-grant review, derivation, interference, or similar proceedings in the United States or abroad challenging the claims of our patents, once issued. Furthermore, patents may be challenged in court, once issued. Competitors may claim that they invented the inventions claimed in such patents or patent applications prior to the inventors of our patents, or may have filed patent applications before the inventors of our patents did. A competitor may also claim that we are infringing its patents and that we therefore cannot practice our technology as claimed under our patent applications and patents, if issued. As a result, one or more claims of our patents may be narrowed or invalidated. In litigation, a competitor could claim that our patents, if issued, are not valid for a number of reasons. If a court agrees, we would lose our rights to those challenged patents.</w:t>
      </w:r>
    </w:p>
    <w:p>
      <w:pPr>
        <w:spacing w:after="0" w:line="173"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Even if they are unchallenged,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even if we have a valid and enforceable patent, we may not be able to exclude others from practicing our invention if the other party can show that they used the invention in commerce before our filing date or the other party benefits from a compulsory license.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 Certain regulatory exclusivities may be available, however, the scope of such regulatory exclusivities is subject to change, and may not provide us with adequate and continuing protection sufficient to exclude others from commercializing products similar to our product candidates.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0" w:name="page71"/>
    <w:bookmarkEnd w:id="70"/>
    <w:p>
      <w:pPr>
        <w:ind w:right="60"/>
        <w:spacing w:after="0" w:line="293"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6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185" w:lineRule="exact"/>
        <w:rPr>
          <w:sz w:val="20"/>
          <w:szCs w:val="20"/>
          <w:color w:val="auto"/>
        </w:rPr>
      </w:pPr>
    </w:p>
    <w:p>
      <w:pPr>
        <w:ind w:right="120"/>
        <w:spacing w:after="0" w:line="309"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own or in-license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164"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other similar proceedings challenging our owned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179" w:lineRule="exact"/>
        <w:rPr>
          <w:sz w:val="20"/>
          <w:szCs w:val="20"/>
          <w:color w:val="auto"/>
        </w:rPr>
      </w:pPr>
    </w:p>
    <w:p>
      <w:pPr>
        <w:ind w:right="520"/>
        <w:spacing w:after="0" w:line="293" w:lineRule="auto"/>
        <w:rPr>
          <w:sz w:val="20"/>
          <w:szCs w:val="20"/>
          <w:color w:val="auto"/>
        </w:rPr>
      </w:pPr>
      <w:r>
        <w:rPr>
          <w:rFonts w:ascii="Arial" w:cs="Arial" w:eastAsia="Arial" w:hAnsi="Arial"/>
          <w:sz w:val="18"/>
          <w:szCs w:val="18"/>
          <w:color w:val="auto"/>
        </w:rPr>
        <w:t>Furthermore, the issuance of a patent does not give us the right to practice the patented invention. Third parties may have blocking patents that could prevent us from marketing our own patented product and practicing our own patented technology.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31"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440" w:right="100"/>
        <w:spacing w:after="0" w:line="293" w:lineRule="auto"/>
        <w:rPr>
          <w:sz w:val="20"/>
          <w:szCs w:val="20"/>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62" w:lineRule="exact"/>
        <w:rPr>
          <w:sz w:val="20"/>
          <w:szCs w:val="20"/>
          <w:color w:val="auto"/>
        </w:rPr>
      </w:pPr>
    </w:p>
    <w:p>
      <w:pPr>
        <w:ind w:left="440" w:right="200"/>
        <w:spacing w:after="0" w:line="293" w:lineRule="auto"/>
        <w:rPr>
          <w:sz w:val="20"/>
          <w:szCs w:val="20"/>
          <w:color w:val="auto"/>
        </w:rPr>
      </w:pPr>
      <w:r>
        <w:rPr>
          <w:rFonts w:ascii="Arial" w:cs="Arial" w:eastAsia="Arial" w:hAnsi="Arial"/>
          <w:sz w:val="18"/>
          <w:szCs w:val="18"/>
          <w:color w:val="auto"/>
        </w:rPr>
        <w:t>we or our licensors or collaborators might not have been the first to make the inventions covered by the issued patents or patent application that we own or license;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or our licensors or collaborators might not have been the first to file patent applications covering certain of our inventions;</w:t>
      </w:r>
    </w:p>
    <w:p>
      <w:pPr>
        <w:spacing w:after="0" w:line="131" w:lineRule="exact"/>
        <w:rPr>
          <w:sz w:val="20"/>
          <w:szCs w:val="20"/>
          <w:color w:val="auto"/>
        </w:rPr>
      </w:pPr>
    </w:p>
    <w:p>
      <w:pPr>
        <w:ind w:left="440" w:right="40"/>
        <w:spacing w:after="0" w:line="293" w:lineRule="auto"/>
        <w:rPr>
          <w:sz w:val="20"/>
          <w:szCs w:val="20"/>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 is possible that the pending patent applications we own or license will not lead to issued patents;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131" w:lineRule="exact"/>
        <w:rPr>
          <w:sz w:val="20"/>
          <w:szCs w:val="20"/>
          <w:color w:val="auto"/>
        </w:rPr>
      </w:pPr>
    </w:p>
    <w:p>
      <w:pPr>
        <w:ind w:left="440" w:right="400"/>
        <w:spacing w:after="0" w:line="293" w:lineRule="auto"/>
        <w:rPr>
          <w:sz w:val="20"/>
          <w:szCs w:val="20"/>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not develop additional proprietary technologies that are patentable;</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patents of others may have an adverse effect on our business;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1" w:name="page72"/>
    <w:bookmarkEnd w:id="71"/>
    <w:p>
      <w:pPr>
        <w:ind w:left="440"/>
        <w:spacing w:after="0"/>
        <w:rPr>
          <w:sz w:val="20"/>
          <w:szCs w:val="20"/>
          <w:color w:val="auto"/>
        </w:rPr>
      </w:pPr>
      <w:r>
        <w:rPr>
          <w:rFonts w:ascii="Arial" w:cs="Arial" w:eastAsia="Arial" w:hAnsi="Arial"/>
          <w:sz w:val="18"/>
          <w:szCs w:val="18"/>
          <w:color w:val="auto"/>
        </w:rPr>
        <w:t>we may fail to adequately protect and police our trademarks and trade secrets; and</w:t>
      </w:r>
    </w:p>
    <w:p>
      <w:pPr>
        <w:spacing w:after="0" w:line="131" w:lineRule="exact"/>
        <w:rPr>
          <w:sz w:val="20"/>
          <w:szCs w:val="20"/>
          <w:color w:val="auto"/>
        </w:rPr>
      </w:pPr>
    </w:p>
    <w:p>
      <w:pPr>
        <w:ind w:left="440" w:right="200"/>
        <w:spacing w:after="0" w:line="293" w:lineRule="auto"/>
        <w:rPr>
          <w:sz w:val="20"/>
          <w:szCs w:val="20"/>
          <w:color w:val="auto"/>
        </w:rPr>
      </w:pPr>
      <w:r>
        <w:rPr>
          <w:rFonts w:ascii="Arial" w:cs="Arial" w:eastAsia="Arial" w:hAnsi="Arial"/>
          <w:sz w:val="18"/>
          <w:szCs w:val="18"/>
          <w:color w:val="auto"/>
        </w:rPr>
        <w:t>we may choose not to file a patent in order to maintain certain trade secrets or know-how, and a third-party may subsequently file a patent covering such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347" w:lineRule="exact"/>
        <w:rPr>
          <w:sz w:val="20"/>
          <w:szCs w:val="20"/>
          <w:color w:val="auto"/>
        </w:rPr>
      </w:pPr>
    </w:p>
    <w:p>
      <w:pPr>
        <w:ind w:right="440"/>
        <w:spacing w:after="0" w:line="279"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75"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178"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There may also be patent applications that, if issued as patents, could be asserted against us.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and their uses or manufacturing processes.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 candidates. Further, we may incorrectly determine that our product candidates and their uses and manufacturing processes are not covered by a third-party patent or may incorrectly predict whether a third-party’s pending patent application will issue with claims of relevant scope. Our determination of the expiration date of any patent in the United States or abroad that we consider relevant may be incorrect, which may negatively impact our ability to develop and market our product candidates. Third-party intellectual property right holders may also actively bring infringement or other intellectual property-related claims against us, even if we have received patent protection for our product candidates and the relevant uses and processes.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result in costly litigation that may cause negative publicity;</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divert the time and attention of our technical personnel and management;</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cause development delays;</w:t>
      </w:r>
    </w:p>
    <w:p>
      <w:pPr>
        <w:spacing w:after="0" w:line="131" w:lineRule="exact"/>
        <w:rPr>
          <w:sz w:val="20"/>
          <w:szCs w:val="20"/>
          <w:color w:val="auto"/>
        </w:rPr>
      </w:pPr>
    </w:p>
    <w:p>
      <w:pPr>
        <w:ind w:left="440" w:right="40"/>
        <w:spacing w:after="0" w:line="293" w:lineRule="auto"/>
        <w:rPr>
          <w:sz w:val="20"/>
          <w:szCs w:val="20"/>
          <w:color w:val="auto"/>
        </w:rPr>
      </w:pPr>
      <w:r>
        <w:rPr>
          <w:rFonts w:ascii="Arial" w:cs="Arial" w:eastAsia="Arial" w:hAnsi="Arial"/>
          <w:sz w:val="18"/>
          <w:szCs w:val="18"/>
          <w:color w:val="auto"/>
        </w:rPr>
        <w:t>prevent us from commercializing any of our product candidates until the asserted patent expires or is held finally invalid or not infringed in a court of law;</w:t>
      </w:r>
    </w:p>
    <w:p>
      <w:pPr>
        <w:spacing w:after="0" w:line="62" w:lineRule="exact"/>
        <w:rPr>
          <w:sz w:val="20"/>
          <w:szCs w:val="20"/>
          <w:color w:val="auto"/>
        </w:rPr>
      </w:pPr>
    </w:p>
    <w:p>
      <w:pPr>
        <w:ind w:left="5540" w:right="3520" w:hanging="5084"/>
        <w:spacing w:after="0" w:line="293" w:lineRule="auto"/>
        <w:rPr>
          <w:sz w:val="20"/>
          <w:szCs w:val="20"/>
          <w:color w:val="auto"/>
        </w:rPr>
      </w:pPr>
      <w:r>
        <w:rPr>
          <w:rFonts w:ascii="Arial" w:cs="Arial" w:eastAsia="Arial" w:hAnsi="Arial"/>
          <w:sz w:val="18"/>
          <w:szCs w:val="18"/>
          <w:color w:val="auto"/>
        </w:rPr>
        <w:t>require us to develop non-infringing technology, which may not be possible on a cost-effective basis;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2" w:name="page73"/>
    <w:bookmarkEnd w:id="72"/>
    <w:p>
      <w:pPr>
        <w:ind w:left="440"/>
        <w:spacing w:after="0"/>
        <w:rPr>
          <w:sz w:val="20"/>
          <w:szCs w:val="20"/>
          <w:color w:val="auto"/>
        </w:rPr>
      </w:pPr>
      <w:r>
        <w:rPr>
          <w:rFonts w:ascii="Arial" w:cs="Arial" w:eastAsia="Arial" w:hAnsi="Arial"/>
          <w:sz w:val="18"/>
          <w:szCs w:val="18"/>
          <w:color w:val="auto"/>
        </w:rPr>
        <w:t>subject us to significant liability to third parties; or</w:t>
      </w:r>
    </w:p>
    <w:p>
      <w:pPr>
        <w:spacing w:after="0" w:line="131" w:lineRule="exact"/>
        <w:rPr>
          <w:sz w:val="20"/>
          <w:szCs w:val="20"/>
          <w:color w:val="auto"/>
        </w:rPr>
      </w:pPr>
    </w:p>
    <w:p>
      <w:pPr>
        <w:ind w:left="440" w:right="200"/>
        <w:spacing w:after="0" w:line="293" w:lineRule="auto"/>
        <w:rPr>
          <w:sz w:val="20"/>
          <w:szCs w:val="20"/>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Although no third-party has asserted a claim of patent infringement against us as of September 30,2021, others may hold proprietary rights that could prevent our product candidates from being marketed. It is possible that a third-party may assert a claim of patent infringement directed at any of our product candidates. Any patent-related legal action against us claiming damages and seeking to enjoin commercial activities relating to our product candidates,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and/or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182" w:lineRule="exact"/>
        <w:rPr>
          <w:sz w:val="20"/>
          <w:szCs w:val="20"/>
          <w:color w:val="auto"/>
        </w:rPr>
      </w:pPr>
    </w:p>
    <w:p>
      <w:pPr>
        <w:jc w:val="both"/>
        <w:ind w:right="20"/>
        <w:spacing w:after="0" w:line="292" w:lineRule="auto"/>
        <w:rPr>
          <w:sz w:val="20"/>
          <w:szCs w:val="20"/>
          <w:color w:val="auto"/>
        </w:rPr>
      </w:pPr>
      <w:r>
        <w:rPr>
          <w:rFonts w:ascii="Arial" w:cs="Arial" w:eastAsia="Arial" w:hAnsi="Arial"/>
          <w:sz w:val="17"/>
          <w:szCs w:val="17"/>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282"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b w:val="1"/>
          <w:bCs w:val="1"/>
          <w:i w:val="1"/>
          <w:iCs w:val="1"/>
          <w:color w:val="auto"/>
        </w:rPr>
        <w:t>Some of our current product candidates and research programs are licensed from third parties. If these license agreements are terminated or interpreted to narrow our rights, our ability to advance our current product candidates or develop new product candidates based on these technologies will be materially adversely affected.</w:t>
      </w:r>
    </w:p>
    <w:p>
      <w:pPr>
        <w:spacing w:after="0" w:line="7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now depend on, at least in part, Viracta Therapeutics, Inc., Takeda Pharmaceutical Company Limited, Dana Farber Cancer Institute, Millennium Pharmaceuticals, Inc. and Merck KGaA, Darmstadt, Germany, and will continue to depend on Viracta Therapeutics, Inc., Takeda Pharmaceutical Company Limited, Dana Farber Cancer Institute, Millennium Pharmaceuticals, Inc. and Merck KGaA, Darmstadt, Germany and on licenses and sublicenses from other third parties, as well as potentially on other strategic relationships with third parties, for the research, development, manufacturing and commercialization of our current product candidates. If any of our licenses or relationships or any in-licenses on which our licenses are based are terminated or breached, we may:</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lose our rights to develop and market our current product candidates;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lose patent or trade secret protection for our current product candidates;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experience significant delays in the development or commercialization of our current product candidates;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be able to obtain any other licenses on acceptable terms, if at all; or</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incur liability for damages.</w:t>
      </w:r>
    </w:p>
    <w:p>
      <w:pPr>
        <w:spacing w:after="0" w:line="239" w:lineRule="exact"/>
        <w:rPr>
          <w:sz w:val="20"/>
          <w:szCs w:val="20"/>
          <w:color w:val="auto"/>
        </w:rPr>
      </w:pPr>
    </w:p>
    <w:p>
      <w:pPr>
        <w:ind w:right="200"/>
        <w:spacing w:after="0" w:line="359" w:lineRule="auto"/>
        <w:rPr>
          <w:sz w:val="20"/>
          <w:szCs w:val="20"/>
          <w:color w:val="auto"/>
        </w:rPr>
      </w:pPr>
      <w:r>
        <w:rPr>
          <w:rFonts w:ascii="Arial" w:cs="Arial" w:eastAsia="Arial" w:hAnsi="Arial"/>
          <w:sz w:val="16"/>
          <w:szCs w:val="16"/>
          <w:color w:val="auto"/>
        </w:rPr>
        <w:t>Additionally, even if not terminated or breached, our intellectual property licenses or sublicenses may be subject to disagreements over contract interpretation which could narrow the scope of our rights to the relevant intellectual property or technology or increase our financial or other obligations.</w:t>
      </w:r>
    </w:p>
    <w:p>
      <w:pPr>
        <w:spacing w:after="0" w:line="125"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color w:val="auto"/>
        </w:rPr>
        <w:t>If we experience any of the foregoing, it could have a materially adverse effect on our business and could force us to cease operations which could cause you to lose all of your investment.</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breach our license agreements, it could have a material adverse effect on our commercialization efforts for our product candidates.</w:t>
      </w:r>
    </w:p>
    <w:p>
      <w:pPr>
        <w:spacing w:after="0" w:line="142"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If we breach any of the agreements under which we license the use, development and commercialization rights to our product candidates or technology from third parties, we could lose license rights that are important to our business. Or if we fail to comply</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73" w:name="page74"/>
    <w:bookmarkEnd w:id="73"/>
    <w:p>
      <w:pPr>
        <w:ind w:right="380"/>
        <w:spacing w:after="0" w:line="293" w:lineRule="auto"/>
        <w:rPr>
          <w:sz w:val="20"/>
          <w:szCs w:val="20"/>
          <w:color w:val="auto"/>
        </w:rPr>
      </w:pPr>
      <w:r>
        <w:rPr>
          <w:rFonts w:ascii="Arial" w:cs="Arial" w:eastAsia="Arial" w:hAnsi="Arial"/>
          <w:sz w:val="18"/>
          <w:szCs w:val="18"/>
          <w:color w:val="auto"/>
        </w:rPr>
        <w:t>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Our current lead product candidates are protected by, among other intellectual property rights, patents and patent applications we co-own and exclusively in-licensed from Sunesis Pharmaceuticals, Inc. (now Viracta Therapeutics, Inc.). Our current lead product candidates and pipeline and our anticipated near-term pipeline may include technologies, licensed from, for example Merck KGaA, Darmstadt, Germany.</w:t>
      </w:r>
    </w:p>
    <w:p>
      <w:pPr>
        <w:spacing w:after="0" w:line="183"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Under the license agreements,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licensors may have the right to terminate the applicable license in whole or in part. Generally, the loss of any one of our current licenses, or any other license we may acquire in the future, could harm our business, prospects, financial condition and results of operations.</w:t>
      </w:r>
    </w:p>
    <w:p>
      <w:pPr>
        <w:spacing w:after="0" w:line="170"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scope of rights granted under the license agreement and other interpretation-related issues;</w:t>
      </w:r>
    </w:p>
    <w:p>
      <w:pPr>
        <w:spacing w:after="0" w:line="131" w:lineRule="exact"/>
        <w:rPr>
          <w:sz w:val="20"/>
          <w:szCs w:val="20"/>
          <w:color w:val="auto"/>
        </w:rPr>
      </w:pPr>
    </w:p>
    <w:p>
      <w:pPr>
        <w:ind w:left="440" w:right="440"/>
        <w:spacing w:after="0" w:line="293" w:lineRule="auto"/>
        <w:rPr>
          <w:sz w:val="20"/>
          <w:szCs w:val="20"/>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right to sublicense patent and other intellectual property rights to third parties under collaborative development relationships;</w:t>
      </w:r>
    </w:p>
    <w:p>
      <w:pPr>
        <w:spacing w:after="0" w:line="131" w:lineRule="exact"/>
        <w:rPr>
          <w:sz w:val="20"/>
          <w:szCs w:val="20"/>
          <w:color w:val="auto"/>
        </w:rPr>
      </w:pPr>
    </w:p>
    <w:p>
      <w:pPr>
        <w:ind w:left="440" w:right="400"/>
        <w:spacing w:after="0" w:line="293" w:lineRule="auto"/>
        <w:rPr>
          <w:sz w:val="20"/>
          <w:szCs w:val="20"/>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priority of invention of patented technology;</w:t>
      </w:r>
    </w:p>
    <w:p>
      <w:pPr>
        <w:spacing w:after="0" w:line="131" w:lineRule="exact"/>
        <w:rPr>
          <w:sz w:val="20"/>
          <w:szCs w:val="20"/>
          <w:color w:val="auto"/>
        </w:rPr>
      </w:pPr>
    </w:p>
    <w:p>
      <w:pPr>
        <w:ind w:left="440" w:right="180"/>
        <w:spacing w:after="0" w:line="293" w:lineRule="auto"/>
        <w:rPr>
          <w:sz w:val="20"/>
          <w:szCs w:val="20"/>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whether and the extent to which inventors are able to contest the assignment of their rights to our licensors.</w:t>
      </w:r>
    </w:p>
    <w:p>
      <w:pPr>
        <w:spacing w:after="0" w:line="239"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or at all, we may be unable to successfully develop and commercialize the affected product candidates. In addition, if disputes arise as to ownership of licensed intellectual property, our ability to pursue or enforce the licensed patent rights may be jeopardized. If we or our licensors fail to adequately protect this intellectual property, our ability to commercialize our products could suffer.</w:t>
      </w:r>
    </w:p>
    <w:p>
      <w:pPr>
        <w:spacing w:after="0" w:line="185" w:lineRule="exact"/>
        <w:rPr>
          <w:sz w:val="20"/>
          <w:szCs w:val="20"/>
          <w:color w:val="auto"/>
        </w:rPr>
      </w:pPr>
    </w:p>
    <w:p>
      <w:pPr>
        <w:ind w:right="60"/>
        <w:spacing w:after="0" w:line="308" w:lineRule="auto"/>
        <w:rPr>
          <w:sz w:val="20"/>
          <w:szCs w:val="20"/>
          <w:color w:val="auto"/>
        </w:rPr>
      </w:pPr>
      <w:r>
        <w:rPr>
          <w:rFonts w:ascii="Arial" w:cs="Arial" w:eastAsia="Arial" w:hAnsi="Arial"/>
          <w:sz w:val="16"/>
          <w:szCs w:val="16"/>
          <w:color w:val="auto"/>
        </w:rPr>
        <w:t>In addition, the agreements under which we license intellectual property or technology from third parties, including our licenses with Viracta Therapeutics, Inc., Takeda Pharmaceutical Company Limited, Dana Farber Cancer Institute, Millennium Pharmaceuticals, Inc. and Merck KGaA, Darmstadt, Germany,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63"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In spite of our best efforts, our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191"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74" w:name="page75"/>
    <w:bookmarkEnd w:id="74"/>
    <w:p>
      <w:pPr>
        <w:ind w:right="40"/>
        <w:spacing w:after="0" w:line="394" w:lineRule="auto"/>
        <w:rPr>
          <w:sz w:val="20"/>
          <w:szCs w:val="20"/>
          <w:color w:val="auto"/>
        </w:rPr>
      </w:pPr>
      <w:r>
        <w:rPr>
          <w:rFonts w:ascii="Arial" w:cs="Arial" w:eastAsia="Arial" w:hAnsi="Arial"/>
          <w:sz w:val="15"/>
          <w:szCs w:val="15"/>
          <w:b w:val="1"/>
          <w:bCs w:val="1"/>
          <w:i w:val="1"/>
          <w:iCs w:val="1"/>
          <w:color w:val="auto"/>
        </w:rPr>
        <w:t>In the future, we may need to obtain additional licenses of third-party technology that may not be available to us or are available only on commercially unreasonable terms, and which may cause us to operate our business in a more costly or otherwise adverse manner that was not anticipated.</w:t>
      </w:r>
    </w:p>
    <w:p>
      <w:pPr>
        <w:spacing w:after="0" w:line="1" w:lineRule="exact"/>
        <w:rPr>
          <w:sz w:val="20"/>
          <w:szCs w:val="20"/>
          <w:color w:val="auto"/>
        </w:rPr>
      </w:pPr>
    </w:p>
    <w:p>
      <w:pPr>
        <w:jc w:val="both"/>
        <w:ind w:right="120"/>
        <w:spacing w:after="0" w:line="303" w:lineRule="auto"/>
        <w:rPr>
          <w:sz w:val="20"/>
          <w:szCs w:val="20"/>
          <w:color w:val="auto"/>
        </w:rPr>
      </w:pPr>
      <w:r>
        <w:rPr>
          <w:rFonts w:ascii="Arial" w:cs="Arial" w:eastAsia="Arial" w:hAnsi="Arial"/>
          <w:sz w:val="17"/>
          <w:szCs w:val="17"/>
          <w:color w:val="auto"/>
        </w:rPr>
        <w:t>We seek to expand our product candidate pipeline in part by in-licensing the rights to key technologies. The future growth of our business will depend in part on our ability to in-license or otherwise acquire the rights to additional product candidates or technologies. We cannot assure you that we will be able to in-license or acquire the rights to any product candidates or technologies from third parties on acceptable terms or at all.</w:t>
      </w:r>
    </w:p>
    <w:p>
      <w:pPr>
        <w:spacing w:after="0" w:line="164"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Other companies and academic institutions may also have filed or are planning to file patent applications potentially relevant to our business. From time to time, in order to avoid infringing these third-party patents, we may be required to license technology from third parties to further develop or commercialize our existing or future product candidates. Should we be required to obtain licenses to any third-party technology, including any such patents required to manufacture, use or sell our existing or future product candidates, such licenses may not be available to us on commercially reasonable terms, or at all. The inability to obtain any third-party license required to develop or commercialize any of our existing or future product candidates could cause us to abandon any related efforts, which could seriously harm our business and operations.</w:t>
      </w:r>
    </w:p>
    <w:p>
      <w:pPr>
        <w:spacing w:after="0" w:line="17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in-licensing and acquisition of these technologies is a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financial condition and prospects could suffer.</w:t>
      </w:r>
    </w:p>
    <w:p>
      <w:pPr>
        <w:spacing w:after="0" w:line="299" w:lineRule="exact"/>
        <w:rPr>
          <w:sz w:val="20"/>
          <w:szCs w:val="20"/>
          <w:color w:val="auto"/>
        </w:rPr>
      </w:pPr>
    </w:p>
    <w:p>
      <w:pPr>
        <w:ind w:right="680"/>
        <w:spacing w:after="0" w:line="394" w:lineRule="auto"/>
        <w:rPr>
          <w:sz w:val="20"/>
          <w:szCs w:val="20"/>
          <w:color w:val="auto"/>
        </w:rPr>
      </w:pPr>
      <w:r>
        <w:rPr>
          <w:rFonts w:ascii="Arial" w:cs="Arial" w:eastAsia="Arial" w:hAnsi="Arial"/>
          <w:sz w:val="15"/>
          <w:szCs w:val="15"/>
          <w:b w:val="1"/>
          <w:bCs w:val="1"/>
          <w:i w:val="1"/>
          <w:iCs w:val="1"/>
          <w:color w:val="auto"/>
        </w:rPr>
        <w:t>We may be involved in lawsuits to protect or enforce our own patents or our licensors’ patents, which could be expensive, time consuming and unsuccessful. Further, our own issued patents or our licensors’ patents could be found invalid or unenforceable if challenged in court.</w:t>
      </w:r>
    </w:p>
    <w:p>
      <w:pPr>
        <w:spacing w:after="0" w:line="1" w:lineRule="exact"/>
        <w:rPr>
          <w:sz w:val="20"/>
          <w:szCs w:val="20"/>
          <w:color w:val="auto"/>
        </w:rPr>
      </w:pPr>
    </w:p>
    <w:p>
      <w:pPr>
        <w:ind w:right="60"/>
        <w:spacing w:after="0" w:line="308" w:lineRule="auto"/>
        <w:rPr>
          <w:sz w:val="20"/>
          <w:szCs w:val="20"/>
          <w:color w:val="auto"/>
        </w:rPr>
      </w:pPr>
      <w:r>
        <w:rPr>
          <w:rFonts w:ascii="Arial" w:cs="Arial" w:eastAsia="Arial" w:hAnsi="Arial"/>
          <w:sz w:val="16"/>
          <w:szCs w:val="16"/>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collaborators were to initiate legal proceedings against a third-party to enforce a patent directed at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63"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third-party were to prevail on a legal assertion of invalidity or unenforceability, we would lose at least part, and perhaps all, of the patent protection on our technology, or any product candidates that we may develop. Such a loss of patent protection would have a material adverse impact on our business, financial condition, results of operations and prospects.</w:t>
      </w:r>
    </w:p>
    <w:p>
      <w:pPr>
        <w:spacing w:after="0" w:line="178" w:lineRule="exact"/>
        <w:rPr>
          <w:sz w:val="20"/>
          <w:szCs w:val="20"/>
          <w:color w:val="auto"/>
        </w:rPr>
      </w:pPr>
    </w:p>
    <w:p>
      <w:pPr>
        <w:ind w:right="60"/>
        <w:spacing w:after="0" w:line="359" w:lineRule="auto"/>
        <w:rPr>
          <w:sz w:val="20"/>
          <w:szCs w:val="20"/>
          <w:color w:val="auto"/>
        </w:rPr>
      </w:pPr>
      <w:r>
        <w:rPr>
          <w:rFonts w:ascii="Arial" w:cs="Arial" w:eastAsia="Arial" w:hAnsi="Arial"/>
          <w:sz w:val="16"/>
          <w:szCs w:val="16"/>
          <w:color w:val="auto"/>
        </w:rPr>
        <w:t>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w:t>
      </w:r>
    </w:p>
    <w:p>
      <w:pPr>
        <w:spacing w:after="0" w:line="12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costs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75" w:name="page76"/>
    <w:bookmarkEnd w:id="75"/>
    <w:p>
      <w:pPr>
        <w:spacing w:after="0" w:line="293" w:lineRule="auto"/>
        <w:rPr>
          <w:sz w:val="20"/>
          <w:szCs w:val="20"/>
          <w:color w:val="auto"/>
        </w:rPr>
      </w:pPr>
      <w:r>
        <w:rPr>
          <w:rFonts w:ascii="Arial" w:cs="Arial" w:eastAsia="Arial" w:hAnsi="Arial"/>
          <w:sz w:val="18"/>
          <w:szCs w:val="18"/>
          <w:color w:val="auto"/>
        </w:rPr>
        <w:t>than we can because of their greater financial resources. Uncertainties resulting from the initiation and continuation of patent litigation or other proceedings could compromise our ability to compete in the marketplace.</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291" w:lineRule="exact"/>
        <w:rPr>
          <w:sz w:val="20"/>
          <w:szCs w:val="20"/>
          <w:color w:val="auto"/>
        </w:rPr>
      </w:pPr>
    </w:p>
    <w:p>
      <w:pPr>
        <w:ind w:right="480"/>
        <w:spacing w:after="0" w:line="293"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product candidates, approved products, programs or intellectual property could be diminished. Accordingly, the market price of shares of our common stock may decline. Such announcements could also harm our reputation or the market for our product candidates, which could have a material adverse effect on our business.</w:t>
      </w:r>
    </w:p>
    <w:p>
      <w:pPr>
        <w:spacing w:after="0" w:line="299"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62"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color w:val="auto"/>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development programs, license necessary technology from third parties or enter into development or manufacturing partnerships that would help us bring our product candidates to market.</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154" w:lineRule="exact"/>
        <w:rPr>
          <w:sz w:val="20"/>
          <w:szCs w:val="20"/>
          <w:color w:val="auto"/>
        </w:rPr>
      </w:pPr>
    </w:p>
    <w:p>
      <w:pPr>
        <w:ind w:right="80"/>
        <w:spacing w:after="0" w:line="308" w:lineRule="auto"/>
        <w:rPr>
          <w:sz w:val="20"/>
          <w:szCs w:val="20"/>
          <w:color w:val="auto"/>
        </w:rPr>
      </w:pPr>
      <w:r>
        <w:rPr>
          <w:rFonts w:ascii="Arial" w:cs="Arial" w:eastAsia="Arial" w:hAnsi="Arial"/>
          <w:sz w:val="16"/>
          <w:szCs w:val="16"/>
          <w:color w:val="auto"/>
        </w:rPr>
        <w:t>Because of the expense and uncertainty of litigation, we may conclude that even if a third-party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product development, in-license needed technology, or enter into development partnerships that would help us bring our product candidates to market.</w:t>
      </w:r>
    </w:p>
    <w:p>
      <w:pPr>
        <w:spacing w:after="0" w:line="271"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and/or those of our licensors and the enforcement or defense of our issued patents and/or those of our licensors.</w:t>
      </w:r>
    </w:p>
    <w:p>
      <w:pPr>
        <w:spacing w:after="0" w:line="62"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third-party was first to invent the claimed invention. A third-party that files a patent application in the USPTO after March 2013 but before us could therefore be awarded a patent covering an invention of ours even if we had made the invention before it was made by such third-party.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6" w:name="page77"/>
    <w:bookmarkEnd w:id="76"/>
    <w:p>
      <w:pPr>
        <w:ind w:right="280"/>
        <w:spacing w:after="0" w:line="272"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91"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color w:val="auto"/>
        </w:rPr>
        <w:t>Because of a lower evidentiary standard in USPTO proceedings compared to the evidentiary standard in United States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Thus, the Leahy-Smith Act and its implementation could increase the uncertainties and costs surrounding the prosecution of our patent applications and/or those of our licensors and the enforcement or defense of our issued patents or those of our licensors, all of which could have a material adverse effect on our business, financial condition, results of operations and prospects.</w:t>
      </w:r>
    </w:p>
    <w:p>
      <w:pPr>
        <w:spacing w:after="0" w:line="289" w:lineRule="exact"/>
        <w:rPr>
          <w:sz w:val="20"/>
          <w:szCs w:val="20"/>
          <w:color w:val="auto"/>
        </w:rPr>
      </w:pPr>
    </w:p>
    <w:p>
      <w:pPr>
        <w:ind w:right="480"/>
        <w:spacing w:after="0" w:line="293"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As is the case with other 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and/or our licensors may be subject to claims that former employees, collaborators or other third parties have an interest in our patents or other intellectual property as an inventor or co-inventor. In addition, we cannot assure you that all inventors have been or will be identified by us and/or by our collaborators despite diligent effort.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7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Our licensors may have relied on third-party consultants or collaborators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This could have a material adverse effect on our competitive position, business, financial conditions, results of operations, and prospects.</w:t>
      </w:r>
    </w:p>
    <w:p>
      <w:pPr>
        <w:spacing w:after="0" w:line="18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color w:val="auto"/>
        </w:rPr>
        <w:t>intellectual property. Such claims could have a material adverse effect on our business, financial condition, results of operations, and prospects.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3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31"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Depending upon the timing, duration and specifics of FDA marketing approval of our product candidates, one or more of our U.S. patents or those of our licensors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31"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Although we have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spacing w:after="0" w:line="194" w:lineRule="exact"/>
        <w:rPr>
          <w:sz w:val="20"/>
          <w:szCs w:val="20"/>
          <w:color w:val="auto"/>
        </w:rPr>
      </w:pPr>
    </w:p>
    <w:p>
      <w:pPr>
        <w:ind w:right="60"/>
        <w:spacing w:after="0" w:line="30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8" w:name="page79"/>
    <w:bookmarkEnd w:id="78"/>
    <w:p>
      <w:pPr>
        <w:ind w:right="140"/>
        <w:spacing w:after="0" w:line="279"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5"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90"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31"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claims that we or our employees have wrongfully used or disclosed alleged confidential information or trade secrets.</w:t>
      </w:r>
    </w:p>
    <w:p>
      <w:pPr>
        <w:spacing w:after="0" w:line="154"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We have entered into or may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79" w:name="page80"/>
    <w:bookmarkEnd w:id="79"/>
    <w:p>
      <w:pPr>
        <w:ind w:right="760"/>
        <w:spacing w:after="0" w:line="293" w:lineRule="auto"/>
        <w:rPr>
          <w:sz w:val="20"/>
          <w:szCs w:val="20"/>
          <w:color w:val="auto"/>
        </w:rPr>
      </w:pPr>
      <w:r>
        <w:rPr>
          <w:rFonts w:ascii="Arial" w:cs="Arial" w:eastAsia="Arial" w:hAnsi="Arial"/>
          <w:sz w:val="18"/>
          <w:szCs w:val="18"/>
          <w:color w:val="auto"/>
        </w:rPr>
        <w:t>are successful in defending against these claims, litigation could result in substantial costs and be a distraction to our management team and other employees.</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299" w:lineRule="exact"/>
        <w:rPr>
          <w:sz w:val="20"/>
          <w:szCs w:val="20"/>
          <w:color w:val="auto"/>
        </w:rPr>
      </w:pPr>
    </w:p>
    <w:p>
      <w:pPr>
        <w:ind w:right="620"/>
        <w:spacing w:after="0" w:line="293"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62"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31"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While we normally seek to obtain the right to control prosecution, maintenance and enforcement of the patents relating to our product candidates, there may be times when the filing and prosecution activities for patents and patent applications relating to our product candidates are controlled by our licensors or collaboration partners. If any of our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from third parties, we may still be adversely affected or prejudiced by actions or inactions of our licensors and their counsel that took place prior to the date upon which we assumed control over patent prosecution.</w:t>
      </w:r>
    </w:p>
    <w:p>
      <w:pPr>
        <w:spacing w:after="0" w:line="178"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Currently, our intellectual property protection includes patents and patent applications that we have in-licensed from Sunesis Pharmaceuticals, Inc. (now Viracta Therapeutics, Inc.), Takeda Pharmaceutical Company Limited, and Merck KGaA, Darmstadt, Germany. Our exclusive and non-exclusive licenses may be subject to certain retained rights, which may adversely impact our competitive position. We do not control the prosecution and maintenance of several of the licensed patent portfolios; thus, we cannot assure you that the licensed patent families will be prepared, filed, prosecuted, or maintained in a manner consistent with the best interests of our business. See “Business—License Agreement.” Our licensed patent portfolio may not provide us with adequate and continuing patent protection sufficient to exclude others from commercializing products similar to our product candidates.</w:t>
      </w:r>
    </w:p>
    <w:p>
      <w:pPr>
        <w:spacing w:after="0" w:line="271" w:lineRule="exact"/>
        <w:rPr>
          <w:sz w:val="20"/>
          <w:szCs w:val="20"/>
          <w:color w:val="auto"/>
        </w:rPr>
      </w:pPr>
    </w:p>
    <w:p>
      <w:pPr>
        <w:ind w:right="400"/>
        <w:spacing w:after="0" w:line="279"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75"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Some of our own issued patents or pending patent applications may have been generated through the use of U.S. government funding,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existing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0" w:name="page81"/>
    <w:bookmarkEnd w:id="80"/>
    <w:p>
      <w:pPr>
        <w:spacing w:after="0" w:line="287" w:lineRule="auto"/>
        <w:rPr>
          <w:sz w:val="20"/>
          <w:szCs w:val="20"/>
          <w:color w:val="auto"/>
        </w:rPr>
      </w:pPr>
      <w:r>
        <w:rPr>
          <w:rFonts w:ascii="Arial" w:cs="Arial" w:eastAsia="Arial" w:hAnsi="Arial"/>
          <w:sz w:val="17"/>
          <w:szCs w:val="17"/>
          <w:color w:val="auto"/>
        </w:rPr>
        <w:t>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35"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b w:val="1"/>
          <w:bCs w:val="1"/>
          <w:i w:val="1"/>
          <w:iCs w:val="1"/>
          <w:color w:val="auto"/>
        </w:rPr>
        <w:t>An active and liquid trading market for our common stock may never be sustained. As a result, you may not be able to resell your shares of common stock at or above the purchase price.</w:t>
      </w:r>
    </w:p>
    <w:p>
      <w:pPr>
        <w:spacing w:after="0" w:line="62"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w:t>
      </w:r>
    </w:p>
    <w:p>
      <w:pPr>
        <w:spacing w:after="0" w:line="185"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278"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600"/>
        <w:spacing w:after="0" w:line="293"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440" w:right="620"/>
        <w:spacing w:after="0" w:line="293" w:lineRule="auto"/>
        <w:rPr>
          <w:sz w:val="20"/>
          <w:szCs w:val="20"/>
          <w:color w:val="auto"/>
        </w:rPr>
      </w:pPr>
      <w:r>
        <w:rPr>
          <w:rFonts w:ascii="Arial" w:cs="Arial" w:eastAsia="Arial" w:hAnsi="Arial"/>
          <w:sz w:val="18"/>
          <w:szCs w:val="18"/>
          <w:color w:val="auto"/>
        </w:rPr>
        <w:t>variations in the level of expense related to the planned and ongoing development of our product candidates or future development programs, including scale-up CMC expenses;</w:t>
      </w:r>
    </w:p>
    <w:p>
      <w:pPr>
        <w:spacing w:after="0" w:line="62" w:lineRule="exact"/>
        <w:rPr>
          <w:sz w:val="20"/>
          <w:szCs w:val="20"/>
          <w:color w:val="auto"/>
        </w:rPr>
      </w:pPr>
    </w:p>
    <w:p>
      <w:pPr>
        <w:ind w:left="440" w:right="220"/>
        <w:spacing w:after="0" w:line="293" w:lineRule="auto"/>
        <w:rPr>
          <w:sz w:val="20"/>
          <w:szCs w:val="20"/>
          <w:color w:val="auto"/>
        </w:rPr>
      </w:pPr>
      <w:r>
        <w:rPr>
          <w:rFonts w:ascii="Arial" w:cs="Arial" w:eastAsia="Arial" w:hAnsi="Arial"/>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62" w:lineRule="exact"/>
        <w:rPr>
          <w:sz w:val="20"/>
          <w:szCs w:val="20"/>
          <w:color w:val="auto"/>
        </w:rPr>
      </w:pPr>
    </w:p>
    <w:p>
      <w:pPr>
        <w:ind w:left="440" w:right="980"/>
        <w:spacing w:after="0" w:line="391" w:lineRule="auto"/>
        <w:rPr>
          <w:sz w:val="20"/>
          <w:szCs w:val="20"/>
          <w:color w:val="auto"/>
        </w:rPr>
      </w:pPr>
      <w:r>
        <w:rPr>
          <w:rFonts w:ascii="Arial" w:cs="Arial" w:eastAsia="Arial" w:hAnsi="Arial"/>
          <w:sz w:val="18"/>
          <w:szCs w:val="18"/>
          <w:color w:val="auto"/>
        </w:rPr>
        <w:t>any intellectual property infringement lawsuit or opposition, interference or cancellation proceeding in which we may become involved; additions and departures of key personnel;</w:t>
      </w:r>
    </w:p>
    <w:p>
      <w:pPr>
        <w:spacing w:after="0" w:line="1" w:lineRule="exact"/>
        <w:rPr>
          <w:sz w:val="20"/>
          <w:szCs w:val="20"/>
          <w:color w:val="auto"/>
        </w:rPr>
      </w:pPr>
    </w:p>
    <w:p>
      <w:pPr>
        <w:ind w:left="440" w:right="160"/>
        <w:spacing w:after="0" w:line="293" w:lineRule="auto"/>
        <w:rPr>
          <w:sz w:val="20"/>
          <w:szCs w:val="20"/>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sz w:val="20"/>
          <w:szCs w:val="20"/>
          <w:color w:val="auto"/>
        </w:rPr>
      </w:pPr>
    </w:p>
    <w:p>
      <w:pPr>
        <w:ind w:left="440" w:right="580"/>
        <w:spacing w:after="0" w:line="293" w:lineRule="auto"/>
        <w:rPr>
          <w:sz w:val="20"/>
          <w:szCs w:val="20"/>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regulatory developments affecting our product candidates or those of our competitors; and</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general market and economic conditions, such as due to the recent COVID-19 pandemic.</w:t>
      </w:r>
    </w:p>
    <w:p>
      <w:pPr>
        <w:spacing w:after="0" w:line="239" w:lineRule="exact"/>
        <w:rPr>
          <w:sz w:val="20"/>
          <w:szCs w:val="20"/>
          <w:color w:val="auto"/>
        </w:rPr>
      </w:pPr>
    </w:p>
    <w:p>
      <w:pPr>
        <w:ind w:right="40"/>
        <w:spacing w:after="0" w:line="329"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is likely to be highly volatile, which could result in substantial losses for purchasers of our common stock.</w:t>
      </w:r>
    </w:p>
    <w:p>
      <w:pPr>
        <w:spacing w:after="0" w:line="154"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The market price of our common stock is likely to continue to be highly volatile and subject to wide fluctuations in response to various factors, some of which we cannot control. As a result of this volatility, you may not be able to sell your shares of common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1" w:name="page82"/>
    <w:bookmarkEnd w:id="81"/>
    <w:p>
      <w:pPr>
        <w:ind w:right="360"/>
        <w:spacing w:after="0" w:line="293" w:lineRule="auto"/>
        <w:rPr>
          <w:sz w:val="20"/>
          <w:szCs w:val="20"/>
          <w:color w:val="auto"/>
        </w:rPr>
      </w:pPr>
      <w:r>
        <w:rPr>
          <w:rFonts w:ascii="Arial" w:cs="Arial" w:eastAsia="Arial" w:hAnsi="Arial"/>
          <w:sz w:val="18"/>
          <w:szCs w:val="18"/>
          <w:color w:val="auto"/>
        </w:rPr>
        <w:t>stock at or above the price paid. The market price for our common stock may be influenced by many factors, including the other risks described in this “Risk factors” section and the following:</w:t>
      </w:r>
    </w:p>
    <w:p>
      <w:pPr>
        <w:spacing w:after="0" w:line="62" w:lineRule="exact"/>
        <w:rPr>
          <w:sz w:val="20"/>
          <w:szCs w:val="20"/>
          <w:color w:val="auto"/>
        </w:rPr>
      </w:pPr>
    </w:p>
    <w:p>
      <w:pPr>
        <w:ind w:left="440" w:right="900"/>
        <w:spacing w:after="0" w:line="391" w:lineRule="auto"/>
        <w:rPr>
          <w:sz w:val="20"/>
          <w:szCs w:val="20"/>
          <w:color w:val="auto"/>
        </w:rPr>
      </w:pPr>
      <w:r>
        <w:rPr>
          <w:rFonts w:ascii="Arial" w:cs="Arial" w:eastAsia="Arial" w:hAnsi="Arial"/>
          <w:sz w:val="18"/>
          <w:szCs w:val="18"/>
          <w:color w:val="auto"/>
        </w:rPr>
        <w:t>results of preclinical studies or clinical trials by us or those of our competitors or by existing or future collaborators or licensing partners; the timing and enrollment status of our clinical trials;</w:t>
      </w:r>
    </w:p>
    <w:p>
      <w:pPr>
        <w:spacing w:after="0" w:line="1" w:lineRule="exact"/>
        <w:rPr>
          <w:sz w:val="20"/>
          <w:szCs w:val="20"/>
          <w:color w:val="auto"/>
        </w:rPr>
      </w:pPr>
    </w:p>
    <w:p>
      <w:pPr>
        <w:ind w:left="440" w:right="80"/>
        <w:spacing w:after="0" w:line="293" w:lineRule="auto"/>
        <w:rPr>
          <w:sz w:val="20"/>
          <w:szCs w:val="20"/>
          <w:color w:val="auto"/>
        </w:rPr>
      </w:pPr>
      <w:r>
        <w:rPr>
          <w:rFonts w:ascii="Arial" w:cs="Arial" w:eastAsia="Arial" w:hAnsi="Arial"/>
          <w:sz w:val="18"/>
          <w:szCs w:val="18"/>
          <w:color w:val="auto"/>
        </w:rPr>
        <w:t>changes in the development status of our product candidates, including variations in the level of expense related to the development of our programs or funding support by us or by existing or future collaborators or licensing partners;</w:t>
      </w:r>
    </w:p>
    <w:p>
      <w:pPr>
        <w:spacing w:after="0" w:line="62" w:lineRule="exact"/>
        <w:rPr>
          <w:sz w:val="20"/>
          <w:szCs w:val="20"/>
          <w:color w:val="auto"/>
        </w:rPr>
      </w:pPr>
    </w:p>
    <w:p>
      <w:pPr>
        <w:ind w:left="440" w:right="520"/>
        <w:spacing w:after="0" w:line="391" w:lineRule="auto"/>
        <w:rPr>
          <w:sz w:val="20"/>
          <w:szCs w:val="20"/>
          <w:color w:val="auto"/>
        </w:rPr>
      </w:pPr>
      <w:r>
        <w:rPr>
          <w:rFonts w:ascii="Arial" w:cs="Arial" w:eastAsia="Arial" w:hAnsi="Arial"/>
          <w:sz w:val="18"/>
          <w:szCs w:val="18"/>
          <w:color w:val="auto"/>
        </w:rPr>
        <w:t>regulatory or legal developments in the United States and other countries, especially changes in laws or regulations applicable to our business; the success of competitive products or technologies;</w:t>
      </w:r>
    </w:p>
    <w:p>
      <w:pPr>
        <w:spacing w:after="0" w:line="1" w:lineRule="exact"/>
        <w:rPr>
          <w:sz w:val="20"/>
          <w:szCs w:val="20"/>
          <w:color w:val="auto"/>
        </w:rPr>
      </w:pPr>
    </w:p>
    <w:p>
      <w:pPr>
        <w:ind w:left="440" w:right="400"/>
        <w:spacing w:after="0" w:line="293" w:lineRule="auto"/>
        <w:rPr>
          <w:sz w:val="20"/>
          <w:szCs w:val="20"/>
          <w:color w:val="auto"/>
        </w:rPr>
      </w:pPr>
      <w:r>
        <w:rPr>
          <w:rFonts w:ascii="Arial" w:cs="Arial" w:eastAsia="Arial" w:hAnsi="Arial"/>
          <w:sz w:val="18"/>
          <w:szCs w:val="18"/>
          <w:color w:val="auto"/>
        </w:rPr>
        <w:t>introductions and announcements of new product candidates by us, our future collaboration partners, or our competitors, and the timing of these introductions or announcements;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actions taken by regulatory agencies with respect to our product candidates, clinical studies, manufacturing process or sales and marketing terms;</w:t>
      </w:r>
    </w:p>
    <w:p>
      <w:pPr>
        <w:spacing w:after="0" w:line="154" w:lineRule="exact"/>
        <w:rPr>
          <w:sz w:val="20"/>
          <w:szCs w:val="20"/>
          <w:color w:val="auto"/>
        </w:rPr>
      </w:pPr>
    </w:p>
    <w:p>
      <w:pPr>
        <w:ind w:left="440" w:right="200"/>
        <w:spacing w:after="0" w:line="293" w:lineRule="auto"/>
        <w:rPr>
          <w:sz w:val="20"/>
          <w:szCs w:val="20"/>
          <w:color w:val="auto"/>
        </w:rPr>
      </w:pPr>
      <w:r>
        <w:rPr>
          <w:rFonts w:ascii="Arial" w:cs="Arial" w:eastAsia="Arial" w:hAnsi="Arial"/>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success of our efforts to acquire or in-license additional technologies or product candidates;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announced or completed significant acquisitions, strategic collaborations, joint ventures or capital commitments by us or our competitors;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developments or disputes concerning our intellectual property and proprietary rights;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recruitment or departure of key personnel;</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structure of healthcare payment systems;</w:t>
      </w:r>
    </w:p>
    <w:p>
      <w:pPr>
        <w:spacing w:after="0" w:line="131" w:lineRule="exact"/>
        <w:rPr>
          <w:sz w:val="20"/>
          <w:szCs w:val="20"/>
          <w:color w:val="auto"/>
        </w:rPr>
      </w:pPr>
    </w:p>
    <w:p>
      <w:pPr>
        <w:ind w:left="440" w:right="700"/>
        <w:spacing w:after="0" w:line="293" w:lineRule="auto"/>
        <w:rPr>
          <w:sz w:val="20"/>
          <w:szCs w:val="20"/>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failure or the failure of our competitors to meet analysts’ projections or guidance that we or our competitors may give to the market;</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speculation in the press or investment community;</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share price and fluctuations of trading volume of our common stock;</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fluctuations in the valuation of companies perceived by investors to be comparable to us;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sales of shares of our common stock by us, insiders or our stockholders;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ability or inability to raise additional capital and the terms on which we raise it;</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concentrated ownership of our common stock;</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accounting principles;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natural disasters, terrorist acts, acts of war and other calamities; and</w:t>
      </w:r>
    </w:p>
    <w:p>
      <w:pPr>
        <w:spacing w:after="0" w:line="131" w:lineRule="exact"/>
        <w:rPr>
          <w:sz w:val="20"/>
          <w:szCs w:val="20"/>
          <w:color w:val="auto"/>
        </w:rPr>
      </w:pPr>
    </w:p>
    <w:p>
      <w:pPr>
        <w:ind w:left="440" w:right="220"/>
        <w:spacing w:after="0" w:line="293" w:lineRule="auto"/>
        <w:rPr>
          <w:sz w:val="20"/>
          <w:szCs w:val="20"/>
          <w:color w:val="auto"/>
        </w:rPr>
      </w:pPr>
      <w:r>
        <w:rPr>
          <w:rFonts w:ascii="Arial" w:cs="Arial" w:eastAsia="Arial" w:hAnsi="Arial"/>
          <w:sz w:val="18"/>
          <w:szCs w:val="18"/>
          <w:color w:val="auto"/>
        </w:rPr>
        <w:t>general economic, industry and market conditions, or other events or factors, many of which are beyond our control, such as the recent COVID-19 pandemic.</w:t>
      </w:r>
    </w:p>
    <w:p>
      <w:pPr>
        <w:spacing w:after="0" w:line="170"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In addition, the stock market in general, and the markets for pharmaceutical, biopharmaceutical and biotechnology stocks in particular, have experienced extreme price and volume fluctuations, including as a result of the COVID-19 pandemic,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82" w:name="page83"/>
    <w:bookmarkEnd w:id="82"/>
    <w:p>
      <w:pPr>
        <w:ind w:right="80"/>
        <w:spacing w:after="0" w:line="329" w:lineRule="auto"/>
        <w:rPr>
          <w:sz w:val="20"/>
          <w:szCs w:val="20"/>
          <w:color w:val="auto"/>
        </w:rPr>
      </w:pPr>
      <w:r>
        <w:rPr>
          <w:rFonts w:ascii="Arial" w:cs="Arial" w:eastAsia="Arial" w:hAnsi="Arial"/>
          <w:sz w:val="16"/>
          <w:szCs w:val="16"/>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p>
    <w:p>
      <w:pPr>
        <w:spacing w:after="0" w:line="256"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580"/>
        <w:spacing w:after="0" w:line="293"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timing and variations in the level of expense related to the current or future development of our programs;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timing and status of enrollment for our clinical trials;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impacts from the COVID-19 pandemic on us or third parties with which we engage;</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results of clinical trials, or the addition or termination of clinical trials or funding support by us or potential future partners;</w:t>
      </w:r>
    </w:p>
    <w:p>
      <w:pPr>
        <w:spacing w:after="0" w:line="131" w:lineRule="exact"/>
        <w:rPr>
          <w:sz w:val="20"/>
          <w:szCs w:val="20"/>
          <w:color w:val="auto"/>
        </w:rPr>
      </w:pPr>
    </w:p>
    <w:p>
      <w:pPr>
        <w:ind w:left="440" w:right="340"/>
        <w:spacing w:after="0" w:line="293" w:lineRule="auto"/>
        <w:rPr>
          <w:sz w:val="20"/>
          <w:szCs w:val="20"/>
          <w:color w:val="auto"/>
        </w:rPr>
      </w:pPr>
      <w:r>
        <w:rPr>
          <w:rFonts w:ascii="Arial" w:cs="Arial" w:eastAsia="Arial" w:hAnsi="Arial"/>
          <w:sz w:val="18"/>
          <w:szCs w:val="18"/>
          <w:color w:val="auto"/>
        </w:rPr>
        <w:t>our execution of any collaboration, licensing or similar arrangements, and the timing of payments we may make or receive under potential future arrangements or the termination or modification of any such potential future arrangements;</w:t>
      </w:r>
    </w:p>
    <w:p>
      <w:pPr>
        <w:spacing w:after="0" w:line="62" w:lineRule="exact"/>
        <w:rPr>
          <w:sz w:val="20"/>
          <w:szCs w:val="20"/>
          <w:color w:val="auto"/>
        </w:rPr>
      </w:pPr>
    </w:p>
    <w:p>
      <w:pPr>
        <w:ind w:left="440" w:right="100"/>
        <w:spacing w:after="0" w:line="293" w:lineRule="auto"/>
        <w:rPr>
          <w:sz w:val="20"/>
          <w:szCs w:val="20"/>
          <w:color w:val="auto"/>
        </w:rPr>
      </w:pPr>
      <w:r>
        <w:rPr>
          <w:rFonts w:ascii="Arial" w:cs="Arial" w:eastAsia="Arial" w:hAnsi="Arial"/>
          <w:sz w:val="18"/>
          <w:szCs w:val="18"/>
          <w:color w:val="auto"/>
        </w:rPr>
        <w:t>any intellectual property infringement, misappropriation or violation lawsuit or opposition, interference or cancellation proceeding in which we may become involved;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additions and departures of key personnel;</w:t>
      </w:r>
    </w:p>
    <w:p>
      <w:pPr>
        <w:spacing w:after="0" w:line="131" w:lineRule="exact"/>
        <w:rPr>
          <w:sz w:val="20"/>
          <w:szCs w:val="20"/>
          <w:color w:val="auto"/>
        </w:rPr>
      </w:pPr>
    </w:p>
    <w:p>
      <w:pPr>
        <w:ind w:left="440" w:right="140"/>
        <w:spacing w:after="0" w:line="293" w:lineRule="auto"/>
        <w:rPr>
          <w:sz w:val="20"/>
          <w:szCs w:val="20"/>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sz w:val="20"/>
          <w:szCs w:val="20"/>
          <w:color w:val="auto"/>
        </w:rPr>
      </w:pPr>
    </w:p>
    <w:p>
      <w:pPr>
        <w:ind w:left="440" w:right="100"/>
        <w:spacing w:after="0" w:line="293" w:lineRule="auto"/>
        <w:rPr>
          <w:sz w:val="20"/>
          <w:szCs w:val="20"/>
          <w:color w:val="auto"/>
        </w:rPr>
      </w:pPr>
      <w:r>
        <w:rPr>
          <w:rFonts w:ascii="Arial" w:cs="Arial" w:eastAsia="Arial" w:hAnsi="Arial"/>
          <w:sz w:val="18"/>
          <w:szCs w:val="18"/>
          <w:color w:val="auto"/>
        </w:rPr>
        <w:t>if any product candidate we may develop receive regulatory approval, the timing and terms of such approval and market acceptance and demand for such product candidates;</w:t>
      </w:r>
    </w:p>
    <w:p>
      <w:pPr>
        <w:spacing w:after="0" w:line="62" w:lineRule="exact"/>
        <w:rPr>
          <w:sz w:val="20"/>
          <w:szCs w:val="20"/>
          <w:color w:val="auto"/>
        </w:rPr>
      </w:pPr>
    </w:p>
    <w:p>
      <w:pPr>
        <w:ind w:left="440" w:right="120"/>
        <w:spacing w:after="0" w:line="293" w:lineRule="auto"/>
        <w:rPr>
          <w:sz w:val="20"/>
          <w:szCs w:val="20"/>
          <w:color w:val="auto"/>
        </w:rPr>
      </w:pPr>
      <w:r>
        <w:rPr>
          <w:rFonts w:ascii="Arial" w:cs="Arial" w:eastAsia="Arial" w:hAnsi="Arial"/>
          <w:sz w:val="18"/>
          <w:szCs w:val="18"/>
          <w:color w:val="auto"/>
        </w:rPr>
        <w:t>the timing and cost to establish a sales, marketing and distribution infrastructure to commercialize any products for which we may obtain marketing approval and intend to commercialize on our own or jointly with future collaborators;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regulatory developments affecting current or future product candidates or those of our competitors;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amount of expense or gain associated with the change in value of the success payments and contingent consideration; and</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general market and economic conditions.</w:t>
      </w:r>
    </w:p>
    <w:p>
      <w:pPr>
        <w:spacing w:after="0" w:line="239" w:lineRule="exact"/>
        <w:rPr>
          <w:sz w:val="20"/>
          <w:szCs w:val="20"/>
          <w:color w:val="auto"/>
        </w:rPr>
      </w:pPr>
    </w:p>
    <w:p>
      <w:pPr>
        <w:spacing w:after="0" w:line="329"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256"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our stockholders’ ability to achieve a return on their investment will depend on appreciation of the value of our common stock.</w:t>
      </w:r>
    </w:p>
    <w:p>
      <w:pPr>
        <w:spacing w:after="0" w:line="62"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sale of a substantial number of shares of our common stock may cause the price of our common stock to decline.</w:t>
      </w:r>
    </w:p>
    <w:p>
      <w:pPr>
        <w:spacing w:after="0" w:line="131"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If our stockholders sell, or the market perceives that our stockholders intend to sell, substantial amounts of our common stock in the public market before or after the lock-up and other legal restrictions on resale lapse in connection with our IPO, the market price of our common stock could decline significantly. Each of our officers, directors and substantially all of our stockholders have entered into lock-up agreements that restrict their ability to sell or transfer their shares. The lock-up agreements will expire 180 days from the date of the effectiveness of the registration statement for our IPO. However, J.P. Morgan Securities LLC may, in its sole discretion, permit our officers, directors and other stockholders who are subject to the lock-up agreements to sell shares prior to the expiration of the lock-up agreements. After the lock-up agreements expire, a substantial number shares of common stock will be eligible for sale in the public market.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3" w:name="page84"/>
    <w:bookmarkEnd w:id="83"/>
    <w:p>
      <w:pPr>
        <w:ind w:right="100"/>
        <w:spacing w:after="0" w:line="296" w:lineRule="auto"/>
        <w:rPr>
          <w:sz w:val="20"/>
          <w:szCs w:val="20"/>
          <w:color w:val="auto"/>
        </w:rPr>
      </w:pPr>
      <w:r>
        <w:rPr>
          <w:rFonts w:ascii="Arial" w:cs="Arial" w:eastAsia="Arial" w:hAnsi="Arial"/>
          <w:sz w:val="17"/>
          <w:szCs w:val="17"/>
          <w:color w:val="auto"/>
        </w:rPr>
        <w:t>The holders of an aggregate of 32,489,398 shares of our outstanding common stock as of March 31, 2021 will have rights, subject to some conditions, to require us to file registration statements covering their shares or to include their shares in registration statements that we may file for ourselves or our stockholders. We also have registered shares of common stock that we may issue under our equity incentive plans. These shares, are freely tradeable in the public market upon issuance, subject to the 180-day lock-up period under the lock-up agreements described above.</w:t>
      </w:r>
    </w:p>
    <w:p>
      <w:pPr>
        <w:spacing w:after="0" w:line="170" w:lineRule="exact"/>
        <w:rPr>
          <w:sz w:val="20"/>
          <w:szCs w:val="20"/>
          <w:color w:val="auto"/>
        </w:rPr>
      </w:pPr>
    </w:p>
    <w:p>
      <w:pPr>
        <w:jc w:val="both"/>
        <w:ind w:right="480"/>
        <w:spacing w:after="0" w:line="303" w:lineRule="auto"/>
        <w:rPr>
          <w:sz w:val="20"/>
          <w:szCs w:val="20"/>
          <w:color w:val="auto"/>
        </w:rPr>
      </w:pPr>
      <w:r>
        <w:rPr>
          <w:rFonts w:ascii="Arial" w:cs="Arial" w:eastAsia="Arial" w:hAnsi="Arial"/>
          <w:sz w:val="17"/>
          <w:szCs w:val="17"/>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the perception that such sales may occur, could adversely affect the market price of our common stock.</w:t>
      </w:r>
    </w:p>
    <w:p>
      <w:pPr>
        <w:spacing w:after="0" w:line="164" w:lineRule="exact"/>
        <w:rPr>
          <w:sz w:val="20"/>
          <w:szCs w:val="20"/>
          <w:color w:val="auto"/>
        </w:rPr>
      </w:pPr>
    </w:p>
    <w:p>
      <w:pPr>
        <w:ind w:right="100"/>
        <w:spacing w:after="0" w:line="319" w:lineRule="auto"/>
        <w:rPr>
          <w:sz w:val="20"/>
          <w:szCs w:val="20"/>
          <w:color w:val="auto"/>
        </w:rPr>
      </w:pPr>
      <w:r>
        <w:rPr>
          <w:rFonts w:ascii="Arial" w:cs="Arial" w:eastAsia="Arial" w:hAnsi="Arial"/>
          <w:sz w:val="16"/>
          <w:szCs w:val="16"/>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spacing w:after="0" w:line="264"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Based on the beneficial ownership of our common stock as of October 31, 2021, our executive officers, directors, holders of 5% or more of our capital stock and their respective affiliates beneficially owned 73% of our voting stock. The voting power of this group may increase to the extent they convert shares of non-voting common stock they hold into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w:t>
      </w:r>
    </w:p>
    <w:p>
      <w:pPr>
        <w:spacing w:after="0" w:line="271" w:lineRule="exact"/>
        <w:rPr>
          <w:sz w:val="20"/>
          <w:szCs w:val="20"/>
          <w:color w:val="auto"/>
        </w:rPr>
      </w:pPr>
    </w:p>
    <w:p>
      <w:pPr>
        <w:ind w:right="60"/>
        <w:spacing w:after="0" w:line="359"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17"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the Sarbanes-Oxley Act, (ii) reduced disclosure obligations regarding executive compensation in our periodic reports and proxy statements and (iii) exemptions from the requirements of holding nonbinding advisory stockholder votes on executive compensation and stockholder approval of any golden parachute payments not approved previously.</w:t>
      </w:r>
    </w:p>
    <w:p>
      <w:pPr>
        <w:spacing w:after="0" w:line="174" w:lineRule="exact"/>
        <w:rPr>
          <w:sz w:val="20"/>
          <w:szCs w:val="20"/>
          <w:color w:val="auto"/>
        </w:rPr>
      </w:pPr>
    </w:p>
    <w:p>
      <w:pPr>
        <w:jc w:val="both"/>
        <w:ind w:right="120"/>
        <w:spacing w:after="0" w:line="275" w:lineRule="auto"/>
        <w:rPr>
          <w:sz w:val="20"/>
          <w:szCs w:val="20"/>
          <w:color w:val="auto"/>
        </w:rPr>
      </w:pPr>
      <w:r>
        <w:rPr>
          <w:rFonts w:ascii="Arial" w:cs="Arial" w:eastAsia="Arial" w:hAnsi="Arial"/>
          <w:sz w:val="18"/>
          <w:szCs w:val="18"/>
          <w:color w:val="auto"/>
        </w:rPr>
        <w:t xml:space="preserve">We could be an emerging growth company for up to five fiscal years following the completion of the IPO;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certain circumstances could cause us to lose that status earlier, including if we are deemed to be a “large accelerated filer,” which occurs when the market value of our common stock that is held by non-affiliates equals or exceeds $700 million, if we have total annual gross revenue of $1.07 billion or more, or if we issue more than $1.0 billion in non-convertible debt during any three-year period before that time.</w:t>
      </w:r>
    </w:p>
    <w:p>
      <w:pPr>
        <w:spacing w:after="0" w:line="185"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color w:val="auto"/>
        </w:rPr>
        <w:t>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60"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4" w:name="page85"/>
    <w:bookmarkEnd w:id="84"/>
    <w:p>
      <w:pPr>
        <w:ind w:right="40"/>
        <w:spacing w:after="0" w:line="293" w:lineRule="auto"/>
        <w:rPr>
          <w:sz w:val="20"/>
          <w:szCs w:val="20"/>
          <w:color w:val="auto"/>
        </w:rPr>
      </w:pPr>
      <w:r>
        <w:rPr>
          <w:rFonts w:ascii="Arial" w:cs="Arial" w:eastAsia="Arial" w:hAnsi="Arial"/>
          <w:sz w:val="18"/>
          <w:szCs w:val="18"/>
          <w:color w:val="auto"/>
        </w:rPr>
        <w:t>our consolidated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7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the same exemptions from certain disclosure requirements, including not being required to comply with the auditor attestation requirements of Section 404 of the Sarbanes-Oxley Act, reduced disclosure obligations regarding executive compensation and the option to present only the two most recent fiscal years of audited financial statements in our Annual Report on Form 10-K.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278"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62" w:lineRule="exact"/>
        <w:rPr>
          <w:sz w:val="20"/>
          <w:szCs w:val="20"/>
          <w:color w:val="auto"/>
        </w:rPr>
      </w:pPr>
    </w:p>
    <w:p>
      <w:pPr>
        <w:jc w:val="both"/>
        <w:ind w:right="100"/>
        <w:spacing w:after="0" w:line="279" w:lineRule="auto"/>
        <w:rPr>
          <w:sz w:val="20"/>
          <w:szCs w:val="20"/>
          <w:color w:val="auto"/>
        </w:rPr>
      </w:pPr>
      <w:r>
        <w:rPr>
          <w:rFonts w:ascii="Arial" w:cs="Arial" w:eastAsia="Arial" w:hAnsi="Arial"/>
          <w:sz w:val="18"/>
          <w:szCs w:val="18"/>
          <w:color w:val="auto"/>
        </w:rPr>
        <w:t>Our restated certificate of incorporation and our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authorize the issuance of “blank check” preferred stock that our board could use to implement a stockholder rights plan;</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eliminate the ability of our stockholders to call special meetings of stockholders;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prohibit cumulative voting; and</w:t>
      </w:r>
    </w:p>
    <w:p>
      <w:pPr>
        <w:spacing w:after="0" w:line="131" w:lineRule="exact"/>
        <w:rPr>
          <w:sz w:val="20"/>
          <w:szCs w:val="20"/>
          <w:color w:val="auto"/>
        </w:rPr>
      </w:pPr>
    </w:p>
    <w:p>
      <w:pPr>
        <w:ind w:left="440" w:right="280"/>
        <w:spacing w:after="0" w:line="293" w:lineRule="auto"/>
        <w:rPr>
          <w:sz w:val="20"/>
          <w:szCs w:val="20"/>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291"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b w:val="1"/>
          <w:bCs w:val="1"/>
          <w:i w:val="1"/>
          <w:iCs w:val="1"/>
          <w:color w:val="auto"/>
        </w:rPr>
        <w:t>The exclusive forum provision in our organizational documents may limit a stockholder’s ability to bring a claim in a judicial forum that it finds favorable for disputes with us or any of our directors, officers, or other employees, or the underwriters of any offering giving rise to such claim, which may discourage lawsuits with respect to such claims.</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restated certificate of incorporation provides that, to the fullest extent permitted by law,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This exclusive forum provision does not apply to suits brought to enforce a duty or liability created by the Securities Exchange Act of 1934, as amended, or the Exchange Act. It could apply, however, to a suit that falls within one or more of the categories enumerated in the exclusive forum provision.</w:t>
      </w:r>
    </w:p>
    <w:p>
      <w:pPr>
        <w:spacing w:after="0" w:line="19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5" w:name="page86"/>
    <w:bookmarkEnd w:id="85"/>
    <w:p>
      <w:pPr>
        <w:spacing w:after="0" w:line="305"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claims brought to enforce any duty or liability created by the Securities Act or the rules and regulations thereunder. Our restated bylaws will provide that the federal district courts of the United States of America will, to the fullest extent permitted by law, be the exclusive forum for resolving any complaint asserting a cause of action arising under the Securities Act, or a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w:t>
      </w:r>
    </w:p>
    <w:p>
      <w:pPr>
        <w:spacing w:after="0" w:line="169"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191"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or other employees, or the underwriters of any offering giving rise to such claim, which may discourage lawsuits against us and our directors, officers, and other employees.</w:t>
      </w:r>
    </w:p>
    <w:p>
      <w:pPr>
        <w:spacing w:after="0" w:line="299"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jc w:val="both"/>
        <w:ind w:right="280"/>
        <w:spacing w:after="0" w:line="303"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operation and expansion of our business and do not anticipate declaring or paying any cash dividends for the foreseeable future. As a result, capital appreciation, if any, of our common stock will be your sole source of gain for the foreseeable future.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35"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company, our common stock price and trading volume could decline.</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preclinical studies and future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289"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The Sarbanes- 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6" w:name="page87"/>
    <w:bookmarkEnd w:id="86"/>
    <w:p>
      <w:pPr>
        <w:spacing w:after="0" w:line="271" w:lineRule="auto"/>
        <w:rPr>
          <w:sz w:val="20"/>
          <w:szCs w:val="20"/>
          <w:color w:val="auto"/>
        </w:rPr>
      </w:pPr>
      <w:r>
        <w:rPr>
          <w:rFonts w:ascii="Arial" w:cs="Arial" w:eastAsia="Arial" w:hAnsi="Arial"/>
          <w:sz w:val="18"/>
          <w:szCs w:val="18"/>
          <w:color w:val="auto"/>
        </w:rPr>
        <w:t>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99"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over financial reporting our ability to produce accurate and timely financial statements could be impaired.</w:t>
      </w:r>
    </w:p>
    <w:p>
      <w:pPr>
        <w:spacing w:after="0" w:line="6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Pursuant to Section 404 of the Sarbanes-Oxley Act, our management will be required to report upon the effectiveness of our internal control over financial reporting beginning with annual report for our fiscal year ending December 31, 2022. When we lose our status as an “emerging growth company” and become an “accelerated filer” or a “large accelerated filer,”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w:t>
      </w:r>
    </w:p>
    <w:p>
      <w:pPr>
        <w:spacing w:after="0" w:line="182"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auto"/>
        </w:rPr>
        <w:t>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the Nasdaq Global Select Market, or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31" w:lineRule="exact"/>
        <w:rPr>
          <w:sz w:val="20"/>
          <w:szCs w:val="20"/>
          <w:color w:val="auto"/>
        </w:rPr>
      </w:pPr>
    </w:p>
    <w:p>
      <w:pPr>
        <w:ind w:right="200"/>
        <w:spacing w:after="0" w:line="272"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9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31"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31"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On June 1, 2021, we completed our IPO and sold 11,500,000 shares of common stock at an IPO price of $16.00 per share. The offer and sale of all of the shares in the IPO were registered under the Securities Act pursuant to registration statements on Form S-1 (File No. 333-255754), which was declared effective by the SEC on May 26, 2021. No additional shares were registered.</w:t>
      </w:r>
    </w:p>
    <w:p>
      <w:pPr>
        <w:spacing w:after="0" w:line="183"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We received net proceeds from the IPO of approximately $167.0 million, after deducting underwriting discounts and commissions of approximately $12.9 million and estimated offering expenses of approximately $4.1 million. J.P. Morgan Securities LLC, Cowen and Company, LLC and Piper Sandler &amp; Co. acted as joint book-running managers of the offering and as representatives of the underwriters. None of the expenses associated with the IPO were paid to directors, officers, persons owning 10% or more of any class of equity securities, or to their associates, or to our affiliates.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There has been no material change in the planned use of proceeds from our IPO as described in the Prospectus filed with the SEC pursuant to Rule 424(b)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 under the Securities Act on May 27, 2021.</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88" w:right="41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Item 6. Exhibits.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exhibits filed or furnished as part of this Quarterly Report on Form 10-Q are set forth on the Exhibit Index below.</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Incorporated by Reference</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7"/>
        </w:trPr>
        <w:tc>
          <w:tcPr>
            <w:tcW w:w="9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ind w:left="360"/>
              <w:spacing w:after="0"/>
              <w:rPr>
                <w:sz w:val="20"/>
                <w:szCs w:val="20"/>
                <w:color w:val="auto"/>
              </w:rPr>
            </w:pPr>
            <w:r>
              <w:rPr>
                <w:rFonts w:ascii="Arial" w:cs="Arial" w:eastAsia="Arial" w:hAnsi="Arial"/>
                <w:sz w:val="14"/>
                <w:szCs w:val="14"/>
                <w:b w:val="1"/>
                <w:bCs w:val="1"/>
                <w:color w:val="auto"/>
              </w:rPr>
              <w:t>Filing</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Filed/Furnished</w:t>
            </w:r>
          </w:p>
        </w:tc>
      </w:tr>
      <w:tr>
        <w:trPr>
          <w:trHeight w:val="198"/>
        </w:trPr>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7"/>
                <w:szCs w:val="17"/>
                <w:color w:val="auto"/>
              </w:rPr>
            </w:pPr>
          </w:p>
        </w:tc>
        <w:tc>
          <w:tcPr>
            <w:tcW w:w="450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7"/>
                <w:szCs w:val="17"/>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Form</w:t>
            </w:r>
          </w:p>
        </w:tc>
        <w:tc>
          <w:tcPr>
            <w:tcW w:w="160" w:type="dxa"/>
            <w:vAlign w:val="bottom"/>
          </w:tcPr>
          <w:p>
            <w:pPr>
              <w:spacing w:after="0"/>
              <w:rPr>
                <w:sz w:val="17"/>
                <w:szCs w:val="17"/>
                <w:color w:val="auto"/>
              </w:rPr>
            </w:pPr>
          </w:p>
        </w:tc>
        <w:tc>
          <w:tcPr>
            <w:tcW w:w="13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File No.</w:t>
            </w:r>
          </w:p>
        </w:tc>
        <w:tc>
          <w:tcPr>
            <w:tcW w:w="140" w:type="dxa"/>
            <w:vAlign w:val="bottom"/>
          </w:tcPr>
          <w:p>
            <w:pPr>
              <w:spacing w:after="0"/>
              <w:rPr>
                <w:sz w:val="17"/>
                <w:szCs w:val="17"/>
                <w:color w:val="auto"/>
              </w:rPr>
            </w:pP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7"/>
                <w:szCs w:val="17"/>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r>
    </w:tbl>
    <w:p>
      <w:pPr>
        <w:spacing w:after="0" w:line="158" w:lineRule="exact"/>
        <w:rPr>
          <w:sz w:val="20"/>
          <w:szCs w:val="20"/>
          <w:color w:val="auto"/>
        </w:rPr>
      </w:pPr>
    </w:p>
    <w:p>
      <w:pPr>
        <w:sectPr>
          <w:pgSz w:w="11900" w:h="16838" w:orient="portrait"/>
          <w:cols w:equalWidth="0" w:num="1">
            <w:col w:w="11220"/>
          </w:cols>
          <w:pgMar w:left="320" w:top="364" w:right="359" w:bottom="1440" w:gutter="0" w:footer="0" w:header="0"/>
        </w:sectPr>
      </w:pPr>
    </w:p>
    <w:tbl>
      <w:tblPr>
        <w:tblLayout w:type="fixed"/>
        <w:tblInd w:w="140" w:type="dxa"/>
        <w:tblCellMar>
          <w:top w:w="0" w:type="dxa"/>
          <w:left w:w="0" w:type="dxa"/>
          <w:bottom w:w="0" w:type="dxa"/>
          <w:right w:w="0" w:type="dxa"/>
        </w:tblCellMar>
      </w:tblPr>
      <w:tr>
        <w:trPr>
          <w:trHeight w:val="207"/>
        </w:trPr>
        <w:tc>
          <w:tcPr>
            <w:tcW w:w="1000" w:type="dxa"/>
            <w:vAlign w:val="bottom"/>
          </w:tcPr>
          <w:p>
            <w:pPr>
              <w:ind w:left="80"/>
              <w:spacing w:after="0"/>
              <w:rPr>
                <w:sz w:val="20"/>
                <w:szCs w:val="20"/>
                <w:color w:val="auto"/>
              </w:rPr>
            </w:pPr>
            <w:r>
              <w:rPr>
                <w:rFonts w:ascii="Arial" w:cs="Arial" w:eastAsia="Arial" w:hAnsi="Arial"/>
                <w:sz w:val="18"/>
                <w:szCs w:val="18"/>
                <w:color w:val="auto"/>
              </w:rPr>
              <w:t>31.1</w:t>
            </w:r>
          </w:p>
        </w:tc>
        <w:tc>
          <w:tcPr>
            <w:tcW w:w="4500" w:type="dxa"/>
            <w:vAlign w:val="bottom"/>
            <w:tcBorders>
              <w:bottom w:val="single" w:sz="8" w:color="0000FF"/>
            </w:tcBorders>
            <w:gridSpan w:val="12"/>
          </w:tcPr>
          <w:p>
            <w:pPr>
              <w:spacing w:after="0"/>
              <w:rPr>
                <w:rFonts w:ascii="Arial" w:cs="Arial" w:eastAsia="Arial" w:hAnsi="Arial"/>
                <w:sz w:val="18"/>
                <w:szCs w:val="18"/>
                <w:color w:val="0000FF"/>
                <w:w w:val="93"/>
              </w:rPr>
            </w:pPr>
            <w:hyperlink w:anchor="page91">
              <w:r>
                <w:rPr>
                  <w:rFonts w:ascii="Arial" w:cs="Arial" w:eastAsia="Arial" w:hAnsi="Arial"/>
                  <w:sz w:val="18"/>
                  <w:szCs w:val="18"/>
                  <w:color w:val="0000FF"/>
                  <w:w w:val="93"/>
                </w:rPr>
                <w:t>Certification of Principal Executive Officer Pursuant to Rules</w:t>
              </w:r>
            </w:hyperlink>
          </w:p>
        </w:tc>
        <w:tc>
          <w:tcPr>
            <w:tcW w:w="20" w:type="dxa"/>
            <w:vAlign w:val="bottom"/>
          </w:tcPr>
          <w:p>
            <w:pPr>
              <w:spacing w:after="0"/>
              <w:rPr>
                <w:sz w:val="17"/>
                <w:szCs w:val="17"/>
                <w:color w:val="auto"/>
              </w:rPr>
            </w:pPr>
          </w:p>
        </w:tc>
      </w:tr>
      <w:tr>
        <w:trPr>
          <w:trHeight w:val="210"/>
        </w:trPr>
        <w:tc>
          <w:tcPr>
            <w:tcW w:w="1000" w:type="dxa"/>
            <w:vAlign w:val="bottom"/>
          </w:tcPr>
          <w:p>
            <w:pPr>
              <w:spacing w:after="0"/>
              <w:rPr>
                <w:sz w:val="18"/>
                <w:szCs w:val="18"/>
                <w:color w:val="auto"/>
              </w:rPr>
            </w:pPr>
          </w:p>
        </w:tc>
        <w:tc>
          <w:tcPr>
            <w:tcW w:w="452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91">
              <w:r>
                <w:rPr>
                  <w:rFonts w:ascii="Arial" w:cs="Arial" w:eastAsia="Arial" w:hAnsi="Arial"/>
                  <w:sz w:val="18"/>
                  <w:szCs w:val="18"/>
                  <w:color w:val="0000FF"/>
                  <w:w w:val="90"/>
                </w:rPr>
                <w:t>13a-14(a) and 15d-14(a) under the Securities Exchange Act of</w:t>
              </w:r>
            </w:hyperlink>
          </w:p>
        </w:tc>
      </w:tr>
      <w:tr>
        <w:trPr>
          <w:trHeight w:val="209"/>
        </w:trPr>
        <w:tc>
          <w:tcPr>
            <w:tcW w:w="1000" w:type="dxa"/>
            <w:vAlign w:val="bottom"/>
          </w:tcPr>
          <w:p>
            <w:pPr>
              <w:spacing w:after="0"/>
              <w:rPr>
                <w:sz w:val="18"/>
                <w:szCs w:val="18"/>
                <w:color w:val="auto"/>
              </w:rPr>
            </w:pPr>
          </w:p>
        </w:tc>
        <w:tc>
          <w:tcPr>
            <w:tcW w:w="4520" w:type="dxa"/>
            <w:vAlign w:val="bottom"/>
            <w:gridSpan w:val="13"/>
          </w:tcPr>
          <w:p>
            <w:pPr>
              <w:spacing w:after="0"/>
              <w:rPr>
                <w:rFonts w:ascii="Arial" w:cs="Arial" w:eastAsia="Arial" w:hAnsi="Arial"/>
                <w:sz w:val="18"/>
                <w:szCs w:val="18"/>
                <w:color w:val="0000FF"/>
                <w:w w:val="94"/>
              </w:rPr>
            </w:pPr>
            <w:hyperlink w:anchor="page91">
              <w:r>
                <w:rPr>
                  <w:rFonts w:ascii="Arial" w:cs="Arial" w:eastAsia="Arial" w:hAnsi="Arial"/>
                  <w:sz w:val="18"/>
                  <w:szCs w:val="18"/>
                  <w:color w:val="0000FF"/>
                  <w:w w:val="94"/>
                </w:rPr>
                <w:t>1934, as Adopted Pursuant to Section 302 of the Sarbanes-</w:t>
              </w:r>
            </w:hyperlink>
          </w:p>
        </w:tc>
      </w:tr>
      <w:tr>
        <w:trPr>
          <w:trHeight w:val="210"/>
        </w:trPr>
        <w:tc>
          <w:tcPr>
            <w:tcW w:w="1000" w:type="dxa"/>
            <w:vAlign w:val="bottom"/>
          </w:tcPr>
          <w:p>
            <w:pPr>
              <w:spacing w:after="0"/>
              <w:rPr>
                <w:sz w:val="18"/>
                <w:szCs w:val="18"/>
                <w:color w:val="auto"/>
              </w:rPr>
            </w:pPr>
          </w:p>
        </w:tc>
        <w:tc>
          <w:tcPr>
            <w:tcW w:w="1440" w:type="dxa"/>
            <w:vAlign w:val="bottom"/>
            <w:tcBorders>
              <w:top w:val="single" w:sz="8" w:color="0000FF"/>
              <w:bottom w:val="single" w:sz="8" w:color="0000EE"/>
            </w:tcBorders>
            <w:gridSpan w:val="3"/>
          </w:tcPr>
          <w:p>
            <w:pPr>
              <w:spacing w:after="0"/>
              <w:rPr>
                <w:rFonts w:ascii="Arial" w:cs="Arial" w:eastAsia="Arial" w:hAnsi="Arial"/>
                <w:sz w:val="18"/>
                <w:szCs w:val="18"/>
                <w:color w:val="0000FF"/>
                <w:w w:val="96"/>
              </w:rPr>
            </w:pPr>
            <w:hyperlink w:anchor="page91">
              <w:r>
                <w:rPr>
                  <w:rFonts w:ascii="Arial" w:cs="Arial" w:eastAsia="Arial" w:hAnsi="Arial"/>
                  <w:sz w:val="18"/>
                  <w:szCs w:val="18"/>
                  <w:color w:val="0000FF"/>
                  <w:w w:val="96"/>
                </w:rPr>
                <w:t>Oxley Act of 2002.</w:t>
              </w:r>
            </w:hyperlink>
          </w:p>
        </w:tc>
        <w:tc>
          <w:tcPr>
            <w:tcW w:w="2800" w:type="dxa"/>
            <w:vAlign w:val="bottom"/>
            <w:tcBorders>
              <w:top w:val="single" w:sz="8" w:color="0000FF"/>
            </w:tcBorders>
            <w:gridSpan w:val="5"/>
          </w:tcPr>
          <w:p>
            <w:pPr>
              <w:spacing w:after="0"/>
              <w:rPr>
                <w:sz w:val="18"/>
                <w:szCs w:val="18"/>
                <w:color w:val="auto"/>
              </w:rPr>
            </w:pPr>
          </w:p>
        </w:tc>
        <w:tc>
          <w:tcPr>
            <w:tcW w:w="280" w:type="dxa"/>
            <w:vAlign w:val="bottom"/>
            <w:gridSpan w:val="5"/>
          </w:tcPr>
          <w:p>
            <w:pPr>
              <w:spacing w:after="0"/>
              <w:rPr>
                <w:sz w:val="18"/>
                <w:szCs w:val="18"/>
                <w:color w:val="auto"/>
              </w:rPr>
            </w:pPr>
          </w:p>
        </w:tc>
      </w:tr>
      <w:tr>
        <w:trPr>
          <w:trHeight w:val="344"/>
        </w:trPr>
        <w:tc>
          <w:tcPr>
            <w:tcW w:w="1000" w:type="dxa"/>
            <w:vAlign w:val="bottom"/>
          </w:tcPr>
          <w:p>
            <w:pPr>
              <w:ind w:left="80"/>
              <w:spacing w:after="0"/>
              <w:rPr>
                <w:sz w:val="20"/>
                <w:szCs w:val="20"/>
                <w:color w:val="auto"/>
              </w:rPr>
            </w:pPr>
            <w:r>
              <w:rPr>
                <w:rFonts w:ascii="Arial" w:cs="Arial" w:eastAsia="Arial" w:hAnsi="Arial"/>
                <w:sz w:val="18"/>
                <w:szCs w:val="18"/>
                <w:color w:val="auto"/>
              </w:rPr>
              <w:t>31.2</w:t>
            </w:r>
          </w:p>
        </w:tc>
        <w:tc>
          <w:tcPr>
            <w:tcW w:w="4440" w:type="dxa"/>
            <w:vAlign w:val="bottom"/>
            <w:tcBorders>
              <w:bottom w:val="single" w:sz="8" w:color="0000FF"/>
            </w:tcBorders>
            <w:gridSpan w:val="11"/>
          </w:tcPr>
          <w:p>
            <w:pPr>
              <w:spacing w:after="0"/>
              <w:rPr>
                <w:rFonts w:ascii="Arial" w:cs="Arial" w:eastAsia="Arial" w:hAnsi="Arial"/>
                <w:sz w:val="18"/>
                <w:szCs w:val="18"/>
                <w:color w:val="0000FF"/>
                <w:w w:val="93"/>
              </w:rPr>
            </w:pPr>
            <w:hyperlink w:anchor="page92">
              <w:r>
                <w:rPr>
                  <w:rFonts w:ascii="Arial" w:cs="Arial" w:eastAsia="Arial" w:hAnsi="Arial"/>
                  <w:sz w:val="18"/>
                  <w:szCs w:val="18"/>
                  <w:color w:val="0000FF"/>
                  <w:w w:val="93"/>
                </w:rPr>
                <w:t>Certification of Principal Financial Officer Pursuant to Rules</w:t>
              </w:r>
            </w:hyperlink>
          </w:p>
        </w:tc>
        <w:tc>
          <w:tcPr>
            <w:tcW w:w="80" w:type="dxa"/>
            <w:vAlign w:val="bottom"/>
            <w:gridSpan w:val="2"/>
          </w:tcPr>
          <w:p>
            <w:pPr>
              <w:spacing w:after="0"/>
              <w:rPr>
                <w:sz w:val="24"/>
                <w:szCs w:val="24"/>
                <w:color w:val="auto"/>
              </w:rPr>
            </w:pPr>
          </w:p>
        </w:tc>
      </w:tr>
      <w:tr>
        <w:trPr>
          <w:trHeight w:val="209"/>
        </w:trPr>
        <w:tc>
          <w:tcPr>
            <w:tcW w:w="1000" w:type="dxa"/>
            <w:vAlign w:val="bottom"/>
          </w:tcPr>
          <w:p>
            <w:pPr>
              <w:spacing w:after="0"/>
              <w:rPr>
                <w:sz w:val="18"/>
                <w:szCs w:val="18"/>
                <w:color w:val="auto"/>
              </w:rPr>
            </w:pPr>
          </w:p>
        </w:tc>
        <w:tc>
          <w:tcPr>
            <w:tcW w:w="452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92">
              <w:r>
                <w:rPr>
                  <w:rFonts w:ascii="Arial" w:cs="Arial" w:eastAsia="Arial" w:hAnsi="Arial"/>
                  <w:sz w:val="18"/>
                  <w:szCs w:val="18"/>
                  <w:color w:val="0000FF"/>
                  <w:w w:val="90"/>
                </w:rPr>
                <w:t>13a-14(a) and 15d-14(a) under the Securities Exchange Act of</w:t>
              </w:r>
            </w:hyperlink>
          </w:p>
        </w:tc>
      </w:tr>
      <w:tr>
        <w:trPr>
          <w:trHeight w:val="210"/>
        </w:trPr>
        <w:tc>
          <w:tcPr>
            <w:tcW w:w="1000" w:type="dxa"/>
            <w:vAlign w:val="bottom"/>
          </w:tcPr>
          <w:p>
            <w:pPr>
              <w:spacing w:after="0"/>
              <w:rPr>
                <w:sz w:val="18"/>
                <w:szCs w:val="18"/>
                <w:color w:val="auto"/>
              </w:rPr>
            </w:pPr>
          </w:p>
        </w:tc>
        <w:tc>
          <w:tcPr>
            <w:tcW w:w="4520" w:type="dxa"/>
            <w:vAlign w:val="bottom"/>
            <w:gridSpan w:val="13"/>
          </w:tcPr>
          <w:p>
            <w:pPr>
              <w:spacing w:after="0"/>
              <w:rPr>
                <w:rFonts w:ascii="Arial" w:cs="Arial" w:eastAsia="Arial" w:hAnsi="Arial"/>
                <w:sz w:val="18"/>
                <w:szCs w:val="18"/>
                <w:color w:val="0000FF"/>
                <w:w w:val="94"/>
              </w:rPr>
            </w:pPr>
            <w:hyperlink w:anchor="page92">
              <w:r>
                <w:rPr>
                  <w:rFonts w:ascii="Arial" w:cs="Arial" w:eastAsia="Arial" w:hAnsi="Arial"/>
                  <w:sz w:val="18"/>
                  <w:szCs w:val="18"/>
                  <w:color w:val="0000FF"/>
                  <w:w w:val="94"/>
                </w:rPr>
                <w:t>1934, as Adopted Pursuant to Section 302 of the Sarbanes-</w:t>
              </w:r>
            </w:hyperlink>
          </w:p>
        </w:tc>
      </w:tr>
      <w:tr>
        <w:trPr>
          <w:trHeight w:val="209"/>
        </w:trPr>
        <w:tc>
          <w:tcPr>
            <w:tcW w:w="1000" w:type="dxa"/>
            <w:vAlign w:val="bottom"/>
          </w:tcPr>
          <w:p>
            <w:pPr>
              <w:spacing w:after="0"/>
              <w:rPr>
                <w:sz w:val="18"/>
                <w:szCs w:val="18"/>
                <w:color w:val="auto"/>
              </w:rPr>
            </w:pPr>
          </w:p>
        </w:tc>
        <w:tc>
          <w:tcPr>
            <w:tcW w:w="1400" w:type="dxa"/>
            <w:vAlign w:val="bottom"/>
            <w:tcBorders>
              <w:top w:val="single" w:sz="8" w:color="0000FF"/>
              <w:bottom w:val="single" w:sz="8" w:color="0000FF"/>
            </w:tcBorders>
          </w:tcPr>
          <w:p>
            <w:pPr>
              <w:spacing w:after="0"/>
              <w:rPr>
                <w:rFonts w:ascii="Arial" w:cs="Arial" w:eastAsia="Arial" w:hAnsi="Arial"/>
                <w:sz w:val="18"/>
                <w:szCs w:val="18"/>
                <w:color w:val="0000FF"/>
                <w:w w:val="93"/>
              </w:rPr>
            </w:pPr>
            <w:hyperlink w:anchor="page92">
              <w:r>
                <w:rPr>
                  <w:rFonts w:ascii="Arial" w:cs="Arial" w:eastAsia="Arial" w:hAnsi="Arial"/>
                  <w:sz w:val="18"/>
                  <w:szCs w:val="18"/>
                  <w:color w:val="0000FF"/>
                  <w:w w:val="93"/>
                </w:rPr>
                <w:t>Oxley Act of 2002.</w:t>
              </w:r>
            </w:hyperlink>
          </w:p>
        </w:tc>
        <w:tc>
          <w:tcPr>
            <w:tcW w:w="20" w:type="dxa"/>
            <w:vAlign w:val="bottom"/>
            <w:tcBorders>
              <w:top w:val="single" w:sz="8" w:color="0000FF"/>
              <w:bottom w:val="single" w:sz="8" w:color="0000EE"/>
            </w:tcBorders>
          </w:tcPr>
          <w:p>
            <w:pPr>
              <w:spacing w:after="0"/>
              <w:rPr>
                <w:sz w:val="18"/>
                <w:szCs w:val="18"/>
                <w:color w:val="auto"/>
              </w:rPr>
            </w:pPr>
          </w:p>
        </w:tc>
        <w:tc>
          <w:tcPr>
            <w:tcW w:w="2820" w:type="dxa"/>
            <w:vAlign w:val="bottom"/>
            <w:tcBorders>
              <w:top w:val="single" w:sz="8" w:color="0000FF"/>
            </w:tcBorders>
            <w:gridSpan w:val="6"/>
          </w:tcPr>
          <w:p>
            <w:pPr>
              <w:spacing w:after="0"/>
              <w:rPr>
                <w:sz w:val="18"/>
                <w:szCs w:val="18"/>
                <w:color w:val="auto"/>
              </w:rPr>
            </w:pPr>
          </w:p>
        </w:tc>
        <w:tc>
          <w:tcPr>
            <w:tcW w:w="280" w:type="dxa"/>
            <w:vAlign w:val="bottom"/>
            <w:gridSpan w:val="5"/>
          </w:tcPr>
          <w:p>
            <w:pPr>
              <w:spacing w:after="0"/>
              <w:rPr>
                <w:sz w:val="18"/>
                <w:szCs w:val="18"/>
                <w:color w:val="auto"/>
              </w:rPr>
            </w:pPr>
          </w:p>
        </w:tc>
      </w:tr>
      <w:tr>
        <w:trPr>
          <w:trHeight w:val="344"/>
        </w:trPr>
        <w:tc>
          <w:tcPr>
            <w:tcW w:w="1000" w:type="dxa"/>
            <w:vAlign w:val="bottom"/>
          </w:tcPr>
          <w:p>
            <w:pPr>
              <w:ind w:left="80"/>
              <w:spacing w:after="0"/>
              <w:rPr>
                <w:sz w:val="20"/>
                <w:szCs w:val="20"/>
                <w:color w:val="auto"/>
              </w:rPr>
            </w:pPr>
            <w:r>
              <w:rPr>
                <w:rFonts w:ascii="Arial" w:cs="Arial" w:eastAsia="Arial" w:hAnsi="Arial"/>
                <w:sz w:val="18"/>
                <w:szCs w:val="18"/>
                <w:color w:val="auto"/>
              </w:rPr>
              <w:t>32.1*</w:t>
            </w:r>
          </w:p>
        </w:tc>
        <w:tc>
          <w:tcPr>
            <w:tcW w:w="4260" w:type="dxa"/>
            <w:vAlign w:val="bottom"/>
            <w:tcBorders>
              <w:bottom w:val="single" w:sz="8" w:color="0000FF"/>
            </w:tcBorders>
            <w:gridSpan w:val="9"/>
          </w:tcPr>
          <w:p>
            <w:pPr>
              <w:spacing w:after="0"/>
              <w:rPr>
                <w:rFonts w:ascii="Arial" w:cs="Arial" w:eastAsia="Arial" w:hAnsi="Arial"/>
                <w:sz w:val="18"/>
                <w:szCs w:val="18"/>
                <w:color w:val="0000FF"/>
                <w:w w:val="93"/>
              </w:rPr>
            </w:pPr>
            <w:hyperlink w:anchor="page93">
              <w:r>
                <w:rPr>
                  <w:rFonts w:ascii="Arial" w:cs="Arial" w:eastAsia="Arial" w:hAnsi="Arial"/>
                  <w:sz w:val="18"/>
                  <w:szCs w:val="18"/>
                  <w:color w:val="0000FF"/>
                  <w:w w:val="93"/>
                </w:rPr>
                <w:t>Certification of Principal Executive Officer Pursuant to 18</w:t>
              </w:r>
            </w:hyperlink>
          </w:p>
        </w:tc>
        <w:tc>
          <w:tcPr>
            <w:tcW w:w="260" w:type="dxa"/>
            <w:vAlign w:val="bottom"/>
            <w:gridSpan w:val="4"/>
          </w:tcPr>
          <w:p>
            <w:pPr>
              <w:spacing w:after="0"/>
              <w:rPr>
                <w:sz w:val="24"/>
                <w:szCs w:val="24"/>
                <w:color w:val="auto"/>
              </w:rPr>
            </w:pPr>
          </w:p>
        </w:tc>
      </w:tr>
      <w:tr>
        <w:trPr>
          <w:trHeight w:val="210"/>
        </w:trPr>
        <w:tc>
          <w:tcPr>
            <w:tcW w:w="1000" w:type="dxa"/>
            <w:vAlign w:val="bottom"/>
          </w:tcPr>
          <w:p>
            <w:pPr>
              <w:spacing w:after="0"/>
              <w:rPr>
                <w:sz w:val="18"/>
                <w:szCs w:val="18"/>
                <w:color w:val="auto"/>
              </w:rPr>
            </w:pPr>
          </w:p>
        </w:tc>
        <w:tc>
          <w:tcPr>
            <w:tcW w:w="438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93">
              <w:r>
                <w:rPr>
                  <w:rFonts w:ascii="Arial" w:cs="Arial" w:eastAsia="Arial" w:hAnsi="Arial"/>
                  <w:sz w:val="18"/>
                  <w:szCs w:val="18"/>
                  <w:color w:val="0000FF"/>
                  <w:w w:val="90"/>
                </w:rPr>
                <w:t>U.S.C. Section 1350, as Adopted Pursuant to Section 906 of</w:t>
              </w:r>
            </w:hyperlink>
          </w:p>
        </w:tc>
        <w:tc>
          <w:tcPr>
            <w:tcW w:w="140" w:type="dxa"/>
            <w:vAlign w:val="bottom"/>
            <w:gridSpan w:val="3"/>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2420" w:type="dxa"/>
            <w:vAlign w:val="bottom"/>
            <w:tcBorders>
              <w:bottom w:val="single" w:sz="8" w:color="0000EE"/>
            </w:tcBorders>
            <w:gridSpan w:val="6"/>
          </w:tcPr>
          <w:p>
            <w:pPr>
              <w:spacing w:after="0"/>
              <w:rPr>
                <w:rFonts w:ascii="Arial" w:cs="Arial" w:eastAsia="Arial" w:hAnsi="Arial"/>
                <w:sz w:val="18"/>
                <w:szCs w:val="18"/>
                <w:color w:val="0000FF"/>
                <w:w w:val="92"/>
              </w:rPr>
            </w:pPr>
            <w:hyperlink w:anchor="page93">
              <w:r>
                <w:rPr>
                  <w:rFonts w:ascii="Arial" w:cs="Arial" w:eastAsia="Arial" w:hAnsi="Arial"/>
                  <w:sz w:val="18"/>
                  <w:szCs w:val="18"/>
                  <w:color w:val="0000FF"/>
                  <w:w w:val="92"/>
                </w:rPr>
                <w:t>the Sarbanes-Oxley Act of 2002.</w:t>
              </w:r>
            </w:hyperlink>
          </w:p>
        </w:tc>
        <w:tc>
          <w:tcPr>
            <w:tcW w:w="2100" w:type="dxa"/>
            <w:vAlign w:val="bottom"/>
            <w:gridSpan w:val="7"/>
          </w:tcPr>
          <w:p>
            <w:pPr>
              <w:spacing w:after="0"/>
              <w:rPr>
                <w:sz w:val="18"/>
                <w:szCs w:val="18"/>
                <w:color w:val="auto"/>
              </w:rPr>
            </w:pPr>
          </w:p>
        </w:tc>
      </w:tr>
      <w:tr>
        <w:trPr>
          <w:trHeight w:val="345"/>
        </w:trPr>
        <w:tc>
          <w:tcPr>
            <w:tcW w:w="1000" w:type="dxa"/>
            <w:vAlign w:val="bottom"/>
          </w:tcPr>
          <w:p>
            <w:pPr>
              <w:ind w:left="80"/>
              <w:spacing w:after="0"/>
              <w:rPr>
                <w:sz w:val="20"/>
                <w:szCs w:val="20"/>
                <w:color w:val="auto"/>
              </w:rPr>
            </w:pPr>
            <w:r>
              <w:rPr>
                <w:rFonts w:ascii="Arial" w:cs="Arial" w:eastAsia="Arial" w:hAnsi="Arial"/>
                <w:sz w:val="18"/>
                <w:szCs w:val="18"/>
                <w:color w:val="auto"/>
              </w:rPr>
              <w:t>32.2*</w:t>
            </w:r>
          </w:p>
        </w:tc>
        <w:tc>
          <w:tcPr>
            <w:tcW w:w="4220" w:type="dxa"/>
            <w:vAlign w:val="bottom"/>
            <w:tcBorders>
              <w:bottom w:val="single" w:sz="8" w:color="0000FF"/>
            </w:tcBorders>
            <w:gridSpan w:val="7"/>
          </w:tcPr>
          <w:p>
            <w:pPr>
              <w:spacing w:after="0"/>
              <w:rPr>
                <w:rFonts w:ascii="Arial" w:cs="Arial" w:eastAsia="Arial" w:hAnsi="Arial"/>
                <w:sz w:val="18"/>
                <w:szCs w:val="18"/>
                <w:color w:val="0000FF"/>
                <w:w w:val="94"/>
              </w:rPr>
            </w:pPr>
            <w:hyperlink w:anchor="page94">
              <w:r>
                <w:rPr>
                  <w:rFonts w:ascii="Arial" w:cs="Arial" w:eastAsia="Arial" w:hAnsi="Arial"/>
                  <w:sz w:val="18"/>
                  <w:szCs w:val="18"/>
                  <w:color w:val="0000FF"/>
                  <w:w w:val="94"/>
                </w:rPr>
                <w:t>Certification of Principal Financial Officer Pursuant to 18</w:t>
              </w:r>
            </w:hyperlink>
          </w:p>
        </w:tc>
        <w:tc>
          <w:tcPr>
            <w:tcW w:w="300" w:type="dxa"/>
            <w:vAlign w:val="bottom"/>
            <w:gridSpan w:val="6"/>
          </w:tcPr>
          <w:p>
            <w:pPr>
              <w:spacing w:after="0"/>
              <w:rPr>
                <w:sz w:val="24"/>
                <w:szCs w:val="24"/>
                <w:color w:val="auto"/>
              </w:rPr>
            </w:pPr>
          </w:p>
        </w:tc>
      </w:tr>
      <w:tr>
        <w:trPr>
          <w:trHeight w:val="209"/>
        </w:trPr>
        <w:tc>
          <w:tcPr>
            <w:tcW w:w="1000" w:type="dxa"/>
            <w:vAlign w:val="bottom"/>
          </w:tcPr>
          <w:p>
            <w:pPr>
              <w:spacing w:after="0"/>
              <w:rPr>
                <w:sz w:val="18"/>
                <w:szCs w:val="18"/>
                <w:color w:val="auto"/>
              </w:rPr>
            </w:pPr>
          </w:p>
        </w:tc>
        <w:tc>
          <w:tcPr>
            <w:tcW w:w="438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94">
              <w:r>
                <w:rPr>
                  <w:rFonts w:ascii="Arial" w:cs="Arial" w:eastAsia="Arial" w:hAnsi="Arial"/>
                  <w:sz w:val="18"/>
                  <w:szCs w:val="18"/>
                  <w:color w:val="0000FF"/>
                  <w:w w:val="90"/>
                </w:rPr>
                <w:t>U.S.C. Section 1350, as Adopted Pursuant to Section 906 of</w:t>
              </w:r>
            </w:hyperlink>
          </w:p>
        </w:tc>
        <w:tc>
          <w:tcPr>
            <w:tcW w:w="140" w:type="dxa"/>
            <w:vAlign w:val="bottom"/>
            <w:gridSpan w:val="3"/>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238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94">
              <w:r>
                <w:rPr>
                  <w:rFonts w:ascii="Arial" w:cs="Arial" w:eastAsia="Arial" w:hAnsi="Arial"/>
                  <w:sz w:val="18"/>
                  <w:szCs w:val="18"/>
                  <w:color w:val="0000FF"/>
                  <w:w w:val="90"/>
                </w:rPr>
                <w:t>the Sarbanes-Oxley Act of 2002.</w:t>
              </w:r>
            </w:hyperlink>
          </w:p>
        </w:tc>
        <w:tc>
          <w:tcPr>
            <w:tcW w:w="20" w:type="dxa"/>
            <w:vAlign w:val="bottom"/>
            <w:tcBorders>
              <w:bottom w:val="single" w:sz="8" w:color="0000EE"/>
            </w:tcBorders>
          </w:tcPr>
          <w:p>
            <w:pPr>
              <w:spacing w:after="0"/>
              <w:rPr>
                <w:sz w:val="18"/>
                <w:szCs w:val="18"/>
                <w:color w:val="auto"/>
              </w:rPr>
            </w:pPr>
          </w:p>
        </w:tc>
        <w:tc>
          <w:tcPr>
            <w:tcW w:w="2120" w:type="dxa"/>
            <w:vAlign w:val="bottom"/>
            <w:gridSpan w:val="8"/>
          </w:tcPr>
          <w:p>
            <w:pPr>
              <w:spacing w:after="0"/>
              <w:rPr>
                <w:sz w:val="18"/>
                <w:szCs w:val="18"/>
                <w:color w:val="auto"/>
              </w:rPr>
            </w:pPr>
          </w:p>
        </w:tc>
      </w:tr>
      <w:tr>
        <w:trPr>
          <w:trHeight w:val="384"/>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4520" w:type="dxa"/>
            <w:vAlign w:val="bottom"/>
            <w:gridSpan w:val="13"/>
          </w:tcPr>
          <w:p>
            <w:pPr>
              <w:spacing w:after="0"/>
              <w:rPr>
                <w:sz w:val="20"/>
                <w:szCs w:val="20"/>
                <w:color w:val="auto"/>
              </w:rPr>
            </w:pPr>
            <w:r>
              <w:rPr>
                <w:rFonts w:ascii="Arial" w:cs="Arial" w:eastAsia="Arial" w:hAnsi="Arial"/>
                <w:sz w:val="18"/>
                <w:szCs w:val="18"/>
                <w:color w:val="auto"/>
                <w:w w:val="91"/>
              </w:rPr>
              <w:t>Inline XBRL Instance Document (the instance document does</w:t>
            </w:r>
          </w:p>
        </w:tc>
      </w:tr>
      <w:tr>
        <w:trPr>
          <w:trHeight w:val="230"/>
        </w:trPr>
        <w:tc>
          <w:tcPr>
            <w:tcW w:w="1000" w:type="dxa"/>
            <w:vAlign w:val="bottom"/>
          </w:tcPr>
          <w:p>
            <w:pPr>
              <w:spacing w:after="0"/>
              <w:rPr>
                <w:sz w:val="19"/>
                <w:szCs w:val="19"/>
                <w:color w:val="auto"/>
              </w:rPr>
            </w:pPr>
          </w:p>
        </w:tc>
        <w:tc>
          <w:tcPr>
            <w:tcW w:w="4520" w:type="dxa"/>
            <w:vAlign w:val="bottom"/>
            <w:gridSpan w:val="13"/>
          </w:tcPr>
          <w:p>
            <w:pPr>
              <w:spacing w:after="0"/>
              <w:rPr>
                <w:sz w:val="20"/>
                <w:szCs w:val="20"/>
                <w:color w:val="auto"/>
              </w:rPr>
            </w:pPr>
            <w:r>
              <w:rPr>
                <w:rFonts w:ascii="Arial" w:cs="Arial" w:eastAsia="Arial" w:hAnsi="Arial"/>
                <w:sz w:val="18"/>
                <w:szCs w:val="18"/>
                <w:color w:val="auto"/>
                <w:w w:val="92"/>
              </w:rPr>
              <w:t>not appear in the Interactive Data File because its XBRL tags</w:t>
            </w:r>
          </w:p>
        </w:tc>
      </w:tr>
      <w:tr>
        <w:trPr>
          <w:trHeight w:val="230"/>
        </w:trPr>
        <w:tc>
          <w:tcPr>
            <w:tcW w:w="1000" w:type="dxa"/>
            <w:vAlign w:val="bottom"/>
          </w:tcPr>
          <w:p>
            <w:pPr>
              <w:spacing w:after="0"/>
              <w:rPr>
                <w:sz w:val="20"/>
                <w:szCs w:val="20"/>
                <w:color w:val="auto"/>
              </w:rPr>
            </w:pPr>
          </w:p>
        </w:tc>
        <w:tc>
          <w:tcPr>
            <w:tcW w:w="4520" w:type="dxa"/>
            <w:vAlign w:val="bottom"/>
            <w:gridSpan w:val="13"/>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365"/>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452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77"/>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452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1000" w:type="dxa"/>
            <w:vAlign w:val="bottom"/>
          </w:tcPr>
          <w:p>
            <w:pPr>
              <w:spacing w:after="0"/>
              <w:rPr>
                <w:sz w:val="20"/>
                <w:szCs w:val="20"/>
                <w:color w:val="auto"/>
              </w:rPr>
            </w:pPr>
          </w:p>
        </w:tc>
        <w:tc>
          <w:tcPr>
            <w:tcW w:w="4520" w:type="dxa"/>
            <w:vAlign w:val="bottom"/>
            <w:gridSpan w:val="13"/>
          </w:tcPr>
          <w:p>
            <w:pPr>
              <w:spacing w:after="0"/>
              <w:rPr>
                <w:sz w:val="20"/>
                <w:szCs w:val="20"/>
                <w:color w:val="auto"/>
              </w:rPr>
            </w:pPr>
            <w:r>
              <w:rPr>
                <w:rFonts w:ascii="Arial" w:cs="Arial" w:eastAsia="Arial" w:hAnsi="Arial"/>
                <w:sz w:val="18"/>
                <w:szCs w:val="18"/>
                <w:color w:val="auto"/>
              </w:rPr>
              <w:t>Document.</w:t>
            </w:r>
          </w:p>
        </w:tc>
      </w:tr>
      <w:tr>
        <w:trPr>
          <w:trHeight w:val="364"/>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452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1000" w:type="dxa"/>
            <w:vAlign w:val="bottom"/>
          </w:tcPr>
          <w:p>
            <w:pPr>
              <w:spacing w:after="0"/>
              <w:rPr>
                <w:sz w:val="20"/>
                <w:szCs w:val="20"/>
                <w:color w:val="auto"/>
              </w:rPr>
            </w:pPr>
          </w:p>
        </w:tc>
        <w:tc>
          <w:tcPr>
            <w:tcW w:w="4520" w:type="dxa"/>
            <w:vAlign w:val="bottom"/>
            <w:gridSpan w:val="13"/>
          </w:tcPr>
          <w:p>
            <w:pPr>
              <w:spacing w:after="0"/>
              <w:rPr>
                <w:sz w:val="20"/>
                <w:szCs w:val="20"/>
                <w:color w:val="auto"/>
              </w:rPr>
            </w:pPr>
            <w:r>
              <w:rPr>
                <w:rFonts w:ascii="Arial" w:cs="Arial" w:eastAsia="Arial" w:hAnsi="Arial"/>
                <w:sz w:val="18"/>
                <w:szCs w:val="18"/>
                <w:color w:val="auto"/>
              </w:rPr>
              <w:t>Document.</w:t>
            </w:r>
          </w:p>
        </w:tc>
      </w:tr>
      <w:tr>
        <w:trPr>
          <w:trHeight w:val="364"/>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452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1000" w:type="dxa"/>
            <w:vAlign w:val="bottom"/>
          </w:tcPr>
          <w:p>
            <w:pPr>
              <w:spacing w:after="0"/>
              <w:rPr>
                <w:sz w:val="20"/>
                <w:szCs w:val="20"/>
                <w:color w:val="auto"/>
              </w:rPr>
            </w:pPr>
          </w:p>
        </w:tc>
        <w:tc>
          <w:tcPr>
            <w:tcW w:w="4520" w:type="dxa"/>
            <w:vAlign w:val="bottom"/>
            <w:gridSpan w:val="13"/>
          </w:tcPr>
          <w:p>
            <w:pPr>
              <w:spacing w:after="0"/>
              <w:rPr>
                <w:sz w:val="20"/>
                <w:szCs w:val="20"/>
                <w:color w:val="auto"/>
              </w:rPr>
            </w:pPr>
            <w:r>
              <w:rPr>
                <w:rFonts w:ascii="Arial" w:cs="Arial" w:eastAsia="Arial" w:hAnsi="Arial"/>
                <w:sz w:val="18"/>
                <w:szCs w:val="18"/>
                <w:color w:val="auto"/>
              </w:rPr>
              <w:t>Document.</w:t>
            </w:r>
          </w:p>
        </w:tc>
      </w:tr>
      <w:tr>
        <w:trPr>
          <w:trHeight w:val="364"/>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4520" w:type="dxa"/>
            <w:vAlign w:val="bottom"/>
            <w:gridSpan w:val="13"/>
          </w:tcPr>
          <w:p>
            <w:pPr>
              <w:spacing w:after="0"/>
              <w:rPr>
                <w:sz w:val="20"/>
                <w:szCs w:val="20"/>
                <w:color w:val="auto"/>
              </w:rPr>
            </w:pPr>
            <w:r>
              <w:rPr>
                <w:rFonts w:ascii="Arial" w:cs="Arial" w:eastAsia="Arial" w:hAnsi="Arial"/>
                <w:sz w:val="18"/>
                <w:szCs w:val="18"/>
                <w:color w:val="auto"/>
                <w:w w:val="99"/>
              </w:rPr>
              <w:t>Inline XBRL Taxonomy Extension Presentation Linkbase</w:t>
            </w:r>
          </w:p>
        </w:tc>
      </w:tr>
      <w:tr>
        <w:trPr>
          <w:trHeight w:val="230"/>
        </w:trPr>
        <w:tc>
          <w:tcPr>
            <w:tcW w:w="1000" w:type="dxa"/>
            <w:vAlign w:val="bottom"/>
          </w:tcPr>
          <w:p>
            <w:pPr>
              <w:spacing w:after="0"/>
              <w:rPr>
                <w:sz w:val="20"/>
                <w:szCs w:val="20"/>
                <w:color w:val="auto"/>
              </w:rPr>
            </w:pPr>
          </w:p>
        </w:tc>
        <w:tc>
          <w:tcPr>
            <w:tcW w:w="4520" w:type="dxa"/>
            <w:vAlign w:val="bottom"/>
            <w:gridSpan w:val="13"/>
          </w:tcPr>
          <w:p>
            <w:pPr>
              <w:spacing w:after="0"/>
              <w:rPr>
                <w:sz w:val="20"/>
                <w:szCs w:val="20"/>
                <w:color w:val="auto"/>
              </w:rPr>
            </w:pPr>
            <w:r>
              <w:rPr>
                <w:rFonts w:ascii="Arial" w:cs="Arial" w:eastAsia="Arial" w:hAnsi="Arial"/>
                <w:sz w:val="18"/>
                <w:szCs w:val="18"/>
                <w:color w:val="auto"/>
              </w:rPr>
              <w:t>Document.</w:t>
            </w:r>
          </w:p>
        </w:tc>
      </w:tr>
    </w:tbl>
    <w:p>
      <w:pPr>
        <w:spacing w:after="0" w:line="134" w:lineRule="exact"/>
        <w:rPr>
          <w:sz w:val="20"/>
          <w:szCs w:val="20"/>
          <w:color w:val="auto"/>
        </w:rPr>
      </w:pPr>
    </w:p>
    <w:p>
      <w:pPr>
        <w:ind w:left="1140" w:right="3800" w:hanging="1002"/>
        <w:spacing w:after="0" w:line="293"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57" w:lineRule="exact"/>
        <w:rPr>
          <w:sz w:val="20"/>
          <w:szCs w:val="20"/>
          <w:color w:val="auto"/>
        </w:rPr>
      </w:pPr>
    </w:p>
    <w:p>
      <w:pPr>
        <w:sectPr>
          <w:pgSz w:w="11900" w:h="16838" w:orient="portrait"/>
          <w:cols w:equalWidth="0" w:num="2">
            <w:col w:w="9380" w:space="720"/>
            <w:col w:w="1120"/>
          </w:cols>
          <w:pgMar w:left="320" w:top="364" w:right="359" w:bottom="1440" w:gutter="0" w:footer="0" w:header="0"/>
          <w:type w:val="continuous"/>
        </w:sectPr>
      </w:pPr>
    </w:p>
    <w:p>
      <w:pPr>
        <w:ind w:right="300" w:firstLine="8"/>
        <w:spacing w:after="0" w:line="266" w:lineRule="auto"/>
        <w:tabs>
          <w:tab w:leader="none" w:pos="1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89" w:name="page90"/>
    <w:bookmarkEnd w:id="89"/>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3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DAY ONE BIOPHARMACEUTICALS, INC.</w:t>
      </w:r>
    </w:p>
    <w:p>
      <w:pPr>
        <w:spacing w:after="0" w:line="266" w:lineRule="exact"/>
        <w:rPr>
          <w:sz w:val="20"/>
          <w:szCs w:val="20"/>
          <w:color w:val="auto"/>
        </w:rPr>
      </w:pPr>
    </w:p>
    <w:p>
      <w:pPr>
        <w:ind w:left="20"/>
        <w:spacing w:after="0"/>
        <w:tabs>
          <w:tab w:leader="none" w:pos="480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7"/>
          <w:szCs w:val="17"/>
          <w:color w:val="auto"/>
        </w:rPr>
        <w:t>By: /s/ Jeremy Bender,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23495</wp:posOffset>
            </wp:positionV>
            <wp:extent cx="38487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4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Jeremy Bender, Ph.D., M.B.A.</w:t>
      </w:r>
    </w:p>
    <w:p>
      <w:pPr>
        <w:spacing w:after="0" w:line="5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Executive Officer and President</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Executive Officer</w:t>
      </w:r>
    </w:p>
    <w:p>
      <w:pPr>
        <w:spacing w:after="0" w:line="265" w:lineRule="exact"/>
        <w:rPr>
          <w:sz w:val="20"/>
          <w:szCs w:val="20"/>
          <w:color w:val="auto"/>
        </w:rPr>
      </w:pPr>
    </w:p>
    <w:p>
      <w:pPr>
        <w:ind w:left="20"/>
        <w:spacing w:after="0"/>
        <w:tabs>
          <w:tab w:leader="none" w:pos="480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7"/>
          <w:szCs w:val="17"/>
          <w:color w:val="auto"/>
        </w:rPr>
        <w:t>By: /s/ Charles N. York II,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23495</wp:posOffset>
            </wp:positionV>
            <wp:extent cx="38487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4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Charles N. York II, M.B.A.</w:t>
      </w:r>
    </w:p>
    <w:p>
      <w:pPr>
        <w:spacing w:after="0" w:line="5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Operating Officer and Chief Financial Officer</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Executive Officer</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1"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I, Jeremy Bender, certify that:</w:t>
      </w:r>
    </w:p>
    <w:p>
      <w:pPr>
        <w:spacing w:after="0" w:line="212"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Day One Biopharmaceuticals, Inc.;</w:t>
      </w:r>
    </w:p>
    <w:p>
      <w:pPr>
        <w:spacing w:after="0" w:line="198" w:lineRule="exact"/>
        <w:rPr>
          <w:rFonts w:ascii="Arial" w:cs="Arial" w:eastAsia="Arial" w:hAnsi="Arial"/>
          <w:sz w:val="18"/>
          <w:szCs w:val="18"/>
          <w:color w:val="auto"/>
        </w:rPr>
      </w:pPr>
    </w:p>
    <w:p>
      <w:pPr>
        <w:ind w:left="760" w:right="40" w:hanging="752"/>
        <w:spacing w:after="0" w:line="279" w:lineRule="auto"/>
        <w:tabs>
          <w:tab w:leader="none" w:pos="371"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8"/>
          <w:szCs w:val="18"/>
          <w:color w:val="auto"/>
        </w:rPr>
      </w:pPr>
    </w:p>
    <w:p>
      <w:pPr>
        <w:ind w:left="760" w:right="360" w:hanging="752"/>
        <w:spacing w:after="0" w:line="359" w:lineRule="auto"/>
        <w:tabs>
          <w:tab w:leader="none" w:pos="371"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Arial" w:cs="Arial" w:eastAsia="Arial" w:hAnsi="Arial"/>
          <w:sz w:val="16"/>
          <w:szCs w:val="16"/>
          <w:color w:val="auto"/>
        </w:rPr>
      </w:pPr>
    </w:p>
    <w:p>
      <w:pPr>
        <w:ind w:left="760" w:right="600" w:hanging="752"/>
        <w:spacing w:after="0" w:line="293" w:lineRule="auto"/>
        <w:tabs>
          <w:tab w:leader="none" w:pos="37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ind w:left="1500" w:right="40" w:hanging="690"/>
        <w:spacing w:after="0" w:line="279" w:lineRule="auto"/>
        <w:tabs>
          <w:tab w:leader="none" w:pos="116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8"/>
          <w:szCs w:val="18"/>
          <w:color w:val="auto"/>
        </w:rPr>
      </w:pPr>
    </w:p>
    <w:p>
      <w:pPr>
        <w:ind w:left="1500" w:hanging="690"/>
        <w:spacing w:after="0" w:line="359" w:lineRule="auto"/>
        <w:tabs>
          <w:tab w:leader="none" w:pos="1165"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6"/>
          <w:szCs w:val="16"/>
          <w:color w:val="auto"/>
        </w:rPr>
      </w:pPr>
    </w:p>
    <w:p>
      <w:pPr>
        <w:ind w:left="1500" w:right="160" w:hanging="690"/>
        <w:spacing w:after="0" w:line="279" w:lineRule="auto"/>
        <w:tabs>
          <w:tab w:leader="none" w:pos="116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8"/>
          <w:szCs w:val="18"/>
          <w:color w:val="auto"/>
        </w:rPr>
      </w:pPr>
    </w:p>
    <w:p>
      <w:pPr>
        <w:ind w:left="760" w:right="300" w:hanging="752"/>
        <w:spacing w:after="0" w:line="359" w:lineRule="auto"/>
        <w:tabs>
          <w:tab w:leader="none" w:pos="37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4" w:lineRule="exact"/>
        <w:rPr>
          <w:rFonts w:ascii="Arial" w:cs="Arial" w:eastAsia="Arial" w:hAnsi="Arial"/>
          <w:sz w:val="16"/>
          <w:szCs w:val="16"/>
          <w:color w:val="auto"/>
        </w:rPr>
      </w:pPr>
    </w:p>
    <w:p>
      <w:pPr>
        <w:jc w:val="right"/>
        <w:ind w:left="1500" w:right="580" w:hanging="690"/>
        <w:spacing w:after="0" w:line="359" w:lineRule="auto"/>
        <w:tabs>
          <w:tab w:leader="none" w:pos="1165"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Arial" w:cs="Arial" w:eastAsia="Arial" w:hAnsi="Arial"/>
          <w:sz w:val="16"/>
          <w:szCs w:val="16"/>
          <w:color w:val="auto"/>
        </w:rPr>
      </w:pPr>
    </w:p>
    <w:p>
      <w:pPr>
        <w:ind w:left="1500" w:right="280" w:hanging="690"/>
        <w:spacing w:after="0" w:line="293" w:lineRule="auto"/>
        <w:tabs>
          <w:tab w:leader="none" w:pos="116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8, 2021</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Jeremy Bender,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Jeremy Bender, Ph.D., MBA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1"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I, Charles N. York II, certify that:</w:t>
      </w:r>
    </w:p>
    <w:p>
      <w:pPr>
        <w:spacing w:after="0" w:line="212"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Day One Biopharmaceuticals, Inc.;</w:t>
      </w:r>
    </w:p>
    <w:p>
      <w:pPr>
        <w:spacing w:after="0" w:line="198" w:lineRule="exact"/>
        <w:rPr>
          <w:rFonts w:ascii="Arial" w:cs="Arial" w:eastAsia="Arial" w:hAnsi="Arial"/>
          <w:sz w:val="18"/>
          <w:szCs w:val="18"/>
          <w:color w:val="auto"/>
        </w:rPr>
      </w:pPr>
    </w:p>
    <w:p>
      <w:pPr>
        <w:ind w:left="760" w:right="40" w:hanging="752"/>
        <w:spacing w:after="0" w:line="279" w:lineRule="auto"/>
        <w:tabs>
          <w:tab w:leader="none" w:pos="371"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8"/>
          <w:szCs w:val="18"/>
          <w:color w:val="auto"/>
        </w:rPr>
      </w:pPr>
    </w:p>
    <w:p>
      <w:pPr>
        <w:ind w:left="760" w:right="360" w:hanging="752"/>
        <w:spacing w:after="0" w:line="359" w:lineRule="auto"/>
        <w:tabs>
          <w:tab w:leader="none" w:pos="371"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Arial" w:cs="Arial" w:eastAsia="Arial" w:hAnsi="Arial"/>
          <w:sz w:val="16"/>
          <w:szCs w:val="16"/>
          <w:color w:val="auto"/>
        </w:rPr>
      </w:pPr>
    </w:p>
    <w:p>
      <w:pPr>
        <w:ind w:left="760" w:right="600" w:hanging="752"/>
        <w:spacing w:after="0" w:line="293" w:lineRule="auto"/>
        <w:tabs>
          <w:tab w:leader="none" w:pos="37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ind w:left="1500" w:right="40" w:hanging="690"/>
        <w:spacing w:after="0" w:line="279" w:lineRule="auto"/>
        <w:tabs>
          <w:tab w:leader="none" w:pos="116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8"/>
          <w:szCs w:val="18"/>
          <w:color w:val="auto"/>
        </w:rPr>
      </w:pPr>
    </w:p>
    <w:p>
      <w:pPr>
        <w:ind w:left="1500" w:hanging="690"/>
        <w:spacing w:after="0" w:line="359" w:lineRule="auto"/>
        <w:tabs>
          <w:tab w:leader="none" w:pos="1165"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6"/>
          <w:szCs w:val="16"/>
          <w:color w:val="auto"/>
        </w:rPr>
      </w:pPr>
    </w:p>
    <w:p>
      <w:pPr>
        <w:ind w:left="1500" w:right="160" w:hanging="690"/>
        <w:spacing w:after="0" w:line="279" w:lineRule="auto"/>
        <w:tabs>
          <w:tab w:leader="none" w:pos="116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8"/>
          <w:szCs w:val="18"/>
          <w:color w:val="auto"/>
        </w:rPr>
      </w:pPr>
    </w:p>
    <w:p>
      <w:pPr>
        <w:ind w:left="760" w:right="300" w:hanging="752"/>
        <w:spacing w:after="0" w:line="359" w:lineRule="auto"/>
        <w:tabs>
          <w:tab w:leader="none" w:pos="371"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4" w:lineRule="exact"/>
        <w:rPr>
          <w:rFonts w:ascii="Arial" w:cs="Arial" w:eastAsia="Arial" w:hAnsi="Arial"/>
          <w:sz w:val="16"/>
          <w:szCs w:val="16"/>
          <w:color w:val="auto"/>
        </w:rPr>
      </w:pPr>
    </w:p>
    <w:p>
      <w:pPr>
        <w:jc w:val="right"/>
        <w:ind w:left="1500" w:right="580" w:hanging="690"/>
        <w:spacing w:after="0" w:line="359" w:lineRule="auto"/>
        <w:tabs>
          <w:tab w:leader="none" w:pos="1165"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Arial" w:cs="Arial" w:eastAsia="Arial" w:hAnsi="Arial"/>
          <w:sz w:val="16"/>
          <w:szCs w:val="16"/>
          <w:color w:val="auto"/>
        </w:rPr>
      </w:pPr>
    </w:p>
    <w:p>
      <w:pPr>
        <w:ind w:left="1500" w:right="280" w:hanging="690"/>
        <w:spacing w:after="0" w:line="293" w:lineRule="auto"/>
        <w:tabs>
          <w:tab w:leader="none" w:pos="116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8, 2021</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Charles N. York II,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336867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Charles N. York II, M.B.A.</w:t>
      </w:r>
    </w:p>
    <w:p>
      <w:pPr>
        <w:spacing w:after="0" w:line="62"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Chief Operating Officer and Chief Financial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7"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I, Jeremy Bender, Chief Executive Officer of Day One Biopharmaceuticals, Inc. (the “Company”), do hereby certify, pursuant to 18 U.S.C. Section 1350, as adopted pursuant to Section 906 of the Sarbanes-Oxley Act of 2002, that to the best of my knowledge:</w:t>
      </w:r>
    </w:p>
    <w:p>
      <w:pPr>
        <w:spacing w:after="0" w:line="143" w:lineRule="exact"/>
        <w:rPr>
          <w:sz w:val="20"/>
          <w:szCs w:val="20"/>
          <w:color w:val="auto"/>
        </w:rPr>
      </w:pPr>
    </w:p>
    <w:p>
      <w:pPr>
        <w:ind w:left="760" w:right="840" w:hanging="752"/>
        <w:spacing w:after="0" w:line="293" w:lineRule="auto"/>
        <w:tabs>
          <w:tab w:leader="none" w:pos="37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2021 (the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360" w:hanging="352"/>
        <w:spacing w:after="0"/>
        <w:tabs>
          <w:tab w:leader="none" w:pos="3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Dated: November 8, 2021</w:t>
            </w:r>
          </w:p>
        </w:tc>
        <w:tc>
          <w:tcPr>
            <w:tcW w:w="7500" w:type="dxa"/>
            <w:vAlign w:val="bottom"/>
            <w:gridSpan w:val="2"/>
          </w:tcPr>
          <w:p>
            <w:pPr>
              <w:ind w:left="1740"/>
              <w:spacing w:after="0"/>
              <w:rPr>
                <w:sz w:val="20"/>
                <w:szCs w:val="20"/>
                <w:color w:val="auto"/>
              </w:rPr>
            </w:pPr>
            <w:r>
              <w:rPr>
                <w:rFonts w:ascii="Arial" w:cs="Arial" w:eastAsia="Arial" w:hAnsi="Arial"/>
                <w:sz w:val="18"/>
                <w:szCs w:val="18"/>
                <w:color w:val="auto"/>
              </w:rPr>
              <w:t>/s/   Jeremy Bender, Ph.D., M.B.A.</w:t>
            </w:r>
          </w:p>
        </w:tc>
        <w:tc>
          <w:tcPr>
            <w:tcW w:w="120" w:type="dxa"/>
            <w:vAlign w:val="bottom"/>
          </w:tcPr>
          <w:p>
            <w:pPr>
              <w:spacing w:after="0"/>
              <w:rPr>
                <w:sz w:val="20"/>
                <w:szCs w:val="20"/>
                <w:color w:val="auto"/>
              </w:rPr>
            </w:pPr>
          </w:p>
        </w:tc>
      </w:tr>
      <w:tr>
        <w:trPr>
          <w:trHeight w:val="222"/>
        </w:trPr>
        <w:tc>
          <w:tcPr>
            <w:tcW w:w="3620" w:type="dxa"/>
            <w:vAlign w:val="bottom"/>
          </w:tcPr>
          <w:p>
            <w:pPr>
              <w:spacing w:after="0"/>
              <w:rPr>
                <w:sz w:val="19"/>
                <w:szCs w:val="19"/>
                <w:color w:val="auto"/>
              </w:rPr>
            </w:pPr>
          </w:p>
        </w:tc>
        <w:tc>
          <w:tcPr>
            <w:tcW w:w="2160" w:type="dxa"/>
            <w:vAlign w:val="bottom"/>
          </w:tcPr>
          <w:p>
            <w:pPr>
              <w:ind w:left="1740"/>
              <w:spacing w:after="0"/>
              <w:rPr>
                <w:sz w:val="20"/>
                <w:szCs w:val="20"/>
                <w:color w:val="auto"/>
              </w:rPr>
            </w:pPr>
            <w:r>
              <w:rPr>
                <w:rFonts w:ascii="Arial" w:cs="Arial" w:eastAsia="Arial" w:hAnsi="Arial"/>
                <w:sz w:val="17"/>
                <w:szCs w:val="17"/>
                <w:color w:val="auto"/>
                <w:w w:val="71"/>
              </w:rPr>
              <w:t>Jeremy</w:t>
            </w:r>
          </w:p>
        </w:tc>
        <w:tc>
          <w:tcPr>
            <w:tcW w:w="53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Bender, Ph.D., MBA</w:t>
            </w:r>
          </w:p>
        </w:tc>
        <w:tc>
          <w:tcPr>
            <w:tcW w:w="12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7500" w:type="dxa"/>
            <w:vAlign w:val="bottom"/>
            <w:gridSpan w:val="2"/>
          </w:tcPr>
          <w:p>
            <w:pPr>
              <w:ind w:left="1740"/>
              <w:spacing w:after="0"/>
              <w:rPr>
                <w:sz w:val="20"/>
                <w:szCs w:val="20"/>
                <w:color w:val="auto"/>
              </w:rPr>
            </w:pPr>
            <w:r>
              <w:rPr>
                <w:rFonts w:ascii="Arial" w:cs="Arial" w:eastAsia="Arial" w:hAnsi="Arial"/>
                <w:sz w:val="18"/>
                <w:szCs w:val="18"/>
                <w:i w:val="1"/>
                <w:iCs w:val="1"/>
                <w:color w:val="auto"/>
              </w:rPr>
              <w:t>Chief Executive Officer and President</w:t>
            </w:r>
          </w:p>
        </w:tc>
        <w:tc>
          <w:tcPr>
            <w:tcW w:w="120" w:type="dxa"/>
            <w:vAlign w:val="bottom"/>
          </w:tcPr>
          <w:p>
            <w:pPr>
              <w:spacing w:after="0"/>
              <w:rPr>
                <w:sz w:val="20"/>
                <w:szCs w:val="20"/>
                <w:color w:val="auto"/>
              </w:rPr>
            </w:pPr>
          </w:p>
        </w:tc>
      </w:tr>
      <w:tr>
        <w:trPr>
          <w:trHeight w:val="270"/>
        </w:trPr>
        <w:tc>
          <w:tcPr>
            <w:tcW w:w="3620" w:type="dxa"/>
            <w:vAlign w:val="bottom"/>
            <w:tcBorders>
              <w:bottom w:val="single" w:sz="8" w:color="auto"/>
            </w:tcBorders>
          </w:tcPr>
          <w:p>
            <w:pPr>
              <w:spacing w:after="0"/>
              <w:rPr>
                <w:sz w:val="23"/>
                <w:szCs w:val="23"/>
                <w:color w:val="auto"/>
              </w:rPr>
            </w:pPr>
          </w:p>
        </w:tc>
        <w:tc>
          <w:tcPr>
            <w:tcW w:w="7500" w:type="dxa"/>
            <w:vAlign w:val="bottom"/>
            <w:tcBorders>
              <w:bottom w:val="single" w:sz="8" w:color="auto"/>
            </w:tcBorders>
            <w:gridSpan w:val="2"/>
          </w:tcPr>
          <w:p>
            <w:pPr>
              <w:ind w:left="1740"/>
              <w:spacing w:after="0"/>
              <w:rPr>
                <w:sz w:val="20"/>
                <w:szCs w:val="20"/>
                <w:color w:val="auto"/>
              </w:rPr>
            </w:pPr>
            <w:r>
              <w:rPr>
                <w:rFonts w:ascii="Arial" w:cs="Arial" w:eastAsia="Arial" w:hAnsi="Arial"/>
                <w:sz w:val="18"/>
                <w:szCs w:val="18"/>
                <w:i w:val="1"/>
                <w:iCs w:val="1"/>
                <w:color w:val="auto"/>
              </w:rPr>
              <w:t>(Principal Executive Officer)</w:t>
            </w:r>
          </w:p>
        </w:tc>
        <w:tc>
          <w:tcPr>
            <w:tcW w:w="120" w:type="dxa"/>
            <w:vAlign w:val="bottom"/>
            <w:tcBorders>
              <w:bottom w:val="single" w:sz="8" w:color="auto"/>
            </w:tcBorders>
          </w:tcPr>
          <w:p>
            <w:pPr>
              <w:spacing w:after="0"/>
              <w:rPr>
                <w:sz w:val="23"/>
                <w:szCs w:val="23"/>
                <w:color w:val="auto"/>
              </w:rPr>
            </w:pPr>
          </w:p>
        </w:tc>
      </w:tr>
      <w:tr>
        <w:trPr>
          <w:trHeight w:val="608"/>
        </w:trPr>
        <w:tc>
          <w:tcPr>
            <w:tcW w:w="36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4" w:lineRule="exact"/>
        <w:rPr>
          <w:sz w:val="20"/>
          <w:szCs w:val="20"/>
          <w:color w:val="auto"/>
        </w:rPr>
      </w:pPr>
    </w:p>
    <w:p>
      <w:pPr>
        <w:ind w:right="420"/>
        <w:spacing w:after="0" w:line="308" w:lineRule="auto"/>
        <w:rPr>
          <w:sz w:val="20"/>
          <w:szCs w:val="20"/>
          <w:color w:val="auto"/>
        </w:rPr>
      </w:pPr>
      <w:r>
        <w:rPr>
          <w:rFonts w:ascii="Arial" w:cs="Arial" w:eastAsia="Arial" w:hAnsi="Arial"/>
          <w:sz w:val="18"/>
          <w:szCs w:val="18"/>
          <w:color w:val="auto"/>
        </w:rPr>
        <w:t>I, Charles N. York II, Chief Financial Officer of Day One Biopharmaceuticals, Inc. (the “Company”), do hereby certify, pursuant to 18 U.S.C. Section 1350, as adopted pursuant to Section 906 of the Sarbanes-Oxley Act of 2002, that to the best of my knowledge:</w:t>
      </w:r>
    </w:p>
    <w:p>
      <w:pPr>
        <w:spacing w:after="0" w:line="130" w:lineRule="exact"/>
        <w:rPr>
          <w:sz w:val="20"/>
          <w:szCs w:val="20"/>
          <w:color w:val="auto"/>
        </w:rPr>
      </w:pPr>
    </w:p>
    <w:p>
      <w:pPr>
        <w:ind w:left="760" w:right="840" w:hanging="752"/>
        <w:spacing w:after="0" w:line="293" w:lineRule="auto"/>
        <w:tabs>
          <w:tab w:leader="none" w:pos="37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2021 (the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360" w:hanging="352"/>
        <w:spacing w:after="0"/>
        <w:tabs>
          <w:tab w:leader="none" w:pos="3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Dated: November 8, 2021</w:t>
            </w:r>
          </w:p>
        </w:tc>
        <w:tc>
          <w:tcPr>
            <w:tcW w:w="7440" w:type="dxa"/>
            <w:vAlign w:val="bottom"/>
            <w:gridSpan w:val="2"/>
          </w:tcPr>
          <w:p>
            <w:pPr>
              <w:ind w:left="1800"/>
              <w:spacing w:after="0"/>
              <w:rPr>
                <w:sz w:val="20"/>
                <w:szCs w:val="20"/>
                <w:color w:val="auto"/>
              </w:rPr>
            </w:pPr>
            <w:r>
              <w:rPr>
                <w:rFonts w:ascii="Arial" w:cs="Arial" w:eastAsia="Arial" w:hAnsi="Arial"/>
                <w:sz w:val="18"/>
                <w:szCs w:val="18"/>
                <w:color w:val="auto"/>
              </w:rPr>
              <w:t>/s/ Charles N. York II, M.B.A.</w:t>
            </w:r>
          </w:p>
        </w:tc>
        <w:tc>
          <w:tcPr>
            <w:tcW w:w="120" w:type="dxa"/>
            <w:vAlign w:val="bottom"/>
          </w:tcPr>
          <w:p>
            <w:pPr>
              <w:spacing w:after="0"/>
              <w:rPr>
                <w:sz w:val="20"/>
                <w:szCs w:val="20"/>
                <w:color w:val="auto"/>
              </w:rPr>
            </w:pPr>
          </w:p>
        </w:tc>
      </w:tr>
      <w:tr>
        <w:trPr>
          <w:trHeight w:val="20"/>
        </w:trPr>
        <w:tc>
          <w:tcPr>
            <w:tcW w:w="3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3680" w:type="dxa"/>
            <w:vAlign w:val="bottom"/>
          </w:tcPr>
          <w:p>
            <w:pPr>
              <w:spacing w:after="0"/>
              <w:rPr>
                <w:sz w:val="19"/>
                <w:szCs w:val="19"/>
                <w:color w:val="auto"/>
              </w:rPr>
            </w:pPr>
          </w:p>
        </w:tc>
        <w:tc>
          <w:tcPr>
            <w:tcW w:w="7440" w:type="dxa"/>
            <w:vAlign w:val="bottom"/>
            <w:gridSpan w:val="2"/>
          </w:tcPr>
          <w:p>
            <w:pPr>
              <w:ind w:left="1800"/>
              <w:spacing w:after="0"/>
              <w:rPr>
                <w:sz w:val="20"/>
                <w:szCs w:val="20"/>
                <w:color w:val="auto"/>
              </w:rPr>
            </w:pPr>
            <w:r>
              <w:rPr>
                <w:rFonts w:ascii="Arial" w:cs="Arial" w:eastAsia="Arial" w:hAnsi="Arial"/>
                <w:sz w:val="18"/>
                <w:szCs w:val="18"/>
                <w:color w:val="auto"/>
              </w:rPr>
              <w:t>Charles N. York II, M.B.A.</w:t>
            </w:r>
          </w:p>
        </w:tc>
        <w:tc>
          <w:tcPr>
            <w:tcW w:w="120" w:type="dxa"/>
            <w:vAlign w:val="bottom"/>
          </w:tcPr>
          <w:p>
            <w:pPr>
              <w:spacing w:after="0"/>
              <w:rPr>
                <w:sz w:val="19"/>
                <w:szCs w:val="19"/>
                <w:color w:val="auto"/>
              </w:rPr>
            </w:pPr>
          </w:p>
        </w:tc>
      </w:tr>
      <w:tr>
        <w:trPr>
          <w:trHeight w:val="364"/>
        </w:trPr>
        <w:tc>
          <w:tcPr>
            <w:tcW w:w="3680" w:type="dxa"/>
            <w:vAlign w:val="bottom"/>
          </w:tcPr>
          <w:p>
            <w:pPr>
              <w:spacing w:after="0"/>
              <w:rPr>
                <w:sz w:val="24"/>
                <w:szCs w:val="24"/>
                <w:color w:val="auto"/>
              </w:rPr>
            </w:pPr>
          </w:p>
        </w:tc>
        <w:tc>
          <w:tcPr>
            <w:tcW w:w="7440" w:type="dxa"/>
            <w:vAlign w:val="bottom"/>
            <w:gridSpan w:val="2"/>
          </w:tcPr>
          <w:p>
            <w:pPr>
              <w:ind w:left="1800"/>
              <w:spacing w:after="0"/>
              <w:rPr>
                <w:sz w:val="20"/>
                <w:szCs w:val="20"/>
                <w:color w:val="auto"/>
              </w:rPr>
            </w:pPr>
            <w:r>
              <w:rPr>
                <w:rFonts w:ascii="Arial" w:cs="Arial" w:eastAsia="Arial" w:hAnsi="Arial"/>
                <w:sz w:val="18"/>
                <w:szCs w:val="18"/>
                <w:i w:val="1"/>
                <w:iCs w:val="1"/>
                <w:color w:val="auto"/>
              </w:rPr>
              <w:t>Chief Operating Officer and Chief Financial Officer</w:t>
            </w:r>
          </w:p>
        </w:tc>
        <w:tc>
          <w:tcPr>
            <w:tcW w:w="120" w:type="dxa"/>
            <w:vAlign w:val="bottom"/>
          </w:tcPr>
          <w:p>
            <w:pPr>
              <w:spacing w:after="0"/>
              <w:rPr>
                <w:sz w:val="24"/>
                <w:szCs w:val="24"/>
                <w:color w:val="auto"/>
              </w:rPr>
            </w:pPr>
          </w:p>
        </w:tc>
      </w:tr>
      <w:tr>
        <w:trPr>
          <w:trHeight w:val="364"/>
        </w:trPr>
        <w:tc>
          <w:tcPr>
            <w:tcW w:w="3680" w:type="dxa"/>
            <w:vAlign w:val="bottom"/>
          </w:tcPr>
          <w:p>
            <w:pPr>
              <w:spacing w:after="0"/>
              <w:rPr>
                <w:sz w:val="24"/>
                <w:szCs w:val="24"/>
                <w:color w:val="auto"/>
              </w:rPr>
            </w:pPr>
          </w:p>
        </w:tc>
        <w:tc>
          <w:tcPr>
            <w:tcW w:w="7440" w:type="dxa"/>
            <w:vAlign w:val="bottom"/>
            <w:gridSpan w:val="2"/>
          </w:tcPr>
          <w:p>
            <w:pPr>
              <w:ind w:left="180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c>
          <w:tcPr>
            <w:tcW w:w="120" w:type="dxa"/>
            <w:vAlign w:val="bottom"/>
          </w:tcPr>
          <w:p>
            <w:pPr>
              <w:spacing w:after="0"/>
              <w:rPr>
                <w:sz w:val="24"/>
                <w:szCs w:val="24"/>
                <w:color w:val="auto"/>
              </w:rPr>
            </w:pPr>
          </w:p>
        </w:tc>
      </w:tr>
      <w:tr>
        <w:trPr>
          <w:trHeight w:val="499"/>
        </w:trPr>
        <w:tc>
          <w:tcPr>
            <w:tcW w:w="36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608"/>
        </w:trPr>
        <w:tc>
          <w:tcPr>
            <w:tcW w:w="36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4" w:name="page95"/>
    <w:bookmarkEnd w:id="9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4"/>
    </w:lvl>
  </w:abstractNum>
  <w:abstractNum w:abstractNumId="6">
    <w:nsid w:val="41A7C4C9"/>
    <w:multiLevelType w:val="hybridMultilevel"/>
    <w:lvl w:ilvl="0">
      <w:lvlJc w:val="left"/>
      <w:lvlText w:val="%1."/>
      <w:numFmt w:val="decimal"/>
      <w:start w:val="6"/>
    </w:lvl>
  </w:abstractNum>
  <w:abstractNum w:abstractNumId="7">
    <w:nsid w:val="6B68079A"/>
    <w:multiLevelType w:val="hybridMultilevel"/>
    <w:lvl w:ilvl="0">
      <w:lvlJc w:val="left"/>
      <w:lvlText w:val="%1."/>
      <w:numFmt w:val="decimal"/>
      <w:start w:val="7"/>
    </w:lvl>
  </w:abstractNum>
  <w:abstractNum w:abstractNumId="8">
    <w:nsid w:val="4E6AFB66"/>
    <w:multiLevelType w:val="hybridMultilevel"/>
    <w:lvl w:ilvl="0">
      <w:lvlJc w:val="left"/>
      <w:lvlText w:val="%1."/>
      <w:numFmt w:val="decimal"/>
      <w:start w:val="8"/>
    </w:lvl>
  </w:abstractNum>
  <w:abstractNum w:abstractNumId="9">
    <w:nsid w:val="25E45D32"/>
    <w:multiLevelType w:val="hybridMultilevel"/>
    <w:lvl w:ilvl="0">
      <w:lvlJc w:val="left"/>
      <w:lvlText w:val="%1."/>
      <w:numFmt w:val="decimal"/>
      <w:start w:val="9"/>
    </w:lvl>
  </w:abstractNum>
  <w:abstractNum w:abstractNumId="10">
    <w:nsid w:val="519B500D"/>
    <w:multiLevelType w:val="hybridMultilevel"/>
    <w:lvl w:ilvl="0">
      <w:lvlJc w:val="left"/>
      <w:lvlText w:val="%1."/>
      <w:numFmt w:val="decimal"/>
      <w:start w:val="10"/>
    </w:lvl>
  </w:abstractNum>
  <w:abstractNum w:abstractNumId="11">
    <w:nsid w:val="431BD7B7"/>
    <w:multiLevelType w:val="hybridMultilevel"/>
    <w:lvl w:ilvl="0">
      <w:lvlJc w:val="left"/>
      <w:lvlText w:val="%1."/>
      <w:numFmt w:val="decimal"/>
      <w:start w:val="11"/>
    </w:lvl>
  </w:abstractNum>
  <w:abstractNum w:abstractNumId="12">
    <w:nsid w:val="3F2DBA31"/>
    <w:multiLevelType w:val="hybridMultilevel"/>
    <w:lvl w:ilvl="0">
      <w:lvlJc w:val="left"/>
      <w:lvlText w:val="%1."/>
      <w:numFmt w:val="decimal"/>
      <w:start w:val="12"/>
    </w:lvl>
  </w:abstractNum>
  <w:abstractNum w:abstractNumId="13">
    <w:nsid w:val="7C83E458"/>
    <w:multiLevelType w:val="hybridMultilevel"/>
    <w:lvl w:ilvl="0">
      <w:lvlJc w:val="left"/>
      <w:lvlText w:val="%1."/>
      <w:numFmt w:val="decimal"/>
      <w:start w:val="13"/>
    </w:lvl>
  </w:abstractNum>
  <w:abstractNum w:abstractNumId="14">
    <w:nsid w:val="257130A3"/>
    <w:multiLevelType w:val="hybridMultilevel"/>
    <w:lvl w:ilvl="0">
      <w:lvlJc w:val="left"/>
      <w:lvlText w:val="1"/>
      <w:numFmt w:val="bullet"/>
      <w:start w:val="1"/>
    </w:lvl>
  </w:abstractNum>
  <w:abstractNum w:abstractNumId="15">
    <w:nsid w:val="62BBD95A"/>
    <w:multiLevelType w:val="hybridMultilevel"/>
    <w:lvl w:ilvl="0">
      <w:lvlJc w:val="left"/>
      <w:lvlText w:val="2"/>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04"/>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2021-11-08T15:59:26Z</dcterms:created>
  <dcterms:modified xsi:type="dcterms:W3CDTF">2021-11-08T15:59:26Z</dcterms:modified>
</cp:coreProperties>
</file>