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5"/>
          <w:szCs w:val="5"/>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l</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1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80" w:right="74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001-40431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6"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DAY ONE BIOPHARMACEUTICALS, INC.</w:t>
      </w:r>
    </w:p>
    <w:p>
      <w:pPr>
        <w:sectPr>
          <w:pgSz w:w="11900" w:h="16838" w:orient="portrait"/>
          <w:cols w:equalWidth="0" w:num="1">
            <w:col w:w="11240"/>
          </w:cols>
          <w:pgMar w:left="320" w:top="519" w:right="339" w:bottom="1440" w:gutter="0" w:footer="0" w:header="0"/>
        </w:sectPr>
      </w:pPr>
    </w:p>
    <w:p>
      <w:pPr>
        <w:spacing w:after="0" w:line="47"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Delaware</w:t>
      </w:r>
    </w:p>
    <w:p>
      <w:pPr>
        <w:spacing w:after="0" w:line="25" w:lineRule="exact"/>
        <w:rPr>
          <w:sz w:val="24"/>
          <w:szCs w:val="24"/>
          <w:color w:val="auto"/>
        </w:rPr>
      </w:pPr>
    </w:p>
    <w:p>
      <w:pPr>
        <w:ind w:left="2140"/>
        <w:spacing w:after="0"/>
        <w:rPr>
          <w:sz w:val="20"/>
          <w:szCs w:val="20"/>
          <w:color w:val="auto"/>
        </w:rPr>
      </w:pPr>
      <w:r>
        <w:rPr>
          <w:rFonts w:ascii="Arial" w:cs="Arial" w:eastAsia="Arial" w:hAnsi="Arial"/>
          <w:sz w:val="11"/>
          <w:szCs w:val="11"/>
          <w:b w:val="1"/>
          <w:bCs w:val="1"/>
          <w:color w:val="auto"/>
        </w:rPr>
        <w:t>(State or other jurisdiction of</w:t>
      </w:r>
    </w:p>
    <w:p>
      <w:pPr>
        <w:spacing w:after="0" w:line="5" w:lineRule="exact"/>
        <w:rPr>
          <w:sz w:val="24"/>
          <w:szCs w:val="24"/>
          <w:color w:val="auto"/>
        </w:rPr>
      </w:pPr>
    </w:p>
    <w:p>
      <w:pPr>
        <w:ind w:left="2120"/>
        <w:spacing w:after="0"/>
        <w:rPr>
          <w:sz w:val="20"/>
          <w:szCs w:val="20"/>
          <w:color w:val="auto"/>
        </w:rPr>
      </w:pPr>
      <w:r>
        <w:rPr>
          <w:rFonts w:ascii="Arial" w:cs="Arial" w:eastAsia="Arial" w:hAnsi="Arial"/>
          <w:sz w:val="11"/>
          <w:szCs w:val="11"/>
          <w:b w:val="1"/>
          <w:bCs w:val="1"/>
          <w:color w:val="auto"/>
        </w:rPr>
        <w:t>incorporation or organization)</w:t>
      </w:r>
    </w:p>
    <w:p>
      <w:pPr>
        <w:spacing w:after="0" w:line="15" w:lineRule="exact"/>
        <w:rPr>
          <w:sz w:val="24"/>
          <w:szCs w:val="24"/>
          <w:color w:val="auto"/>
        </w:rPr>
      </w:pPr>
    </w:p>
    <w:p>
      <w:pPr>
        <w:jc w:val="center"/>
        <w:ind w:right="1660"/>
        <w:spacing w:after="0"/>
        <w:rPr>
          <w:sz w:val="20"/>
          <w:szCs w:val="20"/>
          <w:color w:val="auto"/>
        </w:rPr>
      </w:pPr>
      <w:r>
        <w:rPr>
          <w:rFonts w:ascii="Arial" w:cs="Arial" w:eastAsia="Arial" w:hAnsi="Arial"/>
          <w:sz w:val="13"/>
          <w:szCs w:val="13"/>
          <w:b w:val="1"/>
          <w:bCs w:val="1"/>
          <w:color w:val="auto"/>
        </w:rPr>
        <w:t>2000 Sierra Point Parkway, Suite 501</w:t>
      </w:r>
    </w:p>
    <w:p>
      <w:pPr>
        <w:spacing w:after="0" w:line="15"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Brisbane, CA</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ind w:left="80"/>
        <w:spacing w:after="0"/>
        <w:rPr>
          <w:sz w:val="20"/>
          <w:szCs w:val="20"/>
          <w:color w:val="auto"/>
        </w:rPr>
      </w:pPr>
      <w:r>
        <w:rPr>
          <w:rFonts w:ascii="Arial" w:cs="Arial" w:eastAsia="Arial" w:hAnsi="Arial"/>
          <w:sz w:val="14"/>
          <w:szCs w:val="14"/>
          <w:b w:val="1"/>
          <w:bCs w:val="1"/>
          <w:color w:val="auto"/>
        </w:rPr>
        <w:t>83-2415215</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61" w:lineRule="exact"/>
        <w:rPr>
          <w:sz w:val="24"/>
          <w:szCs w:val="24"/>
          <w:color w:val="auto"/>
        </w:rPr>
      </w:pPr>
    </w:p>
    <w:p>
      <w:pPr>
        <w:ind w:left="260"/>
        <w:spacing w:after="0"/>
        <w:rPr>
          <w:sz w:val="20"/>
          <w:szCs w:val="20"/>
          <w:color w:val="auto"/>
        </w:rPr>
      </w:pPr>
      <w:r>
        <w:rPr>
          <w:rFonts w:ascii="Arial" w:cs="Arial" w:eastAsia="Arial" w:hAnsi="Arial"/>
          <w:sz w:val="14"/>
          <w:szCs w:val="14"/>
          <w:b w:val="1"/>
          <w:bCs w:val="1"/>
          <w:color w:val="auto"/>
        </w:rPr>
        <w:t>94005</w:t>
      </w:r>
    </w:p>
    <w:p>
      <w:pPr>
        <w:spacing w:after="0" w:line="24" w:lineRule="exact"/>
        <w:rPr>
          <w:sz w:val="24"/>
          <w:szCs w:val="24"/>
          <w:color w:val="auto"/>
        </w:rPr>
      </w:pPr>
    </w:p>
    <w:p>
      <w:pPr>
        <w:sectPr>
          <w:pgSz w:w="11900" w:h="16838" w:orient="portrait"/>
          <w:cols w:equalWidth="0" w:num="2">
            <w:col w:w="7280" w:space="720"/>
            <w:col w:w="3240"/>
          </w:cols>
          <w:pgMar w:left="320" w:top="519" w:right="339" w:bottom="1440" w:gutter="0" w:footer="0" w:header="0"/>
          <w:type w:val="continuous"/>
        </w:sectPr>
      </w:pPr>
    </w:p>
    <w:tbl>
      <w:tblPr>
        <w:tblLayout w:type="fixed"/>
        <w:tblInd w:w="0" w:type="dxa"/>
        <w:tblCellMar>
          <w:top w:w="0" w:type="dxa"/>
          <w:left w:w="0" w:type="dxa"/>
          <w:bottom w:w="0" w:type="dxa"/>
          <w:right w:w="0" w:type="dxa"/>
        </w:tblCellMar>
      </w:tblPr>
      <w:tr>
        <w:trPr>
          <w:trHeight w:val="140"/>
        </w:trPr>
        <w:tc>
          <w:tcPr>
            <w:tcW w:w="3860" w:type="dxa"/>
            <w:vAlign w:val="bottom"/>
          </w:tcPr>
          <w:p>
            <w:pPr>
              <w:ind w:left="1920"/>
              <w:spacing w:after="0"/>
              <w:rPr>
                <w:sz w:val="20"/>
                <w:szCs w:val="20"/>
                <w:color w:val="auto"/>
              </w:rPr>
            </w:pPr>
            <w:r>
              <w:rPr>
                <w:rFonts w:ascii="Arial" w:cs="Arial" w:eastAsia="Arial" w:hAnsi="Arial"/>
                <w:sz w:val="11"/>
                <w:szCs w:val="11"/>
                <w:b w:val="1"/>
                <w:bCs w:val="1"/>
                <w:color w:val="auto"/>
                <w:w w:val="93"/>
              </w:rPr>
              <w:t>(Address of principal executive offices)</w:t>
            </w:r>
          </w:p>
        </w:tc>
        <w:tc>
          <w:tcPr>
            <w:tcW w:w="344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40" w:type="dxa"/>
            <w:vAlign w:val="bottom"/>
          </w:tcPr>
          <w:p>
            <w:pPr>
              <w:ind w:left="880"/>
              <w:spacing w:after="0"/>
              <w:rPr>
                <w:sz w:val="20"/>
                <w:szCs w:val="20"/>
                <w:color w:val="auto"/>
              </w:rPr>
            </w:pPr>
            <w:r>
              <w:rPr>
                <w:rFonts w:ascii="Arial" w:cs="Arial" w:eastAsia="Arial" w:hAnsi="Arial"/>
                <w:sz w:val="11"/>
                <w:szCs w:val="11"/>
                <w:b w:val="1"/>
                <w:bCs w:val="1"/>
                <w:color w:val="auto"/>
              </w:rPr>
              <w:t>(Zip Code)</w:t>
            </w: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3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(650) 484-0899</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860" w:type="dxa"/>
            <w:vAlign w:val="bottom"/>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3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8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860" w:type="dxa"/>
            <w:vAlign w:val="bottom"/>
            <w:vMerge w:val="restart"/>
          </w:tcPr>
          <w:p>
            <w:pPr>
              <w:jc w:val="center"/>
              <w:ind w:left="351"/>
              <w:spacing w:after="0"/>
              <w:rPr>
                <w:sz w:val="20"/>
                <w:szCs w:val="20"/>
                <w:color w:val="auto"/>
              </w:rPr>
            </w:pPr>
            <w:r>
              <w:rPr>
                <w:rFonts w:ascii="Arial" w:cs="Arial" w:eastAsia="Arial" w:hAnsi="Arial"/>
                <w:sz w:val="14"/>
                <w:szCs w:val="14"/>
                <w:b w:val="1"/>
                <w:bCs w:val="1"/>
                <w:color w:val="auto"/>
                <w:w w:val="89"/>
              </w:rPr>
              <w:t>Title of each class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7"/>
              </w:rPr>
              <w:t>Trading</w:t>
            </w:r>
          </w:p>
        </w:tc>
        <w:tc>
          <w:tcPr>
            <w:tcW w:w="3940" w:type="dxa"/>
            <w:vAlign w:val="bottom"/>
            <w:vMerge w:val="restart"/>
          </w:tcPr>
          <w:p>
            <w:pPr>
              <w:jc w:val="center"/>
              <w:ind w:right="1033"/>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3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1"/>
              </w:rPr>
              <w:t>Symbol(s)</w:t>
            </w:r>
          </w:p>
        </w:tc>
        <w:tc>
          <w:tcPr>
            <w:tcW w:w="3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60" w:type="dxa"/>
            <w:vAlign w:val="bottom"/>
            <w:tcBorders>
              <w:top w:val="single" w:sz="8" w:color="auto"/>
            </w:tcBorders>
          </w:tcPr>
          <w:p>
            <w:pPr>
              <w:jc w:val="center"/>
              <w:ind w:left="371"/>
              <w:spacing w:after="0"/>
              <w:rPr>
                <w:sz w:val="20"/>
                <w:szCs w:val="20"/>
                <w:color w:val="auto"/>
              </w:rPr>
            </w:pPr>
            <w:r>
              <w:rPr>
                <w:rFonts w:ascii="Arial" w:cs="Arial" w:eastAsia="Arial" w:hAnsi="Arial"/>
                <w:sz w:val="14"/>
                <w:szCs w:val="14"/>
                <w:b w:val="1"/>
                <w:bCs w:val="1"/>
                <w:color w:val="auto"/>
                <w:w w:val="92"/>
              </w:rPr>
              <w:t>Common Stock, par value $0.0001 per share</w:t>
            </w: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DAWN</w:t>
            </w:r>
          </w:p>
        </w:tc>
        <w:tc>
          <w:tcPr>
            <w:tcW w:w="120" w:type="dxa"/>
            <w:vAlign w:val="bottom"/>
          </w:tcPr>
          <w:p>
            <w:pPr>
              <w:spacing w:after="0"/>
              <w:rPr>
                <w:sz w:val="15"/>
                <w:szCs w:val="15"/>
                <w:color w:val="auto"/>
              </w:rPr>
            </w:pPr>
          </w:p>
        </w:tc>
        <w:tc>
          <w:tcPr>
            <w:tcW w:w="1100" w:type="dxa"/>
            <w:vAlign w:val="bottom"/>
            <w:tcBorders>
              <w:top w:val="single" w:sz="8" w:color="auto"/>
            </w:tcBorders>
            <w:gridSpan w:val="2"/>
          </w:tcPr>
          <w:p>
            <w:pPr>
              <w:spacing w:after="0"/>
              <w:rPr>
                <w:sz w:val="15"/>
                <w:szCs w:val="15"/>
                <w:color w:val="auto"/>
              </w:rPr>
            </w:pPr>
          </w:p>
        </w:tc>
        <w:tc>
          <w:tcPr>
            <w:tcW w:w="3940" w:type="dxa"/>
            <w:vAlign w:val="bottom"/>
            <w:tcBorders>
              <w:top w:val="single" w:sz="8" w:color="auto"/>
            </w:tcBorders>
          </w:tcPr>
          <w:p>
            <w:pPr>
              <w:jc w:val="center"/>
              <w:ind w:right="1033"/>
              <w:spacing w:after="0"/>
              <w:rPr>
                <w:sz w:val="20"/>
                <w:szCs w:val="20"/>
                <w:color w:val="auto"/>
              </w:rPr>
            </w:pPr>
            <w:r>
              <w:rPr>
                <w:rFonts w:ascii="Arial" w:cs="Arial" w:eastAsia="Arial" w:hAnsi="Arial"/>
                <w:sz w:val="14"/>
                <w:szCs w:val="14"/>
                <w:b w:val="1"/>
                <w:bCs w:val="1"/>
                <w:color w:val="auto"/>
                <w:w w:val="93"/>
              </w:rPr>
              <w:t>Nasdaq Global Select Market</w:t>
            </w:r>
          </w:p>
        </w:tc>
        <w:tc>
          <w:tcPr>
            <w:tcW w:w="0" w:type="dxa"/>
            <w:vAlign w:val="bottom"/>
          </w:tcPr>
          <w:p>
            <w:pPr>
              <w:spacing w:after="0"/>
              <w:rPr>
                <w:sz w:val="1"/>
                <w:szCs w:val="1"/>
                <w:color w:val="auto"/>
              </w:rPr>
            </w:pPr>
          </w:p>
        </w:tc>
      </w:tr>
      <w:tr>
        <w:trPr>
          <w:trHeight w:val="207"/>
        </w:trPr>
        <w:tc>
          <w:tcPr>
            <w:tcW w:w="3860" w:type="dxa"/>
            <w:vAlign w:val="bottom"/>
          </w:tcPr>
          <w:p>
            <w:pPr>
              <w:spacing w:after="0"/>
              <w:rPr>
                <w:sz w:val="20"/>
                <w:szCs w:val="20"/>
                <w:color w:val="auto"/>
              </w:rPr>
            </w:pPr>
            <w:r>
              <w:rPr>
                <w:rFonts w:ascii="Arial" w:cs="Arial" w:eastAsia="Arial" w:hAnsi="Arial"/>
                <w:sz w:val="14"/>
                <w:szCs w:val="14"/>
                <w:color w:val="auto"/>
                <w:w w:val="97"/>
              </w:rPr>
              <w:t xml:space="preserve">Securities registered pursuant to Section 12(g) of the Act: </w:t>
            </w:r>
            <w:r>
              <w:rPr>
                <w:rFonts w:ascii="Arial" w:cs="Arial" w:eastAsia="Arial" w:hAnsi="Arial"/>
                <w:sz w:val="14"/>
                <w:szCs w:val="14"/>
                <w:b w:val="1"/>
                <w:bCs w:val="1"/>
                <w:color w:val="auto"/>
                <w:w w:val="97"/>
              </w:rPr>
              <w:t>None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300" w:type="dxa"/>
            <w:vAlign w:val="bottom"/>
            <w:gridSpan w:val="8"/>
          </w:tcPr>
          <w:p>
            <w:pPr>
              <w:spacing w:after="0" w:line="188" w:lineRule="exact"/>
              <w:rPr>
                <w:sz w:val="20"/>
                <w:szCs w:val="20"/>
                <w:color w:val="auto"/>
              </w:rPr>
            </w:pPr>
            <w:r>
              <w:rPr>
                <w:rFonts w:ascii="Arial" w:cs="Arial" w:eastAsia="Arial" w:hAnsi="Arial"/>
                <w:sz w:val="14"/>
                <w:szCs w:val="14"/>
                <w:color w:val="auto"/>
                <w:w w:val="94"/>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w w:val="94"/>
              </w:rPr>
              <w:t>☒</w:t>
            </w:r>
          </w:p>
        </w:tc>
        <w:tc>
          <w:tcPr>
            <w:tcW w:w="3940" w:type="dxa"/>
            <w:vAlign w:val="bottom"/>
          </w:tcPr>
          <w:p>
            <w:pPr>
              <w:ind w:left="10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spacing w:after="0" w:line="188" w:lineRule="exact"/>
        <w:tabs>
          <w:tab w:leader="none" w:pos="712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56" w:lineRule="exact"/>
        <w:rPr>
          <w:sz w:val="24"/>
          <w:szCs w:val="24"/>
          <w:color w:val="auto"/>
        </w:rPr>
      </w:pPr>
    </w:p>
    <w:p>
      <w:pPr>
        <w:ind w:right="120"/>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ind w:right="40"/>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ind w:right="5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4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386"/>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5"/>
        </w:trPr>
        <w:tc>
          <w:tcPr>
            <w:tcW w:w="1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8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0" w:lineRule="exact"/>
        <w:rPr>
          <w:sz w:val="24"/>
          <w:szCs w:val="24"/>
          <w:color w:val="auto"/>
        </w:rPr>
      </w:pPr>
    </w:p>
    <w:p>
      <w:pPr>
        <w:ind w:right="56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ind w:right="60"/>
        <w:spacing w:after="0" w:line="18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ind w:right="120"/>
        <w:spacing w:after="0" w:line="181"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8" w:lineRule="exact"/>
        <w:rPr>
          <w:sz w:val="24"/>
          <w:szCs w:val="24"/>
          <w:color w:val="auto"/>
        </w:rPr>
      </w:pPr>
    </w:p>
    <w:p>
      <w:pPr>
        <w:ind w:right="280"/>
        <w:spacing w:after="0" w:line="181"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88" w:lineRule="exact"/>
        <w:tabs>
          <w:tab w:leader="none" w:pos="72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5"/>
          <w:szCs w:val="15"/>
          <w:color w:val="auto"/>
        </w:rPr>
        <w:t>☒</w:t>
      </w:r>
    </w:p>
    <w:p>
      <w:pPr>
        <w:spacing w:after="0" w:line="87" w:lineRule="exact"/>
        <w:rPr>
          <w:sz w:val="24"/>
          <w:szCs w:val="24"/>
          <w:color w:val="auto"/>
        </w:rPr>
      </w:pPr>
    </w:p>
    <w:p>
      <w:pPr>
        <w:ind w:right="100"/>
        <w:spacing w:after="0" w:line="253" w:lineRule="auto"/>
        <w:rPr>
          <w:sz w:val="20"/>
          <w:szCs w:val="20"/>
          <w:color w:val="auto"/>
        </w:rPr>
      </w:pPr>
      <w:r>
        <w:rPr>
          <w:rFonts w:ascii="Arial" w:cs="Arial" w:eastAsia="Arial" w:hAnsi="Arial"/>
          <w:sz w:val="14"/>
          <w:szCs w:val="14"/>
          <w:color w:val="auto"/>
        </w:rPr>
        <w:t>The aggregate market value of the common equity held by non-affiliates of the Registrant, based on the closing price of the shares of common stock on June 30, 2022, was approximately $697.9 million.</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 2023 was 73,587,094.</w:t>
      </w:r>
    </w:p>
    <w:p>
      <w:pPr>
        <w:spacing w:after="0" w:line="41"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ind w:right="80"/>
        <w:spacing w:after="0" w:line="232" w:lineRule="auto"/>
        <w:rPr>
          <w:sz w:val="20"/>
          <w:szCs w:val="20"/>
          <w:color w:val="auto"/>
        </w:rPr>
      </w:pPr>
      <w:r>
        <w:rPr>
          <w:rFonts w:ascii="Arial" w:cs="Arial" w:eastAsia="Arial" w:hAnsi="Arial"/>
          <w:sz w:val="14"/>
          <w:szCs w:val="14"/>
          <w:color w:val="auto"/>
        </w:rPr>
        <w:t>Portions of the registrant’s Definitive Proxy Statement relating to the 2023 Annual Meeting of Shareholders are incorporated by reference into Part III of this Annual Report on Form 10-K to the extent stated herein. The Definitive Proxy Statement will be filed within 120 days of the Registrant’s fiscal year ended December 31, 2022.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398145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This Annual Report on Form 10-K contains forward-looking statements within the meaning of Section 21E of the Securities Exchange Act of 1934, as amended, or the Exchange Act, and section 27A of the Securities Act of 1933, as amended, or the Securities Act. All statements contained in this Annual Report other than statements of historical fact, including statements regarding our future results of operations and financial position, business strategy, market size, potential growth opportunities, nonclinical and clinical development activities, efficacy and safety profile of our product candidates, potential therapeutic benefits and economic value of our product candidates, use of net proceeds from our public offerings, our ability to maintain and recognize the benefits of certain designations received by product candidates, the timing and results of nonclinical studies and clinical trials, commercial collaboration with third parties, and our ability to recognize milestone and royalty payments from commercialization agreements, the potential impact of global business or macroeconomic conditions, including as a result of the COVID-19 pandemic, inflation and rising interest rates,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Item 1A, “Risk Factors” and elsewhere in this Annual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17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Annual Report with the understanding that our actual future results, levels of activity, performance and events and circumstances may be materially different from what we expect.</w:t>
      </w:r>
    </w:p>
    <w:p>
      <w:pPr>
        <w:spacing w:after="0" w:line="19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Unless the context indicates otherwise, as used in this Annual Report on Form 10-K, the terms “Day One,” “the Company,” “we,” “us,” and “our” refer to Day One Biopharmaceuticals, Inc., a Delaware corporation, and its consolidated subsidiaries taken as a whole, unless otherwise noted. “Day One” and all product candidate names are our common law trademarks.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00" w:type="dxa"/>
            <w:vAlign w:val="bottom"/>
            <w:gridSpan w:val="9"/>
          </w:tcPr>
          <w:p>
            <w:pPr>
              <w:ind w:left="7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2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9180" w:type="dxa"/>
            <w:vAlign w:val="bottom"/>
            <w:gridSpan w:val="19"/>
          </w:tcPr>
          <w:p>
            <w:pPr>
              <w:spacing w:after="0" w:line="190" w:lineRule="exact"/>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1A.</w:t>
            </w:r>
          </w:p>
        </w:tc>
        <w:tc>
          <w:tcPr>
            <w:tcW w:w="918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1B.</w:t>
            </w:r>
          </w:p>
        </w:tc>
        <w:tc>
          <w:tcPr>
            <w:tcW w:w="9180" w:type="dxa"/>
            <w:vAlign w:val="bottom"/>
            <w:gridSpan w:val="19"/>
          </w:tcPr>
          <w:p>
            <w:pPr>
              <w:spacing w:after="0"/>
              <w:rPr>
                <w:sz w:val="20"/>
                <w:szCs w:val="20"/>
                <w:color w:val="auto"/>
              </w:rPr>
            </w:pPr>
            <w:r>
              <w:rPr>
                <w:rFonts w:ascii="Arial" w:cs="Arial" w:eastAsia="Arial" w:hAnsi="Arial"/>
                <w:sz w:val="18"/>
                <w:szCs w:val="18"/>
                <w:color w:val="0000FF"/>
              </w:rPr>
              <w:t>Unresolved Staff Comments</w:t>
            </w: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120"/>
              <w:spacing w:after="0"/>
              <w:rPr>
                <w:sz w:val="20"/>
                <w:szCs w:val="20"/>
                <w:color w:val="auto"/>
              </w:rPr>
            </w:pPr>
            <w:r>
              <w:rPr>
                <w:rFonts w:ascii="Arial" w:cs="Arial" w:eastAsia="Arial" w:hAnsi="Arial"/>
                <w:sz w:val="18"/>
                <w:szCs w:val="18"/>
                <w:color w:val="auto"/>
              </w:rPr>
              <w:t>Item 2.</w:t>
            </w:r>
          </w:p>
        </w:tc>
        <w:tc>
          <w:tcPr>
            <w:tcW w:w="9180" w:type="dxa"/>
            <w:vAlign w:val="bottom"/>
            <w:gridSpan w:val="19"/>
          </w:tcPr>
          <w:p>
            <w:pPr>
              <w:spacing w:after="0"/>
              <w:rPr>
                <w:sz w:val="20"/>
                <w:szCs w:val="20"/>
                <w:color w:val="auto"/>
              </w:rPr>
            </w:pPr>
            <w:r>
              <w:rPr>
                <w:rFonts w:ascii="Arial" w:cs="Arial" w:eastAsia="Arial" w:hAnsi="Arial"/>
                <w:sz w:val="18"/>
                <w:szCs w:val="18"/>
                <w:color w:val="0000FF"/>
              </w:rPr>
              <w:t>Properties</w:t>
            </w: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3.</w:t>
            </w:r>
          </w:p>
        </w:tc>
        <w:tc>
          <w:tcPr>
            <w:tcW w:w="918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4.</w:t>
            </w:r>
          </w:p>
        </w:tc>
        <w:tc>
          <w:tcPr>
            <w:tcW w:w="9180" w:type="dxa"/>
            <w:vAlign w:val="bottom"/>
            <w:gridSpan w:val="19"/>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479"/>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180" w:type="dxa"/>
            <w:vAlign w:val="bottom"/>
            <w:gridSpan w:val="19"/>
          </w:tcPr>
          <w:p>
            <w:pPr>
              <w:spacing w:after="0" w:line="190"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6.</w:t>
            </w:r>
          </w:p>
        </w:tc>
        <w:tc>
          <w:tcPr>
            <w:tcW w:w="9180" w:type="dxa"/>
            <w:vAlign w:val="bottom"/>
            <w:gridSpan w:val="19"/>
          </w:tcPr>
          <w:p>
            <w:pPr>
              <w:spacing w:after="0"/>
              <w:rPr>
                <w:sz w:val="20"/>
                <w:szCs w:val="20"/>
                <w:color w:val="auto"/>
              </w:rPr>
            </w:pPr>
            <w:r>
              <w:rPr>
                <w:rFonts w:ascii="Arial" w:cs="Arial" w:eastAsia="Arial" w:hAnsi="Arial"/>
                <w:sz w:val="18"/>
                <w:szCs w:val="18"/>
                <w:color w:val="0000FF"/>
              </w:rPr>
              <w:t>Reserved</w:t>
            </w: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7.</w:t>
            </w:r>
          </w:p>
        </w:tc>
        <w:tc>
          <w:tcPr>
            <w:tcW w:w="918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120"/>
              <w:spacing w:after="0"/>
              <w:rPr>
                <w:sz w:val="20"/>
                <w:szCs w:val="20"/>
                <w:color w:val="auto"/>
              </w:rPr>
            </w:pPr>
            <w:r>
              <w:rPr>
                <w:rFonts w:ascii="Arial" w:cs="Arial" w:eastAsia="Arial" w:hAnsi="Arial"/>
                <w:sz w:val="18"/>
                <w:szCs w:val="18"/>
                <w:color w:val="auto"/>
              </w:rPr>
              <w:t>Item 7A.</w:t>
            </w:r>
          </w:p>
        </w:tc>
        <w:tc>
          <w:tcPr>
            <w:tcW w:w="918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8.</w:t>
            </w:r>
          </w:p>
        </w:tc>
        <w:tc>
          <w:tcPr>
            <w:tcW w:w="9180" w:type="dxa"/>
            <w:vAlign w:val="bottom"/>
            <w:gridSpan w:val="19"/>
          </w:tcPr>
          <w:p>
            <w:pPr>
              <w:spacing w:after="0"/>
              <w:rPr>
                <w:sz w:val="20"/>
                <w:szCs w:val="20"/>
                <w:color w:val="auto"/>
              </w:rPr>
            </w:pPr>
            <w:r>
              <w:rPr>
                <w:rFonts w:ascii="Arial" w:cs="Arial" w:eastAsia="Arial" w:hAnsi="Arial"/>
                <w:sz w:val="18"/>
                <w:szCs w:val="18"/>
                <w:color w:val="0000FF"/>
              </w:rPr>
              <w:t>Consolidated Financial Statements and Supplementary Data</w:t>
            </w:r>
          </w:p>
        </w:tc>
        <w:tc>
          <w:tcPr>
            <w:tcW w:w="7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9.</w:t>
            </w:r>
          </w:p>
        </w:tc>
        <w:tc>
          <w:tcPr>
            <w:tcW w:w="9180" w:type="dxa"/>
            <w:vAlign w:val="bottom"/>
            <w:gridSpan w:val="19"/>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120"/>
              <w:spacing w:after="0"/>
              <w:rPr>
                <w:sz w:val="20"/>
                <w:szCs w:val="20"/>
                <w:color w:val="auto"/>
              </w:rPr>
            </w:pPr>
            <w:r>
              <w:rPr>
                <w:rFonts w:ascii="Arial" w:cs="Arial" w:eastAsia="Arial" w:hAnsi="Arial"/>
                <w:sz w:val="18"/>
                <w:szCs w:val="18"/>
                <w:color w:val="auto"/>
              </w:rPr>
              <w:t>Item 9A.</w:t>
            </w:r>
          </w:p>
        </w:tc>
        <w:tc>
          <w:tcPr>
            <w:tcW w:w="918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9B.</w:t>
            </w:r>
          </w:p>
        </w:tc>
        <w:tc>
          <w:tcPr>
            <w:tcW w:w="918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120"/>
              <w:spacing w:after="0"/>
              <w:rPr>
                <w:sz w:val="20"/>
                <w:szCs w:val="20"/>
                <w:color w:val="auto"/>
              </w:rPr>
            </w:pPr>
            <w:r>
              <w:rPr>
                <w:rFonts w:ascii="Arial" w:cs="Arial" w:eastAsia="Arial" w:hAnsi="Arial"/>
                <w:sz w:val="18"/>
                <w:szCs w:val="18"/>
                <w:color w:val="auto"/>
              </w:rPr>
              <w:t>Item 9C.</w:t>
            </w:r>
          </w:p>
        </w:tc>
        <w:tc>
          <w:tcPr>
            <w:tcW w:w="9180" w:type="dxa"/>
            <w:vAlign w:val="bottom"/>
            <w:gridSpan w:val="19"/>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479"/>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9180" w:type="dxa"/>
            <w:vAlign w:val="bottom"/>
            <w:gridSpan w:val="19"/>
          </w:tcPr>
          <w:p>
            <w:pPr>
              <w:spacing w:after="0" w:line="190"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11.</w:t>
            </w:r>
          </w:p>
        </w:tc>
        <w:tc>
          <w:tcPr>
            <w:tcW w:w="9180" w:type="dxa"/>
            <w:vAlign w:val="bottom"/>
            <w:gridSpan w:val="19"/>
          </w:tcPr>
          <w:p>
            <w:pPr>
              <w:spacing w:after="0"/>
              <w:rPr>
                <w:sz w:val="20"/>
                <w:szCs w:val="20"/>
                <w:color w:val="auto"/>
              </w:rPr>
            </w:pPr>
            <w:r>
              <w:rPr>
                <w:rFonts w:ascii="Arial" w:cs="Arial" w:eastAsia="Arial" w:hAnsi="Arial"/>
                <w:sz w:val="18"/>
                <w:szCs w:val="18"/>
                <w:color w:val="0000FF"/>
              </w:rPr>
              <w:t>Executive Compensation</w:t>
            </w: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12.</w:t>
            </w:r>
          </w:p>
        </w:tc>
        <w:tc>
          <w:tcPr>
            <w:tcW w:w="9180" w:type="dxa"/>
            <w:vAlign w:val="bottom"/>
            <w:gridSpan w:val="19"/>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120"/>
              <w:spacing w:after="0"/>
              <w:rPr>
                <w:sz w:val="20"/>
                <w:szCs w:val="20"/>
                <w:color w:val="auto"/>
              </w:rPr>
            </w:pPr>
            <w:r>
              <w:rPr>
                <w:rFonts w:ascii="Arial" w:cs="Arial" w:eastAsia="Arial" w:hAnsi="Arial"/>
                <w:sz w:val="18"/>
                <w:szCs w:val="18"/>
                <w:color w:val="auto"/>
              </w:rPr>
              <w:t>Item 13.</w:t>
            </w:r>
          </w:p>
        </w:tc>
        <w:tc>
          <w:tcPr>
            <w:tcW w:w="9180" w:type="dxa"/>
            <w:vAlign w:val="bottom"/>
            <w:gridSpan w:val="19"/>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14.</w:t>
            </w:r>
          </w:p>
        </w:tc>
        <w:tc>
          <w:tcPr>
            <w:tcW w:w="9180" w:type="dxa"/>
            <w:vAlign w:val="bottom"/>
            <w:gridSpan w:val="19"/>
          </w:tcPr>
          <w:p>
            <w:pPr>
              <w:spacing w:after="0"/>
              <w:rPr>
                <w:sz w:val="20"/>
                <w:szCs w:val="20"/>
                <w:color w:val="auto"/>
              </w:rPr>
            </w:pPr>
            <w:r>
              <w:rPr>
                <w:rFonts w:ascii="Arial" w:cs="Arial" w:eastAsia="Arial" w:hAnsi="Arial"/>
                <w:sz w:val="18"/>
                <w:szCs w:val="18"/>
                <w:color w:val="0000FF"/>
              </w:rPr>
              <w:t>Principal Accounting Fees and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479"/>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9180" w:type="dxa"/>
            <w:vAlign w:val="bottom"/>
            <w:gridSpan w:val="19"/>
          </w:tcPr>
          <w:p>
            <w:pPr>
              <w:spacing w:after="0" w:line="190" w:lineRule="exact"/>
              <w:rPr>
                <w:sz w:val="20"/>
                <w:szCs w:val="20"/>
                <w:color w:val="auto"/>
              </w:rPr>
            </w:pPr>
            <w:r>
              <w:rPr>
                <w:rFonts w:ascii="Arial" w:cs="Arial" w:eastAsia="Arial" w:hAnsi="Arial"/>
                <w:sz w:val="18"/>
                <w:szCs w:val="18"/>
                <w:color w:val="0000FF"/>
              </w:rPr>
              <w:t>Exhibits, Financial Statement Schedules</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30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120"/>
              <w:spacing w:after="0"/>
              <w:rPr>
                <w:sz w:val="20"/>
                <w:szCs w:val="20"/>
                <w:color w:val="auto"/>
              </w:rPr>
            </w:pPr>
            <w:r>
              <w:rPr>
                <w:rFonts w:ascii="Arial" w:cs="Arial" w:eastAsia="Arial" w:hAnsi="Arial"/>
                <w:sz w:val="18"/>
                <w:szCs w:val="18"/>
                <w:color w:val="auto"/>
              </w:rPr>
              <w:t>Item 16.</w:t>
            </w:r>
          </w:p>
        </w:tc>
        <w:tc>
          <w:tcPr>
            <w:tcW w:w="9180" w:type="dxa"/>
            <w:vAlign w:val="bottom"/>
            <w:gridSpan w:val="19"/>
          </w:tcPr>
          <w:p>
            <w:pPr>
              <w:spacing w:after="0"/>
              <w:rPr>
                <w:sz w:val="20"/>
                <w:szCs w:val="20"/>
                <w:color w:val="auto"/>
              </w:rPr>
            </w:pPr>
            <w:r>
              <w:rPr>
                <w:rFonts w:ascii="Arial" w:cs="Arial" w:eastAsia="Arial" w:hAnsi="Arial"/>
                <w:sz w:val="18"/>
                <w:szCs w:val="18"/>
                <w:color w:val="0000FF"/>
              </w:rPr>
              <w:t>Form 10-K Summary</w:t>
            </w: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62"/>
        <w:spacing w:after="0" w:line="311" w:lineRule="auto"/>
        <w:rPr>
          <w:sz w:val="20"/>
          <w:szCs w:val="20"/>
          <w:color w:val="auto"/>
        </w:rPr>
      </w:pPr>
      <w:r>
        <w:rPr>
          <w:rFonts w:ascii="Arial" w:cs="Arial" w:eastAsia="Arial" w:hAnsi="Arial"/>
          <w:sz w:val="16"/>
          <w:szCs w:val="16"/>
          <w:color w:val="auto"/>
        </w:rPr>
        <w:t>Day One was founded to address a critical unmet need: children with cancer are being left behind in a cancer drug development revolution.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spacing w:after="0" w:line="41" w:lineRule="exact"/>
        <w:rPr>
          <w:sz w:val="20"/>
          <w:szCs w:val="20"/>
          <w:color w:val="auto"/>
        </w:rPr>
      </w:pPr>
    </w:p>
    <w:p>
      <w:pPr>
        <w:ind w:right="40" w:firstLine="562"/>
        <w:spacing w:after="0" w:line="263" w:lineRule="auto"/>
        <w:rPr>
          <w:sz w:val="20"/>
          <w:szCs w:val="20"/>
          <w:color w:val="auto"/>
        </w:rPr>
      </w:pPr>
      <w:r>
        <w:rPr>
          <w:rFonts w:ascii="Arial" w:cs="Arial" w:eastAsia="Arial" w:hAnsi="Arial"/>
          <w:sz w:val="18"/>
          <w:szCs w:val="18"/>
          <w:color w:val="auto"/>
        </w:rPr>
        <w:t>We are a clinical-stage biopharmaceutical company dedicated to developing and commercializing targeted therapies for patients of all ages with life threatening diseases. Initially, we have focused our clinical development efforts on pediatric patients living with cancer, a vulnerable population that has been underserved in the recent revolution in targeted therapeutics and immuno-oncology.</w:t>
      </w:r>
    </w:p>
    <w:p>
      <w:pPr>
        <w:spacing w:after="0" w:line="76" w:lineRule="exact"/>
        <w:rPr>
          <w:sz w:val="20"/>
          <w:szCs w:val="20"/>
          <w:color w:val="auto"/>
        </w:rPr>
      </w:pPr>
    </w:p>
    <w:p>
      <w:pPr>
        <w:ind w:right="120" w:firstLine="562"/>
        <w:spacing w:after="0" w:line="279" w:lineRule="auto"/>
        <w:rPr>
          <w:sz w:val="20"/>
          <w:szCs w:val="20"/>
          <w:color w:val="auto"/>
        </w:rPr>
      </w:pPr>
      <w:r>
        <w:rPr>
          <w:rFonts w:ascii="Arial" w:cs="Arial" w:eastAsia="Arial" w:hAnsi="Arial"/>
          <w:sz w:val="17"/>
          <w:szCs w:val="17"/>
          <w:color w:val="auto"/>
        </w:rPr>
        <w:t>Our lead product candidate, tovorafenib (DAY101), is an oral, brain-penetrant, highly-selective type II pan-rapidly accelerated fibrosarcoma, or pan-RAF, kinase inhibitor. Tovorafenib (DAY101) has been studied in over 325 patients and has been shown to be generally well-tolerated as a monotherapy. Tovorafenib (DAY101) has demonstrated encouraging anti-tumor activity in pediatric and adult populations with specific genetic alterations that result in the over-activation of the RAS/mitogen-activated protein kinase, or MAPK, pathway leading to uncontrolled cell growth.</w:t>
      </w:r>
    </w:p>
    <w:p>
      <w:pPr>
        <w:spacing w:after="0" w:line="63" w:lineRule="exact"/>
        <w:rPr>
          <w:sz w:val="20"/>
          <w:szCs w:val="20"/>
          <w:color w:val="auto"/>
        </w:rPr>
      </w:pPr>
    </w:p>
    <w:p>
      <w:pPr>
        <w:ind w:right="60" w:firstLine="562"/>
        <w:spacing w:after="0" w:line="254" w:lineRule="auto"/>
        <w:rPr>
          <w:sz w:val="20"/>
          <w:szCs w:val="20"/>
          <w:color w:val="auto"/>
        </w:rPr>
      </w:pPr>
      <w:r>
        <w:rPr>
          <w:rFonts w:ascii="Arial" w:cs="Arial" w:eastAsia="Arial" w:hAnsi="Arial"/>
          <w:sz w:val="18"/>
          <w:szCs w:val="18"/>
          <w:color w:val="auto"/>
        </w:rPr>
        <w:t>Tovorafenib (DAY101) has been granted Breakthrough Therapy designation by the U.S. Food and Drug Administration, or the FDA, in August 2020 for the treatment of pediatric low-grade glioma, or pLGG, based on initial results from a Phase 1 trial which showed evidence of rapid anti-tumor activity and durable responses in pLGG patients. Pediatric low-grade glioma is the most common brain tumor diagnosed in children for which there is no standard of care and for which there are no approved therapies for the majority of patients. We received Orphan Drug designation for the treatment of malignant glioma from the FDA in September 2020 and from the EU Commission for the treatment of glioma in May 2021. Additionally, the FDA granted Rare Pediatric Disease designation to tovorafenib (DAY101) for treatment of low-grade gliomas, or LGGs, harboring an activating RAF alteration in July 2021.</w:t>
      </w:r>
    </w:p>
    <w:p>
      <w:pPr>
        <w:spacing w:after="0" w:line="87" w:lineRule="exact"/>
        <w:rPr>
          <w:sz w:val="20"/>
          <w:szCs w:val="20"/>
          <w:color w:val="auto"/>
        </w:rPr>
      </w:pPr>
    </w:p>
    <w:p>
      <w:pPr>
        <w:ind w:firstLine="562"/>
        <w:spacing w:after="0" w:line="286" w:lineRule="auto"/>
        <w:rPr>
          <w:sz w:val="20"/>
          <w:szCs w:val="20"/>
          <w:color w:val="auto"/>
        </w:rPr>
      </w:pPr>
      <w:r>
        <w:rPr>
          <w:rFonts w:ascii="Arial" w:cs="Arial" w:eastAsia="Arial" w:hAnsi="Arial"/>
          <w:sz w:val="16"/>
          <w:szCs w:val="16"/>
          <w:color w:val="auto"/>
        </w:rPr>
        <w:t>We have initiated and fully enrolled a pivotal Phase 2 trial, or FIREFLY-1, of tovorafenib (DAY101) as a monotherapy for pediatric patients with relapsed or progressive low-grade glioma harboring an activating BRAF alteration. The first patient was dosed in FIREFLY-1 in May 2021 and we completed enrollment in the registrational arm in May 2022. The FIREFLY-1 trial has also been expanded to: (a) include two additional study arms to enable expanded access for eligible patients now that the primary cohort has completed enrollment, and (b) evaluate the preliminary efficacy of tovorafenib (DAY101) in patients aged six months to 25 years with a relapsed or progressive extracranial solid tumor with an activating RAF fusion. We reported initial data from an interim analysis from the FIREFLY-1 trial in June 2022 and top-line data for all patients in January 2023. Topline data from January 2023 demonstrated an overall response rate, or ORR, of 64% in the 69 Response Assessment for Neuro-Oncology, or RANO, evaluable patients, comprising of 3 confirmed complete responses, or CR, and 41 partial responses, or PR (31 confirmed partial responses and 10 unconfirmed partial response, or uPR). We observed an additional 19 patients with stable disease, or SD, resulting in a clinical benefit rate of 91% (CR+ PR/uPR+ SD). Safety data, based on 77 treated patients, indicated monotherapy tovorafenib (DAY101) to be generally well-tolerated. We believe tumor reduction or stabilization is clinically meaningful for pLGG patients, as both are perceived as beneficial given the lack of approved therapies for the majority of patients. We anticipate presenting additional data from the FIREFLY-1 trial at an upcoming medical meeting in the second quarter of 2023, and reviewing key portions of the data from the study with the FDA at a pre-New Drug Application, or NDA, meeting in advance of our planned submission of an NDA in the first half of 2023.</w:t>
      </w:r>
    </w:p>
    <w:p>
      <w:pPr>
        <w:spacing w:after="0" w:line="66" w:lineRule="exact"/>
        <w:rPr>
          <w:sz w:val="20"/>
          <w:szCs w:val="20"/>
          <w:color w:val="auto"/>
        </w:rPr>
      </w:pPr>
    </w:p>
    <w:p>
      <w:pPr>
        <w:ind w:right="360" w:firstLine="562"/>
        <w:spacing w:after="0" w:line="277" w:lineRule="auto"/>
        <w:rPr>
          <w:sz w:val="20"/>
          <w:szCs w:val="20"/>
          <w:color w:val="auto"/>
        </w:rPr>
      </w:pPr>
      <w:r>
        <w:rPr>
          <w:rFonts w:ascii="Arial" w:cs="Arial" w:eastAsia="Arial" w:hAnsi="Arial"/>
          <w:sz w:val="18"/>
          <w:szCs w:val="18"/>
          <w:color w:val="auto"/>
        </w:rPr>
        <w:t>We initiated a pivotal Phase 3 trial, or FIREFLY-2, of tovorafenib (DAY101) as a frontline therapy in pLGG in June 2022. The first patient was dosed in FIREFLY-2 in March 2023.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right="60" w:firstLine="562"/>
        <w:spacing w:after="0" w:line="279" w:lineRule="auto"/>
        <w:rPr>
          <w:sz w:val="20"/>
          <w:szCs w:val="20"/>
          <w:color w:val="auto"/>
        </w:rPr>
      </w:pPr>
      <w:r>
        <w:rPr>
          <w:rFonts w:ascii="Arial" w:cs="Arial" w:eastAsia="Arial" w:hAnsi="Arial"/>
          <w:sz w:val="17"/>
          <w:szCs w:val="17"/>
          <w:color w:val="auto"/>
        </w:rPr>
        <w:t>Our second product candidate, pimasertib, is an oral, highly-selective small molecule inhibitor of mitogen-activated protein kinase kinases 1 and 2, or MEK, a well-characterized key signaling node in the MAPK pathway. Pimasertib has been studied in more than 10 Phase 1/2 clinical trials in over 850 patients with various tumor types, both as monotherapy and in combination with standard of care therapies. Published preclinical studies indicated that pimasertib has higher central nervous system, or CNS, penetration than other MEK inhibitors.</w:t>
      </w:r>
    </w:p>
    <w:p>
      <w:pPr>
        <w:spacing w:after="0" w:line="63" w:lineRule="exact"/>
        <w:rPr>
          <w:sz w:val="20"/>
          <w:szCs w:val="20"/>
          <w:color w:val="auto"/>
        </w:rPr>
      </w:pPr>
    </w:p>
    <w:p>
      <w:pPr>
        <w:ind w:right="40" w:firstLine="562"/>
        <w:spacing w:after="0" w:line="272" w:lineRule="auto"/>
        <w:rPr>
          <w:sz w:val="20"/>
          <w:szCs w:val="20"/>
          <w:color w:val="auto"/>
        </w:rPr>
      </w:pPr>
      <w:r>
        <w:rPr>
          <w:rFonts w:ascii="Arial" w:cs="Arial" w:eastAsia="Arial" w:hAnsi="Arial"/>
          <w:sz w:val="17"/>
          <w:szCs w:val="17"/>
          <w:color w:val="auto"/>
        </w:rPr>
        <w:t>We have initiated an open-label, multicenter, Phase 1b/2a umbrella master trial, or FIRELIGHT-1, of tovorafenib monotherapy or combination therapy, which consists of two substudies. Substudy 1 is a Phase 2 trial of tovorafenib (DAY101) as monotherapy in patients 12 years and older with RAF– altered tumors; the first patient was dosed in November 2021. Substudy 2 is a Phase 1b/2 combination trial of tovorafenib (DAY101) and pimasertib in patients 12 years and older with various MAPK-altered solid tumors; the first patient was dosed in May 2022. Simultaneous inhibition of both RAF and MEK has been shown to lead to synergistic antitumor activity in preclinical models. This combination may demonstrate enhanced anti-tumor activity in a variety of adult solid tumors driven by MAPK alterations, including NRAS mutant melanoma and lung cancers, tumors driven by Class II BRAF alterations, tumors with BRAF wild-type fusions, and tumors driven by KRAS alterations.</w:t>
      </w:r>
    </w:p>
    <w:p>
      <w:pPr>
        <w:spacing w:after="0" w:line="69" w:lineRule="exact"/>
        <w:rPr>
          <w:sz w:val="20"/>
          <w:szCs w:val="20"/>
          <w:color w:val="auto"/>
        </w:rPr>
      </w:pPr>
    </w:p>
    <w:p>
      <w:pPr>
        <w:ind w:right="60" w:firstLine="562"/>
        <w:spacing w:after="0" w:line="259" w:lineRule="auto"/>
        <w:rPr>
          <w:sz w:val="20"/>
          <w:szCs w:val="20"/>
          <w:color w:val="auto"/>
        </w:rPr>
      </w:pPr>
      <w:r>
        <w:rPr>
          <w:rFonts w:ascii="Arial" w:cs="Arial" w:eastAsia="Arial" w:hAnsi="Arial"/>
          <w:sz w:val="18"/>
          <w:szCs w:val="18"/>
          <w:color w:val="auto"/>
        </w:rPr>
        <w:t>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worldwide rights to tovorafenib (DAY101) and to pimasertib for all therapeutic areas subject to certain milestone and royalty payments.</w:t>
      </w:r>
    </w:p>
    <w:p>
      <w:pPr>
        <w:spacing w:after="0" w:line="79"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Each year, approximately 15,500 children under the age of 18 in the United States and 300,000 globally are diagnosed with cancer. Moreover, cancer remains the most common cause of death by disease for children in the United States, accounting for over 1,700 deaths per year. Despite the need for safer and more effective therapies for childhood cancers, new drugs for pediatric patients are rare. Of the 117 non-hormonal oncology drugs approved by the FDA between 1997 and 2017, only six had an initial approval that included children. Generally, medicinal product testing in children is deferred until trials in adults reach late-stage clinical development. As a result, the first pediatric trials of an oncology product candidate usually initiate about six years after an initial clinical trial in adults.</w:t>
      </w:r>
    </w:p>
    <w:p>
      <w:pPr>
        <w:spacing w:after="0" w:line="84" w:lineRule="exact"/>
        <w:rPr>
          <w:sz w:val="20"/>
          <w:szCs w:val="20"/>
          <w:color w:val="auto"/>
        </w:rPr>
      </w:pPr>
    </w:p>
    <w:p>
      <w:pPr>
        <w:ind w:right="120" w:firstLine="562"/>
        <w:spacing w:after="0" w:line="275" w:lineRule="auto"/>
        <w:rPr>
          <w:sz w:val="20"/>
          <w:szCs w:val="20"/>
          <w:color w:val="auto"/>
        </w:rPr>
      </w:pPr>
      <w:r>
        <w:rPr>
          <w:rFonts w:ascii="Arial" w:cs="Arial" w:eastAsia="Arial" w:hAnsi="Arial"/>
          <w:sz w:val="17"/>
          <w:szCs w:val="17"/>
          <w:color w:val="auto"/>
        </w:rPr>
        <w:t>In addition, the generation of large-scale molecular profiling datasets necessary to define addressable subpopulations in pediatric oncology has occurred relatively recently. Advances in our understanding of pediatric cancer biology have revealed patient populations with druggable genetic alterations. Our management team, which has significant pediatric oncology and rare diseases drug development experience, believes targeted therapies, such as tovorafenib (DAY101), have the potential to be studied in children sooner in order to address the large unmet need in pediatric cancers where new agents that address the specific genetic drivers of a tumor can meaningfully improve long-term prognosis.</w:t>
      </w:r>
    </w:p>
    <w:p>
      <w:pPr>
        <w:spacing w:after="0" w:line="284" w:lineRule="exact"/>
        <w:rPr>
          <w:sz w:val="20"/>
          <w:szCs w:val="20"/>
          <w:color w:val="auto"/>
        </w:rPr>
      </w:pPr>
    </w:p>
    <w:p>
      <w:pPr>
        <w:ind w:firstLine="562"/>
        <w:spacing w:after="0" w:line="301" w:lineRule="auto"/>
        <w:rPr>
          <w:sz w:val="20"/>
          <w:szCs w:val="20"/>
          <w:color w:val="auto"/>
        </w:rPr>
      </w:pPr>
      <w:r>
        <w:rPr>
          <w:rFonts w:ascii="Arial" w:cs="Arial" w:eastAsia="Arial" w:hAnsi="Arial"/>
          <w:sz w:val="16"/>
          <w:szCs w:val="16"/>
          <w:color w:val="auto"/>
        </w:rPr>
        <w:t>Our team’s extensive capabilities and experience in pediatric oncology, and our relationships across all key stakeholders in the pediatric medical community, enable us to effectively navigate the challenges and nuances of pediatric drug development. We understand that clinical development in children cannot and should not simply be viewed as clinical development in small adults. We leverage our unique expertise to focus our initial development efforts on pediatric patients, given the potential for favorable regulatory pathways, namely Breakthrough Therapy and Orphan Drug designations.</w:t>
      </w:r>
    </w:p>
    <w:p>
      <w:pPr>
        <w:spacing w:after="0" w:line="265" w:lineRule="exact"/>
        <w:rPr>
          <w:sz w:val="20"/>
          <w:szCs w:val="20"/>
          <w:color w:val="auto"/>
        </w:rPr>
      </w:pPr>
    </w:p>
    <w:p>
      <w:pPr>
        <w:ind w:right="460" w:firstLine="562"/>
        <w:spacing w:after="0" w:line="277" w:lineRule="auto"/>
        <w:rPr>
          <w:sz w:val="20"/>
          <w:szCs w:val="20"/>
          <w:color w:val="auto"/>
        </w:rPr>
      </w:pPr>
      <w:r>
        <w:rPr>
          <w:rFonts w:ascii="Arial" w:cs="Arial" w:eastAsia="Arial" w:hAnsi="Arial"/>
          <w:sz w:val="18"/>
          <w:szCs w:val="18"/>
          <w:color w:val="auto"/>
        </w:rPr>
        <w:t>We are driven to help children and their families fight cancer while also addressing longstanding unmet medical needs. We believe there are a number of unique advantages to developing new oncology product candidates in pediatric patients:</w:t>
      </w:r>
    </w:p>
    <w:p>
      <w:pPr>
        <w:spacing w:after="0" w:line="58" w:lineRule="exact"/>
        <w:rPr>
          <w:sz w:val="20"/>
          <w:szCs w:val="20"/>
          <w:color w:val="auto"/>
        </w:rPr>
      </w:pPr>
    </w:p>
    <w:p>
      <w:pPr>
        <w:ind w:left="1020" w:right="220" w:hanging="503"/>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Enriched responder populations. </w:t>
      </w:r>
      <w:r>
        <w:rPr>
          <w:rFonts w:ascii="Arial" w:cs="Arial" w:eastAsia="Arial" w:hAnsi="Arial"/>
          <w:sz w:val="18"/>
          <w:szCs w:val="18"/>
          <w:color w:val="auto"/>
        </w:rPr>
        <w:t>Many pediatric tumors are less heterogeneous and genomically more stable compared to highly</w:t>
      </w:r>
      <w:r>
        <w:rPr>
          <w:rFonts w:ascii="Arial" w:cs="Arial" w:eastAsia="Arial" w:hAnsi="Arial"/>
          <w:sz w:val="18"/>
          <w:szCs w:val="18"/>
          <w:b w:val="1"/>
          <w:bCs w:val="1"/>
          <w:color w:val="auto"/>
        </w:rPr>
        <w:t xml:space="preserve"> </w:t>
      </w:r>
      <w:r>
        <w:rPr>
          <w:rFonts w:ascii="Arial" w:cs="Arial" w:eastAsia="Arial" w:hAnsi="Arial"/>
          <w:sz w:val="18"/>
          <w:szCs w:val="18"/>
          <w:color w:val="auto"/>
        </w:rPr>
        <w:t>heterogeneous adult tumors. Genetic alterations found in pediatric tumors are often primary driver oncogenic mutations. Directly targeting these mutations may lead to deep and sustained anti-tumor activity.</w:t>
      </w:r>
    </w:p>
    <w:p>
      <w:pPr>
        <w:spacing w:after="0" w:line="67" w:lineRule="exact"/>
        <w:rPr>
          <w:rFonts w:ascii="Arial" w:cs="Arial" w:eastAsia="Arial" w:hAnsi="Arial"/>
          <w:sz w:val="18"/>
          <w:szCs w:val="18"/>
          <w:color w:val="auto"/>
        </w:rPr>
      </w:pPr>
    </w:p>
    <w:p>
      <w:pPr>
        <w:ind w:left="1020" w:right="120" w:hanging="503"/>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Ability to efficiently advance clinical development. </w:t>
      </w:r>
      <w:r>
        <w:rPr>
          <w:rFonts w:ascii="Arial" w:cs="Arial" w:eastAsia="Arial" w:hAnsi="Arial"/>
          <w:sz w:val="18"/>
          <w:szCs w:val="18"/>
          <w:color w:val="auto"/>
        </w:rPr>
        <w:t>Global regulatory authorities have established paths for accelerated feedback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and execution of clinical trials in pediatrics. Furthermore, the potential to achieve proof-of-concept and regulatory approval can be obtained with relatively smaller-sized clinical trials with clear endpoints.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 w:name="page6"/>
    <w:bookmarkEnd w:id="5"/>
    <w:p>
      <w:pPr>
        <w:ind w:left="1020" w:hanging="503"/>
        <w:spacing w:after="0" w:line="26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Regulatory and commercial tailwinds. </w:t>
      </w:r>
      <w:r>
        <w:rPr>
          <w:rFonts w:ascii="Arial" w:cs="Arial" w:eastAsia="Arial" w:hAnsi="Arial"/>
          <w:sz w:val="18"/>
          <w:szCs w:val="18"/>
          <w:color w:val="auto"/>
        </w:rPr>
        <w:t>The scarcity of approved products or an established standard-of-care in pediatric oncology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multiple opportunities to bring new therapeutics to market. Passionate patient advocacy groups and investigators have the potential to accelerate the uptake of therapies, if approved.</w:t>
      </w:r>
    </w:p>
    <w:p>
      <w:pPr>
        <w:spacing w:after="0" w:line="72" w:lineRule="exact"/>
        <w:rPr>
          <w:sz w:val="20"/>
          <w:szCs w:val="20"/>
          <w:color w:val="auto"/>
        </w:rPr>
      </w:pPr>
    </w:p>
    <w:p>
      <w:pPr>
        <w:ind w:right="320" w:firstLine="569"/>
        <w:spacing w:after="0" w:line="277" w:lineRule="auto"/>
        <w:rPr>
          <w:sz w:val="20"/>
          <w:szCs w:val="20"/>
          <w:color w:val="auto"/>
        </w:rPr>
      </w:pPr>
      <w:r>
        <w:rPr>
          <w:rFonts w:ascii="Arial" w:cs="Arial" w:eastAsia="Arial" w:hAnsi="Arial"/>
          <w:sz w:val="18"/>
          <w:szCs w:val="18"/>
          <w:color w:val="auto"/>
        </w:rPr>
        <w:t>We seek to identify, acquire and develop product candidates that target high-value oncogenic drivers in cancers with high unmet need, with an initial focus on pediatric patients. 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48895</wp:posOffset>
            </wp:positionV>
            <wp:extent cx="5349240" cy="2983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firstLine="562"/>
        <w:spacing w:after="0" w:line="271" w:lineRule="auto"/>
        <w:rPr>
          <w:sz w:val="20"/>
          <w:szCs w:val="20"/>
          <w:color w:val="auto"/>
        </w:rPr>
      </w:pPr>
      <w:r>
        <w:rPr>
          <w:rFonts w:ascii="Arial" w:cs="Arial" w:eastAsia="Arial" w:hAnsi="Arial"/>
          <w:sz w:val="17"/>
          <w:szCs w:val="17"/>
          <w:color w:val="auto"/>
        </w:rPr>
        <w:t>Our lead product candidate, tovorafenib (DAY101), is an oral, brain-penetrant, highly-selective type II pan-RAF kinase inhibitor that inhibits both monomeric and dimeric RAF kinase. Approved BRAF products such as vemurafenib and encorafenib are referred to as type I RAF inhibitors, which only inhibit RAF monomers and are therefore limited to use in BRAF V600-altered tumors. Unlike type I RAF inhibitors, tovorafenib (DAY101) has not been shown to cause paradoxical activation in RAF wild-type cells at clinically active doses – a phenomenon wherein undesired increases in MAPK signaling can lead to renewed tumor growth. Tovorafenib’s (DAY101) inhibition of both RAF monomers and dimers broadens its potential clinical application to treat an array of RAS- or RAF-altered solid tumors. Furthermore, studies have shown tovorafenib (DAY101) has higher brain penetration, distribution and exposure in comparison to other MAPK pathway inhibitors. Taken together, we believe that tovorafenib (DAY101) has the potential to be a high-impact targeted therapeutic in pLGG, where over half of pLGGs are driven by abnormal signaling due to RAF alterations.</w:t>
      </w: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5" w:right="459" w:bottom="1440" w:gutter="0" w:footer="0" w:header="0"/>
        </w:sectPr>
      </w:pPr>
    </w:p>
    <w:bookmarkStart w:id="6" w:name="page7"/>
    <w:bookmarkEnd w:id="6"/>
    <w:p>
      <w:pPr>
        <w:ind w:right="20" w:firstLine="562"/>
        <w:spacing w:after="0" w:line="287" w:lineRule="auto"/>
        <w:rPr>
          <w:sz w:val="20"/>
          <w:szCs w:val="20"/>
          <w:color w:val="auto"/>
        </w:rPr>
      </w:pPr>
      <w:r>
        <w:rPr>
          <w:rFonts w:ascii="Arial" w:cs="Arial" w:eastAsia="Arial" w:hAnsi="Arial"/>
          <w:sz w:val="16"/>
          <w:szCs w:val="16"/>
          <w:color w:val="auto"/>
        </w:rPr>
        <w:t>This rationale served as the basis on which researchers at Dana-Farber Cancer Institute initiated the development of tovorafenib (DAY101) in pLGG. In a Phase 1 dose-escalation study, nine pediatric patients (&lt;18 years of age) with relapsed pLGG were treated with tovorafenib (DAY101). Of the eight patients with RAF fusions, two achieved a complete response by Response Assessment for Neuro-Oncology, or RANO, criteria, three had a partial response, two achieved prolonged stable disease, and one experienced progressive disease as assessed by an independent radiographic review. The median time to achieve a response was 10.5 weeks, which was a notable observation given pLGG is an indolent, slow-growing tumor. In addition to the rapid anti-tumor activity observed, tovorafenib (DAY101) was also well-tolerated, which is important for achieving and maintaining long-term, durable responses in these patients. Based on these results, tovorafenib (DAY101) has been granted Breakthrough Therapy designation by the FDA for the treatment of pediatric patients with pLGG harboring an activating RAF alteration who require systemic therapy and who have either progressed following prior treatment or who have no satisfactory alternative treatment options. Tovorafenib (DAY101) received Orphan Drug designation for the treatment of malignant glioma from the FDA in September 2020 and from the EU Commission for the treatment of glioma in May 2021. Additionally, the FDA granted Rare Pediatric Disease designation to tovorafenib (DAY101) for treatment of LGGs harboring an activating RAF alteration in July 2021.</w:t>
      </w:r>
    </w:p>
    <w:p>
      <w:pPr>
        <w:spacing w:after="0" w:line="64" w:lineRule="exact"/>
        <w:rPr>
          <w:sz w:val="20"/>
          <w:szCs w:val="20"/>
          <w:color w:val="auto"/>
        </w:rPr>
      </w:pPr>
    </w:p>
    <w:p>
      <w:pPr>
        <w:ind w:firstLine="606"/>
        <w:spacing w:after="0" w:line="273" w:lineRule="auto"/>
        <w:rPr>
          <w:sz w:val="20"/>
          <w:szCs w:val="20"/>
          <w:color w:val="auto"/>
        </w:rPr>
      </w:pPr>
      <w:r>
        <w:rPr>
          <w:rFonts w:ascii="Arial" w:cs="Arial" w:eastAsia="Arial" w:hAnsi="Arial"/>
          <w:sz w:val="17"/>
          <w:szCs w:val="17"/>
          <w:color w:val="auto"/>
        </w:rPr>
        <w:t>Our second product candidate, pimasertib, is an oral, highly-selective small molecule inhibitor of mitogen-activated protein kinase kinases 1 and 2, or MEK, a well-characterized key signaling node in the MAPK pathway. Several MEK inhibitors have received regulatory approval for use in combination with type I RAF inhibitors in BRAF V600 mutant tumors. Preclinical experiments indicate that the potential benefit of combining a MEK inhibitor with a type II RAF inhibitor may be even greater due to the lack of the paradoxical effects of type II inhibitors on downstream signaling. Tovorafenib’s (DAY101) ability to selectively inhibit both RAF monomers and dimers may broaden its potential clinical application in combination with MEK inhibition in solid tumors driven by RAS alterations, non-BRAF V600 mutations, and RAF fusions.</w:t>
      </w:r>
    </w:p>
    <w:p>
      <w:pPr>
        <w:spacing w:after="0" w:line="286" w:lineRule="exact"/>
        <w:rPr>
          <w:sz w:val="20"/>
          <w:szCs w:val="20"/>
          <w:color w:val="auto"/>
        </w:rPr>
      </w:pPr>
    </w:p>
    <w:p>
      <w:pPr>
        <w:ind w:firstLine="562"/>
        <w:spacing w:after="0" w:line="285" w:lineRule="auto"/>
        <w:rPr>
          <w:sz w:val="20"/>
          <w:szCs w:val="20"/>
          <w:color w:val="auto"/>
        </w:rPr>
      </w:pPr>
      <w:r>
        <w:rPr>
          <w:rFonts w:ascii="Arial" w:cs="Arial" w:eastAsia="Arial" w:hAnsi="Arial"/>
          <w:sz w:val="16"/>
          <w:szCs w:val="16"/>
          <w:color w:val="auto"/>
        </w:rPr>
        <w:t>We have assembled a leadership team with a proven track record of success in building biopharmaceutical companies, and a team of drug developers with unique experience and capabilities in pediatric drug development. Our Chief Executive Officer, Jeremy Bender, Ph.D., M.B.A., brings more than 15 years of biopharmaceutical leadership experience to the company. He previously served as Vice President of Corporate Development at Gilead Sciences where he led the team responsible for Gilead’s acquisitions, partnerships, and equity investments and oversaw more than 40 transactions exceeding $10 billion in upfront deal value, including the acquisition of Forty Seven, Inc. Samuel Blackman, M.D., Ph.D., our co-founder and Chief Medical Officer, is a physician-scientist trained in pediatric hematology/oncology and neuro-oncology, and has led the early clinical development of more than ten novel cancer therapeutics and was responsible for the pediatric development of dabrafenib, resulting in the first industry-sponsored pediatric oncology “basket trial.” Charles York II, our Chief Operating and Financial Officer, previously served as Chief Financial Officer and Head of Corporate Development at Aeglea BioTherapeutics and has more than 20 years of strategic capital formation and leadership experience. Davy Chiodin, PharmD, our Chief Development Officer, has over 15 years of experience in both adult and pediatric oncology drug development, including the development of acalabrutinib at Acerta, now AstraZeneca, and served as Global Regulatory Leader, Pediatric Oncology, at Roche/Genentech. Mike Preigh, Ph.D., our Chief of Technology Operations, has over 25 years of experience in product development including serving as the Head of CMC at Array for over 10 years, filing over 20 Investigational New Drug Applications, or INDs, and supporting the development of marketed drugs including binimetinib and tucatinib. Jaa Roberson, our Chief People Officer, has 20 years of human resources experience across the biopharma, health insurance, and retail industries. She previously served as Head of Human Resources for Bellicum Pharmaceuticals, a clinical-stage biopharmaceutical company focused on cellular immuno-oncology. Adam Dubow, our General Counsel, has over 20 years of industry experience, most recently serving as Chief Compliance and Ethics Officer at Bristol Myers Squibb in various legal and policy roles in the United States, Asia and Europe.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0" w:firstLine="569"/>
        <w:spacing w:after="0" w:line="263" w:lineRule="auto"/>
        <w:rPr>
          <w:sz w:val="20"/>
          <w:szCs w:val="20"/>
          <w:color w:val="auto"/>
        </w:rPr>
      </w:pPr>
      <w:r>
        <w:rPr>
          <w:rFonts w:ascii="Arial" w:cs="Arial" w:eastAsia="Arial" w:hAnsi="Arial"/>
          <w:sz w:val="18"/>
          <w:szCs w:val="18"/>
          <w:color w:val="auto"/>
        </w:rPr>
        <w:t>We have a mission-driven strategy to build a differentiated, global biopharmaceutical company through the identification, development and commercialization of therapeutics that address underserved patient populations, with an initial focus on pediatric patients. The key elements of our strategy are to:</w:t>
      </w:r>
    </w:p>
    <w:p>
      <w:pPr>
        <w:spacing w:after="0" w:line="72" w:lineRule="exact"/>
        <w:rPr>
          <w:sz w:val="20"/>
          <w:szCs w:val="20"/>
          <w:color w:val="auto"/>
        </w:rPr>
      </w:pPr>
    </w:p>
    <w:p>
      <w:pPr>
        <w:ind w:left="1020" w:right="20" w:hanging="503"/>
        <w:spacing w:after="0" w:line="272"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Establish a leadership position in targeted oncology therapeutics for patients of all ages through our unique expertise in pediatrics. </w:t>
      </w:r>
      <w:r>
        <w:rPr>
          <w:rFonts w:ascii="Arial" w:cs="Arial" w:eastAsia="Arial" w:hAnsi="Arial"/>
          <w:sz w:val="17"/>
          <w:szCs w:val="17"/>
          <w:color w:val="auto"/>
        </w:rPr>
        <w:t>We have built a targeted oncology company with differentiated business and clinical development capabilities. We leverage these capabilities to navigate the unique challenges and nuances of pediatric drug development. We initially focus on pediatric patients as we believe this provides a favorable pathway to approval for our product candidates. We have established trusted relationships with the pediatric oncology community, and we seek their advice on aligning our clinical development plans with the needs of the patients and their families. We believe we are a leader in this development space and to further this position, we plan to continue to consult and strategically partner with biopharmaceutical companies, academic pediatric oncologists and scientists, and patient advocacy groups to identify areas of unmet need in pediatric oncology and then acquire high-impact assets to address these underserved patients.</w:t>
      </w:r>
    </w:p>
    <w:p>
      <w:pPr>
        <w:spacing w:after="0" w:line="63" w:lineRule="exact"/>
        <w:rPr>
          <w:rFonts w:ascii="Arial" w:cs="Arial" w:eastAsia="Arial" w:hAnsi="Arial"/>
          <w:sz w:val="17"/>
          <w:szCs w:val="17"/>
          <w:color w:val="auto"/>
        </w:rPr>
      </w:pPr>
    </w:p>
    <w:p>
      <w:pPr>
        <w:ind w:left="1020" w:hanging="503"/>
        <w:spacing w:after="0" w:line="26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Advance our lead product candidate, tovorafenib (DAY101), through clinical development towards regulatory approval in pLGG. </w:t>
      </w:r>
      <w:r>
        <w:rPr>
          <w:rFonts w:ascii="Arial" w:cs="Arial" w:eastAsia="Arial" w:hAnsi="Arial"/>
          <w:sz w:val="17"/>
          <w:szCs w:val="17"/>
          <w:color w:val="auto"/>
        </w:rPr>
        <w:t>We have demonstrated clinical proof-of-concept of tovorafenib (DAY101) in pediatric patients for cancers that harbor genetic alterations in RAF. Oral, once-weekly dosed tovorafenib (DAY101) was also well-tolerated in the Phase 1 trial in pLGG, which is important for achieving and maintaining long-term, durable responses in these patients. Further, tovorafenib (DAY101) received FDA Breakthrough Therapy designation for the treatment of pediatric patients with pLGG harboring an activating RAF alteration who require systemic therapy and who have either progressed following prior treatment or who have no satisfactory alternative treatment options. Tovorafenib (DAY101) also received Orphan Drug designation from the FDA for the treatment of malignant glioma. We are currently conducting a pivotal Phase 2 FIREFLY-1 trial of tovorafenib (DAY101) as a monotherapy for pediatric patients with relapsed or pLGG harboring an activating BRAF alteration. We dosed the first patient in FIREFLY-1 in May 2021 and we completed enrollment in the registrational arm in May 2022. The FIREFLY-1 trial has also been expanded to: (a) include two additional study arms to enable expanded access for eligible patients now that the primary cohort has completed enrollment, and (b) evaluate the preliminary efficacy of tovorafenib (DAY101) in patients aged six months to 25 years with a relapsed or progressive extracranial solid tumor with an activating RAF fusion. We reported initial data from an interim analysis from this trial in June 2022 and top-line data for all patients in January 2023. We initiated a pivotal Phase 3 FIREFLY-2 trial of tovorafenib (DAY101) as a frontline therapy in pLGG in the second quarter of 2022. The first patient was dosed in FIREFLY-2 in March 2023.</w:t>
      </w:r>
    </w:p>
    <w:p>
      <w:pPr>
        <w:spacing w:after="0" w:line="73" w:lineRule="exact"/>
        <w:rPr>
          <w:rFonts w:ascii="Arial" w:cs="Arial" w:eastAsia="Arial" w:hAnsi="Arial"/>
          <w:sz w:val="17"/>
          <w:szCs w:val="17"/>
          <w:color w:val="auto"/>
        </w:rPr>
      </w:pPr>
    </w:p>
    <w:p>
      <w:pPr>
        <w:ind w:left="1020" w:hanging="503"/>
        <w:spacing w:after="0" w:line="269"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Maximize the therapeutic potential for tovorafenib (DAY101) by targeting other tumors with various unaddressed MAPK alterations, including in adults, both as a monotherapy and in combination with our second product candidate, pimasertib. </w:t>
      </w:r>
      <w:r>
        <w:rPr>
          <w:rFonts w:ascii="Arial" w:cs="Arial" w:eastAsia="Arial" w:hAnsi="Arial"/>
          <w:sz w:val="17"/>
          <w:szCs w:val="17"/>
          <w:color w:val="auto"/>
        </w:rPr>
        <w:t>Tovorafenib (DAY101) has been dosed in over 325 patients in two adult Phase 1 open-label clinical trials—one trial investigating tovorafenib (DAY101) in monotherapy, and another in combination with other anti-cancer drugs. In both clinical trials, signs of early clinical responses emerged. Additionally, simultaneous inhibition of both RAF and MEK has been shown to lead to synergistic anti-tumor activity. We have initiated an open-label, multicenter, Phase 1b/2a FIRELIGHT-1 umbrella master trial of tovorafenib monotherapy or combination therapy, which consists of two substudies. Substudy 1 is a Phase 2 clinical trial of tovorafenib (DAY101) as monotherapy in patients 12 years and older with RAF–altered tumors; the first patient was dosed in November 2021. Substudy 2 is a Phase 1b/2 combination trial of tovorafenib (DAY101) and pimasertib in patients 12 years and older with various MAPK-altered solid tumors; the first patient was dosed in May 2022. Simultaneous inhibition of both RAF and MEK has been shown to lead to synergistic antitumor activity in preclinical models. This combination may demonstrate enhanced anti-tumor activity in a variety of adult solid tumors driven by MAPK alterations, including NRAS mutant melanoma and lung cancers, tumors driven by Class II BRAF alterations, tumors with BRAF wild-type fusions, and tumors driven by KRAS alterations.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 w:name="page9"/>
    <w:bookmarkEnd w:id="8"/>
    <w:p>
      <w:pPr>
        <w:ind w:left="1020" w:right="200" w:hanging="503"/>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Deploy our differentiated and proven business development expertise to further expand our targeted oncology pipeline for patients with large unmet medical needs. </w:t>
      </w:r>
      <w:r>
        <w:rPr>
          <w:rFonts w:ascii="Arial" w:cs="Arial" w:eastAsia="Arial" w:hAnsi="Arial"/>
          <w:sz w:val="18"/>
          <w:szCs w:val="18"/>
          <w:color w:val="auto"/>
        </w:rPr>
        <w:t>Our team has diverse backgrounds—from academia and drug research and development, to</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industry and business development experience. We have a proven track record of identifying and acquiring drug candidates and programs with potentially significant commercial opportunities, including successfully in-licensing our current drug candidates, tovorafenib (DAY101) from Takeda and pimasertib from Merck KGaA, Darmstadt, Germany. We will continue to utilize our broad experience, as well as our network of trusted relationships, to source additional high-impact assets to further expand our targeted oncology pipeline.</w:t>
      </w:r>
    </w:p>
    <w:p>
      <w:pPr>
        <w:spacing w:after="0" w:line="80" w:lineRule="exact"/>
        <w:rPr>
          <w:rFonts w:ascii="Arial" w:cs="Arial" w:eastAsia="Arial" w:hAnsi="Arial"/>
          <w:sz w:val="18"/>
          <w:szCs w:val="18"/>
          <w:color w:val="auto"/>
        </w:rPr>
      </w:pPr>
    </w:p>
    <w:p>
      <w:pPr>
        <w:ind w:left="1020" w:right="180" w:hanging="503"/>
        <w:spacing w:after="0" w:line="25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Evaluate opportunities to accelerate development timelines and enhance the commercial potential of our programs in collaboration with third parties. </w:t>
      </w:r>
      <w:r>
        <w:rPr>
          <w:rFonts w:ascii="Arial" w:cs="Arial" w:eastAsia="Arial" w:hAnsi="Arial"/>
          <w:sz w:val="18"/>
          <w:szCs w:val="18"/>
          <w:color w:val="auto"/>
        </w:rPr>
        <w:t>We own full worldwide development and commercialization rights to each of our programs subject to milestone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royalty payments. For additional information, see the subsection titled “Significant agreements.” In the future, we may selectively enter into collaborations where we believe there is an opportunity to accelerate the development and commercialization of our product candidates. We intend to commercialize our product candidates in key markets either alone or with partners in order to maximize the worldwide commercial potential of our programs.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Prioritize Pediatric Cancer and Other Areas of High Unmet Need</w:t>
      </w:r>
    </w:p>
    <w:p>
      <w:pPr>
        <w:spacing w:after="0" w:line="121" w:lineRule="exact"/>
        <w:rPr>
          <w:sz w:val="20"/>
          <w:szCs w:val="20"/>
          <w:color w:val="auto"/>
        </w:rPr>
      </w:pPr>
    </w:p>
    <w:p>
      <w:pPr>
        <w:ind w:right="140" w:firstLine="562"/>
        <w:spacing w:after="0" w:line="279" w:lineRule="auto"/>
        <w:rPr>
          <w:sz w:val="20"/>
          <w:szCs w:val="20"/>
          <w:color w:val="auto"/>
        </w:rPr>
      </w:pPr>
      <w:r>
        <w:rPr>
          <w:rFonts w:ascii="Arial" w:cs="Arial" w:eastAsia="Arial" w:hAnsi="Arial"/>
          <w:sz w:val="17"/>
          <w:szCs w:val="17"/>
          <w:color w:val="auto"/>
        </w:rPr>
        <w:t>Our company is focused on prioritizing the clinical development of novel targeted therapeutics in pediatric patients. Historically, most pharmaceutical companies focused discovery and development efforts for new cancer therapies on adult tumor types. As a result, between 1997 and 2017, for the 126 drugs that received initial FDA approval for an oncology indication, the median time between the first-in-adult trial and the first-in-child trial was 6.5 years, regardless of whether or not the drug was a chemotherapeutic, a biologic agent, or a targeted therapeutic.</w:t>
      </w:r>
    </w:p>
    <w:p>
      <w:pPr>
        <w:spacing w:after="0" w:line="279" w:lineRule="exact"/>
        <w:rPr>
          <w:sz w:val="20"/>
          <w:szCs w:val="20"/>
          <w:color w:val="auto"/>
        </w:rPr>
      </w:pPr>
    </w:p>
    <w:p>
      <w:pPr>
        <w:ind w:right="20" w:firstLine="562"/>
        <w:spacing w:after="0" w:line="342" w:lineRule="auto"/>
        <w:rPr>
          <w:sz w:val="20"/>
          <w:szCs w:val="20"/>
          <w:color w:val="auto"/>
        </w:rPr>
      </w:pPr>
      <w:r>
        <w:rPr>
          <w:rFonts w:ascii="Arial" w:cs="Arial" w:eastAsia="Arial" w:hAnsi="Arial"/>
          <w:sz w:val="16"/>
          <w:szCs w:val="16"/>
          <w:color w:val="auto"/>
        </w:rPr>
        <w:t>We believe that now is the right time to revisit and correct historic assumptions about pediatric oncology drug development. In doing so, we believe there are unique advantages to developing new oncology product candidates in pediatric patients, in parallel with, or even in advance of, adult indications:</w:t>
      </w:r>
    </w:p>
    <w:p>
      <w:pPr>
        <w:spacing w:after="0" w:line="16" w:lineRule="exact"/>
        <w:rPr>
          <w:sz w:val="20"/>
          <w:szCs w:val="20"/>
          <w:color w:val="auto"/>
        </w:rPr>
      </w:pPr>
    </w:p>
    <w:p>
      <w:pPr>
        <w:ind w:left="1020" w:hanging="503"/>
        <w:spacing w:after="0" w:line="296"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Enriched responder populations. </w:t>
      </w:r>
      <w:r>
        <w:rPr>
          <w:rFonts w:ascii="Arial" w:cs="Arial" w:eastAsia="Arial" w:hAnsi="Arial"/>
          <w:sz w:val="16"/>
          <w:szCs w:val="16"/>
          <w:color w:val="auto"/>
        </w:rPr>
        <w:t>The generation of large-scale molecular profiling datasets necessary to define addressable subpopulations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pediatric oncology has accelerated over the last decade. This has allowed scientists and drug developers to identify oncogenic drivers underlying numerous pediatric tumor types, and has revealed druggable oncogenic drivers in nearly 50% of pediatric cancers. Moreover, pediatric tumors are less heterogeneous and genomically more stable compared to highly heterogeneous adult tumors. Directly targeting these mutations may lead to deep and sustained anti-tumor activity, as demonstrated by other targeted oncology products.</w:t>
      </w:r>
    </w:p>
    <w:p>
      <w:pPr>
        <w:spacing w:after="0" w:line="53" w:lineRule="exact"/>
        <w:rPr>
          <w:rFonts w:ascii="Arial" w:cs="Arial" w:eastAsia="Arial" w:hAnsi="Arial"/>
          <w:sz w:val="16"/>
          <w:szCs w:val="16"/>
          <w:color w:val="auto"/>
        </w:rPr>
      </w:pPr>
    </w:p>
    <w:p>
      <w:pPr>
        <w:ind w:left="1020" w:right="100" w:hanging="503"/>
        <w:spacing w:after="0" w:line="296"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Ability to efficiently advance clinical development. </w:t>
      </w:r>
      <w:r>
        <w:rPr>
          <w:rFonts w:ascii="Arial" w:cs="Arial" w:eastAsia="Arial" w:hAnsi="Arial"/>
          <w:sz w:val="16"/>
          <w:szCs w:val="16"/>
          <w:color w:val="auto"/>
        </w:rPr>
        <w:t>Recently, global regulatory authorities have established paths for accelerated feedback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design and execution of clinical trials in pediatrics. As part of the recent FDA Reauthorization Act, 205 relevant molecular targets were identified for pediatric cancers. In addition, new tumor-specific pediatric oncology consortia and cooperative groups have been established, allowing industry to sponsor pediatric clinical trials in the same manner as adult clinical trials. Further, the potential to achieve proof-of-concept and regulatory approval can be obtained with relatively smaller-sized clinical trials with clear endpoints.</w:t>
      </w:r>
    </w:p>
    <w:p>
      <w:pPr>
        <w:spacing w:after="0" w:line="53" w:lineRule="exact"/>
        <w:rPr>
          <w:rFonts w:ascii="Arial" w:cs="Arial" w:eastAsia="Arial" w:hAnsi="Arial"/>
          <w:sz w:val="16"/>
          <w:szCs w:val="16"/>
          <w:color w:val="auto"/>
        </w:rPr>
      </w:pPr>
    </w:p>
    <w:p>
      <w:pPr>
        <w:jc w:val="both"/>
        <w:ind w:left="1020" w:right="200" w:hanging="503"/>
        <w:spacing w:after="0" w:line="279"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Regulatory and commercial tailwinds. </w:t>
      </w:r>
      <w:r>
        <w:rPr>
          <w:rFonts w:ascii="Arial" w:cs="Arial" w:eastAsia="Arial" w:hAnsi="Arial"/>
          <w:sz w:val="17"/>
          <w:szCs w:val="17"/>
          <w:color w:val="auto"/>
        </w:rPr>
        <w:t>Of the 117 non-hormonal oncology drugs approved by the FDA between 1997 and 2017, only six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had an initial approval that included children. The scarcity of approved products or an established standard of care, particularly in relapsed disease in pediatric oncology, provides multiple opportunities to bring new therapeutics to market. Passionate patient advocacy groups and investigators have the potential to accelerate the uptake of therapies, if approved.</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ind w:right="160" w:firstLine="562"/>
        <w:spacing w:after="0" w:line="259" w:lineRule="auto"/>
        <w:rPr>
          <w:sz w:val="20"/>
          <w:szCs w:val="20"/>
          <w:color w:val="auto"/>
        </w:rPr>
      </w:pPr>
      <w:r>
        <w:rPr>
          <w:rFonts w:ascii="Arial" w:cs="Arial" w:eastAsia="Arial" w:hAnsi="Arial"/>
          <w:sz w:val="18"/>
          <w:szCs w:val="18"/>
          <w:color w:val="auto"/>
        </w:rPr>
        <w:t>Our company is uniquely positioned to deliver much-needed targeted therapeutics to pediatric oncology patients. We have extensive capabilities and experience with these patients, and our trusted relationships across all key stakeholders in the pediatric medical community enable us to effectively navigate the challenges and nuances of pediatric drug development. Key advantages that allow us to successfully identify and execute on opportunities in pediatric oncology include:</w:t>
      </w:r>
    </w:p>
    <w:p>
      <w:pPr>
        <w:spacing w:after="0" w:line="79" w:lineRule="exact"/>
        <w:rPr>
          <w:sz w:val="20"/>
          <w:szCs w:val="20"/>
          <w:color w:val="auto"/>
        </w:rPr>
      </w:pPr>
    </w:p>
    <w:p>
      <w:pPr>
        <w:ind w:left="1020" w:hanging="503"/>
        <w:spacing w:after="0" w:line="296"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Aggregation of insights from a diverse group of key stakeholders to identify attractive development opportunities based on patient need and underlying biology. </w:t>
      </w:r>
      <w:r>
        <w:rPr>
          <w:rFonts w:ascii="Arial" w:cs="Arial" w:eastAsia="Arial" w:hAnsi="Arial"/>
          <w:sz w:val="16"/>
          <w:szCs w:val="16"/>
          <w:color w:val="auto"/>
        </w:rPr>
        <w:t>The broad scientific expertise of our team and within our trusted global network of scientific advisors, allows us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 and identify areas of cancer biology that are relevant to children, adolescents and adults. For instance, the BRAF wild-type gene fusions that are the most common BRAF alteration in pLGG have been shown to be oncogenic in several adult solid tumor types, and may be addressable with tovorafenib (DAY101) as monotherapy, or in combination with a MEK inhibitor, such as pimasertib.</w:t>
      </w:r>
    </w:p>
    <w:p>
      <w:pPr>
        <w:spacing w:after="0" w:line="53" w:lineRule="exact"/>
        <w:rPr>
          <w:rFonts w:ascii="Arial" w:cs="Arial" w:eastAsia="Arial" w:hAnsi="Arial"/>
          <w:sz w:val="16"/>
          <w:szCs w:val="16"/>
          <w:color w:val="auto"/>
        </w:rPr>
      </w:pPr>
    </w:p>
    <w:p>
      <w:pPr>
        <w:ind w:left="1020" w:hanging="503"/>
        <w:spacing w:after="0" w:line="291"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Business development opportunities enabled by key relationships and a dedication to prioritize pediatric drug development. </w:t>
      </w:r>
      <w:r>
        <w:rPr>
          <w:rFonts w:ascii="Arial" w:cs="Arial" w:eastAsia="Arial" w:hAnsi="Arial"/>
          <w:sz w:val="16"/>
          <w:szCs w:val="16"/>
          <w:color w:val="auto"/>
        </w:rPr>
        <w:t>We believe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routinely among the first to evaluate emerging clinical and preclinical data that could underlie new drug development programs in pediatric oncology indications as a result of our deep roots and extensive network within the pediatric oncology research community. For example, we were made aware of the opportunity to in-license tovorafenib (DAY101) from Takeda, and were able to rapidly gain insights into the emerging data due to our relationships within the pediatric oncology investigational medicine community including but not limited to the Dana-Farber Cancer Institute, and the Pacific Pediatric Neuro-Oncology Consortium, or PNOC, and members of the Low Grade Glioma in Childhood, or LOGGIC, Consortium based at Hopp Children’s Cancer Center in Heidelberg, Germany.</w:t>
      </w:r>
    </w:p>
    <w:p>
      <w:pPr>
        <w:spacing w:after="0" w:line="58" w:lineRule="exact"/>
        <w:rPr>
          <w:rFonts w:ascii="Arial" w:cs="Arial" w:eastAsia="Arial" w:hAnsi="Arial"/>
          <w:sz w:val="16"/>
          <w:szCs w:val="16"/>
          <w:color w:val="auto"/>
        </w:rPr>
      </w:pPr>
    </w:p>
    <w:p>
      <w:pPr>
        <w:ind w:left="1020" w:hanging="503"/>
        <w:spacing w:after="0" w:line="289"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Organizational focus on overcoming the historical challenges to executing pediatric clinical trials. </w:t>
      </w:r>
      <w:r>
        <w:rPr>
          <w:rFonts w:ascii="Arial" w:cs="Arial" w:eastAsia="Arial" w:hAnsi="Arial"/>
          <w:sz w:val="16"/>
          <w:szCs w:val="16"/>
          <w:color w:val="auto"/>
        </w:rPr>
        <w:t>We understand that clinical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in children is unique and must be approached as such. Clinical development in children is not the same as clinical development in adults and requires a deep organizational focus to address the needs of families, pediatric investigators, patient advocacy communities, and the patients. We have established trusted relationships with the pediatric oncology community globally, including major cooperative groups and disease-specific consortia, and we seek their advice on aligning our clinical development plans with the needs of the patients and their families. Our team is deeply experienced in designing modern, novel, and capital-efficient clinical development plans, as well as in obtaining early regulatory alignment on those plans—similar to an ultra-rare disease model. For example, as a result of the lack of any standard-of-care or approved therapies for the majority of pLGG patients, we believe that our pivotal Phase 2 trial is expected to provide a sufficient dataset to support approval based on preliminary discussions with regulatory agencies.</w:t>
      </w:r>
    </w:p>
    <w:p>
      <w:pPr>
        <w:spacing w:after="0" w:line="58" w:lineRule="exact"/>
        <w:rPr>
          <w:sz w:val="20"/>
          <w:szCs w:val="20"/>
          <w:color w:val="auto"/>
        </w:rPr>
      </w:pPr>
    </w:p>
    <w:p>
      <w:pPr>
        <w:ind w:right="100" w:firstLine="569"/>
        <w:spacing w:after="0" w:line="257" w:lineRule="auto"/>
        <w:rPr>
          <w:sz w:val="20"/>
          <w:szCs w:val="20"/>
          <w:color w:val="auto"/>
        </w:rPr>
      </w:pPr>
      <w:r>
        <w:rPr>
          <w:rFonts w:ascii="Arial" w:cs="Arial" w:eastAsia="Arial" w:hAnsi="Arial"/>
          <w:sz w:val="18"/>
          <w:szCs w:val="18"/>
          <w:color w:val="auto"/>
        </w:rPr>
        <w:t>These capabilities will enable us to develop targeted therapeutics from which pediatric patients can benefit. We believe we are a leader in this development space and to further this position, we plan to continue to consult and strategically partner with biopharmaceutical companies, academic pediatric oncologists and scientists, and patient advocacy groups to identify areas of unmet need in pediatric oncology and then acquire high-impact assets to address these underserved patients. While our initial focus is on pediatric patients, we also pursue the clinical development of targeted therapies with equivalent intensity for adult populations.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right="280" w:firstLine="569"/>
        <w:spacing w:after="0" w:line="259" w:lineRule="auto"/>
        <w:rPr>
          <w:sz w:val="20"/>
          <w:szCs w:val="20"/>
          <w:color w:val="auto"/>
        </w:rPr>
      </w:pPr>
      <w:r>
        <w:rPr>
          <w:rFonts w:ascii="Arial" w:cs="Arial" w:eastAsia="Arial" w:hAnsi="Arial"/>
          <w:sz w:val="18"/>
          <w:szCs w:val="18"/>
          <w:color w:val="auto"/>
        </w:rPr>
        <w:t>We seek to identify, acquire and develop product candidates that target high-value oncogenic drivers in cancers with high unmet need, with an initial focus on pediatric patients. Although our clinical development begins by leveraging our unique expertise in the pediatric oncology setting, we are committed to advancing targeted therapies for adult cancer patients with equivalent intensity. 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59055</wp:posOffset>
            </wp:positionV>
            <wp:extent cx="5349240" cy="29832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Tovorafenib (DAY101)</w:t>
      </w:r>
    </w:p>
    <w:p>
      <w:pPr>
        <w:spacing w:after="0" w:line="121" w:lineRule="exact"/>
        <w:rPr>
          <w:sz w:val="20"/>
          <w:szCs w:val="20"/>
          <w:color w:val="auto"/>
        </w:rPr>
      </w:pPr>
    </w:p>
    <w:p>
      <w:pPr>
        <w:ind w:firstLine="562"/>
        <w:spacing w:after="0" w:line="286" w:lineRule="auto"/>
        <w:rPr>
          <w:sz w:val="20"/>
          <w:szCs w:val="20"/>
          <w:color w:val="auto"/>
        </w:rPr>
      </w:pPr>
      <w:r>
        <w:rPr>
          <w:rFonts w:ascii="Arial" w:cs="Arial" w:eastAsia="Arial" w:hAnsi="Arial"/>
          <w:sz w:val="16"/>
          <w:szCs w:val="16"/>
          <w:color w:val="auto"/>
        </w:rPr>
        <w:t>Our lead product candidate, tovorafenib (DAY101), is an oral, brain-penetrant, highly-selective type II pan-RAF kinase inhibitor. Tovorafenib (DAY101) has been studied in over 325 patients, and as a monotherapy demonstrated good tolerability and encouraging anti-tumor activity in pediatric and adult populations with specific MAPK pathway-alterations. We have initiated and fully enrolled a pivotal Phase 2 FIREFLY-1 trial of tovorafenib (DAY101) as a monotherapy for pLGG, the most common brain tumor diagnosed in children, for which there are no approved therapies and no recognized standard of care for the majority of patients. The FIREFLY-1 trial has also been expanded to: (a) include two additional study arms to enable expanded access for eligible patients now that the primary cohort has completed enrollment, and (b) evaluate the preliminary efficacy of tovorafenib (DAY101) in patients aged six months to 25 years with a relapsed or progressive extracranial solid tumor with an activating RAF fusion. We reported initial data from an interim analysis from this trial in June 2022 and top-line data for all patients in January 2023. We anticipate presenting additional data from the FIREFLY-1 trial at an upcoming medical meeting in the second quarter of 2023, and reviewing key portions of the data from the study with the FDA, at a pre-NDA meeting in advance of our planned submission of an NDA in the first half of 2023. As is generally customary in our industry, we also anticipate reporting our data at a medical or scientific meeting in 2023. Tovorafenib (DAY101) has been granted Breakthrough Therapy designation by the FDA for the treatment of pLGG based on initial results from a Phase 1 trial which showed evidence of rapid anti-tumor activity and durable responses in pLGG patients. We are also studying tovorafenib (DAY101) alone in combination with other agents that target key signaling nodes in the MAPK pathway in patient populations where various RAS and RAF alterations are believed to play an important role in driving disease.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RAF kinase drives cell proliferation and carcinogenesis</w:t>
      </w:r>
    </w:p>
    <w:p>
      <w:pPr>
        <w:spacing w:after="0" w:line="117" w:lineRule="exact"/>
        <w:rPr>
          <w:sz w:val="20"/>
          <w:szCs w:val="20"/>
          <w:color w:val="auto"/>
        </w:rPr>
      </w:pPr>
    </w:p>
    <w:p>
      <w:pPr>
        <w:ind w:right="140" w:firstLine="569"/>
        <w:spacing w:after="0" w:line="259" w:lineRule="auto"/>
        <w:rPr>
          <w:sz w:val="20"/>
          <w:szCs w:val="20"/>
          <w:color w:val="auto"/>
        </w:rPr>
      </w:pPr>
      <w:r>
        <w:rPr>
          <w:rFonts w:ascii="Arial" w:cs="Arial" w:eastAsia="Arial" w:hAnsi="Arial"/>
          <w:sz w:val="18"/>
          <w:szCs w:val="18"/>
          <w:color w:val="auto"/>
        </w:rPr>
        <w:t>Cell functions such as growth, survival and differentiation are regulated by cascades of signaling events of which RAF kinase is a critical component. RAF is a protein kinase that is normally activated by RAS, a protein that transmits activating signals from extracellular receptors to RAF. Activation of RAF then leads to the activation of MEK kinase and the downstream MAPK pathway. Genetic alterations that result in overactivation of the pathway, such as RAS or RAF alterations, have long been characterized as oncogenic.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264795</wp:posOffset>
            </wp:positionV>
            <wp:extent cx="2691765" cy="2794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9176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40" w:firstLine="569"/>
        <w:spacing w:after="0" w:line="263" w:lineRule="auto"/>
        <w:rPr>
          <w:sz w:val="20"/>
          <w:szCs w:val="20"/>
          <w:color w:val="auto"/>
        </w:rPr>
      </w:pPr>
      <w:r>
        <w:rPr>
          <w:rFonts w:ascii="Arial" w:cs="Arial" w:eastAsia="Arial" w:hAnsi="Arial"/>
          <w:sz w:val="18"/>
          <w:szCs w:val="18"/>
          <w:color w:val="auto"/>
        </w:rPr>
        <w:t>Figure 1. RAF kinases (ARAF, BRAF, CRAF) are critical components of the MAPK pathway. BRAF V600E can signal as a monomer and is sensitive to type I and type II RAF inhibitors. Wild-type RAF dimers are only sensitive to type II RAF inhibitors. Modified from: Solit and Rosen, Cancer Discover, 2014.</w:t>
      </w:r>
    </w:p>
    <w:p>
      <w:pPr>
        <w:spacing w:after="0" w:line="292" w:lineRule="exact"/>
        <w:rPr>
          <w:sz w:val="20"/>
          <w:szCs w:val="20"/>
          <w:color w:val="auto"/>
        </w:rPr>
      </w:pPr>
    </w:p>
    <w:p>
      <w:pPr>
        <w:ind w:firstLine="562"/>
        <w:spacing w:after="0" w:line="259" w:lineRule="auto"/>
        <w:rPr>
          <w:sz w:val="20"/>
          <w:szCs w:val="20"/>
          <w:color w:val="auto"/>
        </w:rPr>
      </w:pPr>
      <w:r>
        <w:rPr>
          <w:rFonts w:ascii="Arial" w:cs="Arial" w:eastAsia="Arial" w:hAnsi="Arial"/>
          <w:sz w:val="18"/>
          <w:szCs w:val="18"/>
          <w:color w:val="auto"/>
        </w:rPr>
        <w:t>One of the most frequently altered genes in this pathway is BRAF, one of three RAF genes in human cells and the form of RAF most easily activated by RAS. The majority of alterations in BRAF are mutations known as V600. Mutations in V600 transform non-mutant or wild-type BRAF into a form of BRAF that has increased signaling activity and is no longer dependent on RAS for activation. The abundance of V600 mutant BRAF and its central role in tumor growth have made it a focus of historical drug discovery efforts.</w:t>
      </w:r>
    </w:p>
    <w:p>
      <w:pPr>
        <w:spacing w:after="0" w:line="295" w:lineRule="exact"/>
        <w:rPr>
          <w:sz w:val="20"/>
          <w:szCs w:val="20"/>
          <w:color w:val="auto"/>
        </w:rPr>
      </w:pPr>
    </w:p>
    <w:p>
      <w:pPr>
        <w:ind w:right="100" w:firstLine="562"/>
        <w:spacing w:after="0" w:line="254" w:lineRule="auto"/>
        <w:rPr>
          <w:sz w:val="20"/>
          <w:szCs w:val="20"/>
          <w:color w:val="auto"/>
        </w:rPr>
      </w:pPr>
      <w:r>
        <w:rPr>
          <w:rFonts w:ascii="Arial" w:cs="Arial" w:eastAsia="Arial" w:hAnsi="Arial"/>
          <w:sz w:val="18"/>
          <w:szCs w:val="18"/>
          <w:color w:val="auto"/>
        </w:rPr>
        <w:t>Another class of important oncogenic BRAF alterations are BRAF wild-type gene fusions. Gene fusions involving BRAF occur through intra- or inter-chromosomal rearrangements in which genes for unrelated proteins are physically joined together resulting in the synthesis of a chimeric protein. BRAF consists of a regulatory domain which modulates the activity of BRAF, and a catalytic kinase domain which then activates downstream signaling to promote cell growth. In BRAF fusions, the regulatory domain of BRAF is replaced with a different sequence, allowing BRAF to signal independent of RAS activation. This uncoupling of the regulatory and catalytic domains of BRAF has important consequences: the resultant novel oncogene is both aberrantly expressed and it also exhibits constitutive, or always-on, activation of the kinase domain. This kinase activity can result in the activation of downstream oncogenic signaling, exacerbating tumor growth. BRAF gene fusions have been observed in patients with prostate cancer, melanoma, radiation-induced thyroid cancer, and pLGG.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right="20" w:firstLine="562"/>
        <w:spacing w:after="0" w:line="257" w:lineRule="auto"/>
        <w:rPr>
          <w:sz w:val="20"/>
          <w:szCs w:val="20"/>
          <w:color w:val="auto"/>
        </w:rPr>
      </w:pPr>
      <w:r>
        <w:rPr>
          <w:rFonts w:ascii="Arial" w:cs="Arial" w:eastAsia="Arial" w:hAnsi="Arial"/>
          <w:sz w:val="18"/>
          <w:szCs w:val="18"/>
          <w:color w:val="auto"/>
        </w:rPr>
        <w:t>Three BRAF inhibitors have been approved by the FDA for the treatment of certain solid tumors containing only BRAF V600E or V600K mutations, including melanoma, non-small cell lung cancer, anaplastic thyroid cancer, and colorectal cancer. These first-generation BRAF inhibitors, known more generally as type I RAF inhibitors, are vemurafenib, marketed as Zelboraf® by Genentech; dabrafenib, marketed as Tafinlar® by Novartis; and encorafenib, marketed as Braftovi® by Pfizer. However, despite initial clinical responses to monotherapy type 1 RAF inhibitors, most patients relapse within one year following the initiation of treatment.</w:t>
      </w:r>
    </w:p>
    <w:p>
      <w:pPr>
        <w:spacing w:after="0" w:line="296" w:lineRule="exact"/>
        <w:rPr>
          <w:sz w:val="20"/>
          <w:szCs w:val="20"/>
          <w:color w:val="auto"/>
        </w:rPr>
      </w:pPr>
    </w:p>
    <w:p>
      <w:pPr>
        <w:ind w:firstLine="569"/>
        <w:spacing w:after="0" w:line="271" w:lineRule="auto"/>
        <w:rPr>
          <w:sz w:val="20"/>
          <w:szCs w:val="20"/>
          <w:color w:val="auto"/>
        </w:rPr>
      </w:pPr>
      <w:r>
        <w:rPr>
          <w:rFonts w:ascii="Arial" w:cs="Arial" w:eastAsia="Arial" w:hAnsi="Arial"/>
          <w:sz w:val="17"/>
          <w:szCs w:val="17"/>
          <w:color w:val="auto"/>
        </w:rPr>
        <w:t>One way by which resistance develops to type I RAF inhibitors is related to the mechanism of normal RAF activation in cells. In contrast to the constitutively active V600E or V600K variant, which is active as a monomer, normal RAF function requires formation of dimers of RAF. Approved inhibitors of V600E/K BRAF do not block the activity of RAF dimers or other non-V600 BRAF mutations. In fact, the binding of some of these inhibitors to V600E/K BRAF can stimulate the formation of dimers, thereby causing paradoxical activation (undesired increases in MAP kinase signaling) in RAF wild-type cells – a phenomenon which could potentially lead to renewed tumor growth. Paradoxical activation of wild-type RAF also occurs in non-tumor tissue. This leads to a common adverse event associated with these agents—the development of proliferative pre-malignant and malignant skin lesions. In order to avoid resistance and paradoxical activation, in many instances type I RAF inhibitors need to be given in combination with MEK inhibitors, but again only to patients with BRAF V600E/K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259715</wp:posOffset>
            </wp:positionV>
            <wp:extent cx="3128645" cy="2794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864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80" w:firstLine="569"/>
        <w:spacing w:after="0" w:line="254" w:lineRule="auto"/>
        <w:rPr>
          <w:sz w:val="20"/>
          <w:szCs w:val="20"/>
          <w:color w:val="auto"/>
        </w:rPr>
      </w:pPr>
      <w:r>
        <w:rPr>
          <w:rFonts w:ascii="Arial" w:cs="Arial" w:eastAsia="Arial" w:hAnsi="Arial"/>
          <w:sz w:val="18"/>
          <w:szCs w:val="18"/>
          <w:color w:val="auto"/>
        </w:rPr>
        <w:t>Figure 2. Schema showing the effect of different RAF inhibitors on monomeric RAF kinases (i.e., BRAF V600E; top section) or dimeric RAF kinases (bottom section). ERK activation is strongly activated downstream of BRAF V600E, even more so than seen for dimeric RAF kinase signaling. Monomer-selective type I RAF inhibitors bind to the ATP site in BRAF monomers and inhibit downstream signaling. In RAF dimeric kinases, binding of drug inhibits the bound RAF protomer, but leads to a conformational change in the other protomer in the dimer pair and strong transactivation of this protomer, leading to overall increased ERK activation (paradoxical activation). Type II RAF inhibitors are able to bind to mutant RAF monomers and dimers at equipotent doses and therefore can inhibit mutant RAF monomers and dimers at the same dose. Adapted from Yaeger and Corcoran, Cancer Discovery, 2019.</w:t>
      </w:r>
    </w:p>
    <w:p>
      <w:pPr>
        <w:spacing w:after="0" w:line="87" w:lineRule="exact"/>
        <w:rPr>
          <w:sz w:val="20"/>
          <w:szCs w:val="20"/>
          <w:color w:val="auto"/>
        </w:rPr>
      </w:pPr>
    </w:p>
    <w:p>
      <w:pPr>
        <w:ind w:right="20" w:firstLine="562"/>
        <w:spacing w:after="0" w:line="263" w:lineRule="auto"/>
        <w:rPr>
          <w:sz w:val="20"/>
          <w:szCs w:val="20"/>
          <w:color w:val="auto"/>
        </w:rPr>
      </w:pPr>
      <w:r>
        <w:rPr>
          <w:rFonts w:ascii="Arial" w:cs="Arial" w:eastAsia="Arial" w:hAnsi="Arial"/>
          <w:sz w:val="18"/>
          <w:szCs w:val="18"/>
          <w:color w:val="auto"/>
        </w:rPr>
        <w:t>Type I RAF inhibitors that target V600E/K alterations are not able to inhibit the wild-type RAF kinase domains in KIAA1549-BRAF gene fusions and are thus unable to effectively inhibit the overactive signaling that results from this fusion. Furthermore, because of the potential for paradoxical activation, these RAF inhibitors are contraindicated in patients with BRAF gene fusions.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DAY101's (tovorafenib) mechanism of action</w:t>
      </w:r>
    </w:p>
    <w:p>
      <w:pPr>
        <w:spacing w:after="0" w:line="117" w:lineRule="exact"/>
        <w:rPr>
          <w:sz w:val="20"/>
          <w:szCs w:val="20"/>
          <w:color w:val="auto"/>
        </w:rPr>
      </w:pPr>
    </w:p>
    <w:p>
      <w:pPr>
        <w:ind w:right="80" w:firstLine="562"/>
        <w:spacing w:after="0" w:line="257" w:lineRule="auto"/>
        <w:rPr>
          <w:sz w:val="20"/>
          <w:szCs w:val="20"/>
          <w:color w:val="auto"/>
        </w:rPr>
      </w:pPr>
      <w:r>
        <w:rPr>
          <w:rFonts w:ascii="Arial" w:cs="Arial" w:eastAsia="Arial" w:hAnsi="Arial"/>
          <w:sz w:val="18"/>
          <w:szCs w:val="18"/>
          <w:color w:val="auto"/>
        </w:rPr>
        <w:t>Tovorafenib (DAY101) is a selective, small molecule RAF inhibitor that can block the activity of multiple forms of RAF including wild-type RAF, BRAF and CRAF fusion proteins, and variants that function as dimers (Class II mutations), as well as variants such as BRAF V600E and non-V600E mutations that function as monomers (Class I mutations). Tovorafenib (DAY101) is known as a type II RAF inhibitor as it’s designed to inhibit both monomeric and dimeric RAF kinase. DAY101's (tovorafenib) inhibition of both RAF monomers and dimers broadens its potential clinical application to treat an array of RAF-altered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471170</wp:posOffset>
            </wp:positionV>
            <wp:extent cx="3891915" cy="30346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9191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firstLine="562"/>
        <w:spacing w:after="0" w:line="257" w:lineRule="auto"/>
        <w:rPr>
          <w:sz w:val="20"/>
          <w:szCs w:val="20"/>
          <w:color w:val="auto"/>
        </w:rPr>
      </w:pPr>
      <w:r>
        <w:rPr>
          <w:rFonts w:ascii="Arial" w:cs="Arial" w:eastAsia="Arial" w:hAnsi="Arial"/>
          <w:sz w:val="18"/>
          <w:szCs w:val="18"/>
          <w:color w:val="auto"/>
        </w:rPr>
        <w:t>Figure 3. Signaling pathways in different classes of BRAF mutations. BRAF V600 mutations (Class I) are independent of RAS signaling and work as monomers. BRAF non-V600 Class II mutations are also independent of RAS but signal as constitutive dimers. The Class II mutations include BRAF wild-type fusions. Non-V600 Class III BRAF mutations have low or no kinase activity and depend on RAS activation acting as amplifiers of the RAS signaling pathway. Tovorafenib (DAY101) inhibits Class I and Class II RAF alterations, including BRAF wild-type fusions and non-V600E/K variations. Modified from Fontana and Valeri, Clinical Cancer Research,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low-grade glioma disease and treatment overview</w:t>
      </w:r>
    </w:p>
    <w:p>
      <w:pPr>
        <w:spacing w:after="0" w:line="117" w:lineRule="exact"/>
        <w:rPr>
          <w:sz w:val="20"/>
          <w:szCs w:val="20"/>
          <w:color w:val="auto"/>
        </w:rPr>
      </w:pPr>
    </w:p>
    <w:p>
      <w:pPr>
        <w:ind w:firstLine="562"/>
        <w:spacing w:after="0" w:line="290" w:lineRule="auto"/>
        <w:rPr>
          <w:sz w:val="20"/>
          <w:szCs w:val="20"/>
          <w:color w:val="auto"/>
        </w:rPr>
      </w:pPr>
      <w:r>
        <w:rPr>
          <w:rFonts w:ascii="Arial" w:cs="Arial" w:eastAsia="Arial" w:hAnsi="Arial"/>
          <w:sz w:val="16"/>
          <w:szCs w:val="16"/>
          <w:color w:val="auto"/>
        </w:rPr>
        <w:t>Pediatric low-grade glioma is the most common brain tumor diagnosed in children, accounting for 30%-50% of all central nervous system tumors. For the most part, these tumors are slow-growing, chronic, and relentless. While malignant transformation and dissemination of pLGGs are rare there are many long-term consequences of the disease. The growth of pLGG is highly morbid as pLGG tumors are space-occupying lesions that have the potential to compress critical neurovascular structures in the brain. Symptoms can vary from patient to patient depending on the location of the tumor and the amount of pressure it exerts on surrounding tissues. These symptoms can include headaches, nausea, vomiting, lethargy, sixth cranial nerve palsies, seizures and behavioral changes, depending on tumor location. The majority of children with pLGG are long-term survivors and live into adulthood; however, survivors of pediatric glioma often suffer long-lasting functional, neurologic, and endocrine complications from their disease and/or treatment. These patients require more effective treatment strategies that minimize long-term morbidity and treatment-associated toxicity.</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 w:name="page15"/>
    <w:bookmarkEnd w:id="14"/>
    <w:p>
      <w:pPr>
        <w:ind w:firstLine="562"/>
        <w:spacing w:after="0" w:line="272" w:lineRule="auto"/>
        <w:rPr>
          <w:sz w:val="20"/>
          <w:szCs w:val="20"/>
          <w:color w:val="auto"/>
        </w:rPr>
      </w:pPr>
      <w:r>
        <w:rPr>
          <w:rFonts w:ascii="Arial" w:cs="Arial" w:eastAsia="Arial" w:hAnsi="Arial"/>
          <w:sz w:val="17"/>
          <w:szCs w:val="17"/>
          <w:color w:val="auto"/>
        </w:rPr>
        <w:t>Patients with pLGG have historically been treated with surgery, radiation, and chemotherapy. While surgical resection of pLGG is associated with 10-year overall survival rates of 90% or more, the majority of children are unable to undergo complete resection, a procedure which can be associated in some instances with significant and long-lasting morbidity. Incompletely resected or unresectable pLGG is associated with a high rate of disease progression or recurrence. Patients with subtotal resections have a 10-year progression-free survival of only 55%. Although more modern radiation therapy modalities have been shown to lead to improvements in progression free survival, radiotherapy is historically associated with a risk of significant decline in neurocognitive outcomes in younger children, as well as the risk of endocrine dysfunction, secondary malignancy, and an increased risk of stroke. As a result, even modern radiation therapy techniques continue to be reserved for use when all other therapies have failed.</w:t>
      </w:r>
    </w:p>
    <w:p>
      <w:pPr>
        <w:spacing w:after="0" w:line="285" w:lineRule="exact"/>
        <w:rPr>
          <w:sz w:val="20"/>
          <w:szCs w:val="20"/>
          <w:color w:val="auto"/>
        </w:rPr>
      </w:pPr>
    </w:p>
    <w:p>
      <w:pPr>
        <w:ind w:right="20" w:firstLine="562"/>
        <w:spacing w:after="0" w:line="291" w:lineRule="auto"/>
        <w:rPr>
          <w:sz w:val="20"/>
          <w:szCs w:val="20"/>
          <w:color w:val="auto"/>
        </w:rPr>
      </w:pPr>
      <w:r>
        <w:rPr>
          <w:rFonts w:ascii="Arial" w:cs="Arial" w:eastAsia="Arial" w:hAnsi="Arial"/>
          <w:sz w:val="16"/>
          <w:szCs w:val="16"/>
          <w:color w:val="auto"/>
        </w:rPr>
        <w:t>Most patients with progressive pLGG requiring initial systemic therapy are treated with combination chemotherapy such carboplatin/vincristine or, in certain countries, vinblastine as a single-agent. Results from the largest randomized Phase 3 study for children with newly diagnosed pLGG showed a 5-year event-free survival of 47% for vincristine/carboplatin. Outcomes for a subgroup of pLGG patients not associated with neurofibromatosis, which included those with BRAF alterations, were inferior, showing a 5-year event-free survival of 39%. Of note, the overall response rate to chemotherapy in newly diagnosed pLGG patients was 30%-35%. In addition to chemotherapy’s efficacy limitations, treatment-related morbidity was significant, with more than 95% of patients having experienced at least one Grade 3 or Grade 4 adverse event. There is no standard-of-care therapy for patients whose tumors progress following the failure of these combinations, and no targeted therapeutics have been approved for this patient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46355</wp:posOffset>
            </wp:positionV>
            <wp:extent cx="5323205" cy="1620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2320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Figure 4. Treatment paradigm for pLGG.</w:t>
      </w:r>
    </w:p>
    <w:p>
      <w:pPr>
        <w:spacing w:after="0" w:line="333" w:lineRule="exact"/>
        <w:rPr>
          <w:sz w:val="20"/>
          <w:szCs w:val="20"/>
          <w:color w:val="auto"/>
        </w:rPr>
      </w:pPr>
    </w:p>
    <w:p>
      <w:pPr>
        <w:ind w:right="200" w:firstLine="562"/>
        <w:spacing w:after="0" w:line="263" w:lineRule="auto"/>
        <w:rPr>
          <w:sz w:val="20"/>
          <w:szCs w:val="20"/>
          <w:color w:val="auto"/>
        </w:rPr>
      </w:pPr>
      <w:r>
        <w:rPr>
          <w:rFonts w:ascii="Arial" w:cs="Arial" w:eastAsia="Arial" w:hAnsi="Arial"/>
          <w:sz w:val="18"/>
          <w:szCs w:val="18"/>
          <w:color w:val="auto"/>
        </w:rPr>
        <w:t>Because many pLGGs undergo senescence when patient ages reach their 20s, the goal of therapy is to maximize tumor control while minimizing treatment-associated toxicities from surgery, chemotherapy, and radiation. As a result, a large number of pLGG patients will undergo multiple lines of systemic therapy over the course of their disease.</w:t>
      </w:r>
    </w:p>
    <w:p>
      <w:pPr>
        <w:spacing w:after="0" w:line="292"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Based on incidence results published in academic journals, we estimate that approximately 1,100 patients under the age of 25 are newly diagnosed with BRAF-altered pLGG every year. We estimate that the SEER prevalence in the United States for patients under the age of 25 as of January 1, 2017 was approximately 130,000 patients presenting brain and other nervous system tumors, of which 26,000 presented BRAF-altered pLGG.</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5" w:name="page16"/>
    <w:bookmarkEnd w:id="15"/>
    <w:p>
      <w:pPr>
        <w:ind w:right="160" w:firstLine="562"/>
        <w:spacing w:after="0" w:line="275" w:lineRule="auto"/>
        <w:rPr>
          <w:sz w:val="20"/>
          <w:szCs w:val="20"/>
          <w:color w:val="auto"/>
        </w:rPr>
      </w:pPr>
      <w:r>
        <w:rPr>
          <w:rFonts w:ascii="Arial" w:cs="Arial" w:eastAsia="Arial" w:hAnsi="Arial"/>
          <w:sz w:val="17"/>
          <w:szCs w:val="17"/>
          <w:color w:val="auto"/>
        </w:rPr>
        <w:t>Over the last decade, it has been found that between 50% and 60% of pLGGs are driven by abnormal signaling due to alterations in RAF, approximately 85% to 90% of which are a gene fusion known as KIAA1549-BRAF. This gene alteration results in the expression of a wild-type BRAF catalytic domain without its normal regulatory domain, thereby rendering constitutively active BRAF activity. In addition, between 5% and 17% of children with pLGGs have tumors with a BRAF V600E activating mutation. No targeted therapeutics have been approved for the treatment of pLGG, and there are currently no therapies approved for pediatric patients with RAF alterations—the largest subset of patients with pLGG.</w:t>
      </w:r>
    </w:p>
    <w:p>
      <w:pPr>
        <w:spacing w:after="0" w:line="284" w:lineRule="exact"/>
        <w:rPr>
          <w:sz w:val="20"/>
          <w:szCs w:val="20"/>
          <w:color w:val="auto"/>
        </w:rPr>
      </w:pPr>
    </w:p>
    <w:p>
      <w:pPr>
        <w:ind w:firstLine="562"/>
        <w:spacing w:after="0" w:line="267" w:lineRule="auto"/>
        <w:rPr>
          <w:sz w:val="20"/>
          <w:szCs w:val="20"/>
          <w:color w:val="auto"/>
        </w:rPr>
      </w:pPr>
      <w:r>
        <w:rPr>
          <w:rFonts w:ascii="Arial" w:cs="Arial" w:eastAsia="Arial" w:hAnsi="Arial"/>
          <w:sz w:val="17"/>
          <w:szCs w:val="17"/>
          <w:color w:val="auto"/>
        </w:rPr>
        <w:t>Indirect targeting of KIAA1549-BRAF gene alterations is possible with the off-label use of approved drugs that target components of the downstream RAF signaling pathway, such as with therapies that target MEK. Targeting of BRAF V600E mutations is possible with the off-label use of type I RAF inhibitors that have been approved for adult indications such as melanoma. An investigator-sponsored clinical trials of the MEK inhibitor selumetinib has recently been published. This study included 25 patients with either a KIAA1549-BRAF fusion or a BRAF V600E mutation. Nine of 25 patients achieved a sustained partial response. Sixteen percent of patients had Grade 3 elevation on creatine phosphokinase, and 8% of patients had Grade 3 acneiform rash. Ten of 25 patients (40%) required a dose reduction due to treatment-related adverse events and one (4%) required two dose reductions. Similarly, a retrospective analysis of the MEK inhibitor trametinib in 18 patients was recently published, showing six partial responses, two minor responses, and 10 stable diseases as best overall responses. Treatment-related adverse events occurred in 89% of patients, including 44% with severe (Grade 3 or Grade 4) adverse events, which required dose reduction in 33% of patients and discontinuation in 11% of patients. An industry-sponsored Phase 1/2a study of dabrafenib in 110 pLGG patients with BRAF V600E mutations was recently published, showing a confirmed objective response rate, or ORR, of 47%, which included one complete response and 13 partial responses, with a median duration of response of 26 months. Grade 3 or 4 treatment-related adverse events were reported in 28% of patients, and included new or increased size of melanocytic nevi in 25% of patients but no cases of squamous cell carcinoma. Ten patients (31%) had adverse events that led to dose interruptions or reductions, and 6% of patients had adverse events that led to treatment discontinuation. Finally, an industry-sponsored Phase 2 study of either trametinib monotherapy or dabrafenib/trametinib in combination in patients with BRAF V600 mutant relapsed/refractory pLGG was recently published. This study showed an independently assessed objective response rate of 15% for monotherapy trametinib (n=13) and 25% (n=36) for the combination. 25% of patients receiving the combination had serious adverse events. 16% of patients had adverse events leading to dose-reduction while 44% had an adverse event leading to dose interruption, and 11% had adverse events leading to drug discontinuation. The most common adverse events were pyrexia (50%), dry skin (41%), acneiform rash (39%), fatigue (39%), and rash (36%).</w:t>
      </w:r>
    </w:p>
    <w:p>
      <w:pPr>
        <w:spacing w:after="0" w:line="80" w:lineRule="exact"/>
        <w:rPr>
          <w:sz w:val="20"/>
          <w:szCs w:val="20"/>
          <w:color w:val="auto"/>
        </w:rPr>
      </w:pPr>
    </w:p>
    <w:p>
      <w:pPr>
        <w:ind w:right="120" w:firstLine="562"/>
        <w:spacing w:after="0" w:line="270" w:lineRule="auto"/>
        <w:rPr>
          <w:sz w:val="20"/>
          <w:szCs w:val="20"/>
          <w:color w:val="auto"/>
        </w:rPr>
      </w:pPr>
      <w:r>
        <w:rPr>
          <w:rFonts w:ascii="Arial" w:cs="Arial" w:eastAsia="Arial" w:hAnsi="Arial"/>
          <w:sz w:val="17"/>
          <w:szCs w:val="17"/>
          <w:color w:val="auto"/>
        </w:rPr>
        <w:t>Taken together, these investigations have shown some of the existing MEK and type I RAF inhibitors have been shown, in small trials, to have activity in pLGG, but are accompanied by frequent Grade 3 or Grade 4 adverse events, and the need for dose reduction or interruption. With the exception of the combination of dabrafenib/trametinib for patients &gt;6 years of age with relapsed/progressive tumors bearing a BRAF V600E/K mutation, there have been no agents approved for use in this population and as such, are only available via clinical trials or off-label prescription. Off-label use, while common in the pediatric oncology setting, is recognized to be an inferior approach as it exposes children to potential risks without the associated safeguards that accompany comprehensive clinical development activities, such as long-term safety monitoring and pharmacovigilance activities. We believe that the intentional development of a specifically-targeted, brain-penetrant therapy for pLGG is essential to improve outcomes for these patients, particularly those with BRAF fusions, and patients with BRAF V600E mutations who are either &lt;6 years of age or who have progressed on, or cannot tolerate, combined Type I RAF/MEK inhibition.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Clinical trial results for pLGG</w:t>
      </w:r>
    </w:p>
    <w:p>
      <w:pPr>
        <w:spacing w:after="0" w:line="117" w:lineRule="exact"/>
        <w:rPr>
          <w:sz w:val="20"/>
          <w:szCs w:val="20"/>
          <w:color w:val="auto"/>
        </w:rPr>
      </w:pPr>
    </w:p>
    <w:p>
      <w:pPr>
        <w:ind w:firstLine="562"/>
        <w:spacing w:after="0" w:line="273" w:lineRule="auto"/>
        <w:rPr>
          <w:sz w:val="20"/>
          <w:szCs w:val="20"/>
          <w:color w:val="auto"/>
        </w:rPr>
      </w:pPr>
      <w:r>
        <w:rPr>
          <w:rFonts w:ascii="Arial" w:cs="Arial" w:eastAsia="Arial" w:hAnsi="Arial"/>
          <w:sz w:val="16"/>
          <w:szCs w:val="16"/>
          <w:color w:val="auto"/>
        </w:rPr>
        <w:t>Tovorafenib (DAY101) is currently being evaluated in an ongoing investigator-initiated, multi-center study (PNOC014, NCT03429803) in patients with relapsed/refractory gliomas (high- and low-grade) and other tumors that is being conducted by Dana-Farber Cancer Institute in collaboration with PNOC. The trial remains open but is closed to new patient accrual. As of November 2022, a total of 44 patients had been enrolled in Part B of this Phase 1 dose-escalation trial (9 patients in Part A, 35 patients in Part B), which was conducted at multiple institutions within the PNOC network. Once-weekly tovorafenib (DAY101) at doses as high as 420 mg/m</w:t>
      </w:r>
      <w:r>
        <w:rPr>
          <w:rFonts w:ascii="Arial" w:cs="Arial" w:eastAsia="Arial" w:hAnsi="Arial"/>
          <w:sz w:val="21"/>
          <w:szCs w:val="21"/>
          <w:color w:val="auto"/>
          <w:vertAlign w:val="superscript"/>
        </w:rPr>
        <w:t>2</w:t>
      </w:r>
      <w:r>
        <w:rPr>
          <w:rFonts w:ascii="Arial" w:cs="Arial" w:eastAsia="Arial" w:hAnsi="Arial"/>
          <w:sz w:val="16"/>
          <w:szCs w:val="16"/>
          <w:color w:val="auto"/>
        </w:rPr>
        <w:t>/week were well-tolerated in patients ≥ 1.5m</w:t>
      </w:r>
      <w:r>
        <w:rPr>
          <w:rFonts w:ascii="Arial" w:cs="Arial" w:eastAsia="Arial" w:hAnsi="Arial"/>
          <w:sz w:val="21"/>
          <w:szCs w:val="21"/>
          <w:color w:val="auto"/>
          <w:vertAlign w:val="superscript"/>
        </w:rPr>
        <w:t>2</w:t>
      </w:r>
      <w:r>
        <w:rPr>
          <w:rFonts w:ascii="Arial" w:cs="Arial" w:eastAsia="Arial" w:hAnsi="Arial"/>
          <w:sz w:val="16"/>
          <w:szCs w:val="16"/>
          <w:color w:val="auto"/>
        </w:rPr>
        <w:t>, while doses as high as 530 mg/m</w:t>
      </w:r>
      <w:r>
        <w:rPr>
          <w:rFonts w:ascii="Arial" w:cs="Arial" w:eastAsia="Arial" w:hAnsi="Arial"/>
          <w:sz w:val="21"/>
          <w:szCs w:val="21"/>
          <w:color w:val="auto"/>
          <w:vertAlign w:val="superscript"/>
        </w:rPr>
        <w:t>2</w:t>
      </w:r>
      <w:r>
        <w:rPr>
          <w:rFonts w:ascii="Arial" w:cs="Arial" w:eastAsia="Arial" w:hAnsi="Arial"/>
          <w:sz w:val="16"/>
          <w:szCs w:val="16"/>
          <w:color w:val="auto"/>
        </w:rPr>
        <w:t>/week were found to be well-tolerated in patients &lt; 1.5m</w:t>
      </w:r>
      <w:r>
        <w:rPr>
          <w:rFonts w:ascii="Arial" w:cs="Arial" w:eastAsia="Arial" w:hAnsi="Arial"/>
          <w:sz w:val="21"/>
          <w:szCs w:val="21"/>
          <w:color w:val="auto"/>
          <w:vertAlign w:val="superscript"/>
        </w:rPr>
        <w:t>2</w:t>
      </w:r>
      <w:r>
        <w:rPr>
          <w:rFonts w:ascii="Arial" w:cs="Arial" w:eastAsia="Arial" w:hAnsi="Arial"/>
          <w:sz w:val="16"/>
          <w:szCs w:val="16"/>
          <w:color w:val="auto"/>
        </w:rPr>
        <w:t>. Data was recently presented at the 2022 Society for Neuro-Oncology meeting for the 35 patients studied in Part B. For this group, there were two complete responses, seven partial responses, fifteen patients with stable disease and eight patients who had progressive disease. There were six dose limiting toxicities, all at 530 mg/m</w:t>
      </w:r>
      <w:r>
        <w:rPr>
          <w:rFonts w:ascii="Arial" w:cs="Arial" w:eastAsia="Arial" w:hAnsi="Arial"/>
          <w:sz w:val="21"/>
          <w:szCs w:val="21"/>
          <w:color w:val="auto"/>
          <w:vertAlign w:val="superscript"/>
        </w:rPr>
        <w:t>2</w:t>
      </w:r>
      <w:r>
        <w:rPr>
          <w:rFonts w:ascii="Arial" w:cs="Arial" w:eastAsia="Arial" w:hAnsi="Arial"/>
          <w:sz w:val="16"/>
          <w:szCs w:val="16"/>
          <w:color w:val="auto"/>
        </w:rPr>
        <w:t>/week, all Grade 3, and five known side effects (two fatigue, three rash, one menorrhagia).</w:t>
      </w:r>
    </w:p>
    <w:p>
      <w:pPr>
        <w:spacing w:after="0" w:line="6" w:lineRule="exact"/>
        <w:rPr>
          <w:sz w:val="20"/>
          <w:szCs w:val="20"/>
          <w:color w:val="auto"/>
        </w:rPr>
      </w:pPr>
    </w:p>
    <w:p>
      <w:pPr>
        <w:jc w:val="both"/>
        <w:ind w:right="320" w:firstLine="569"/>
        <w:spacing w:after="0" w:line="287" w:lineRule="auto"/>
        <w:rPr>
          <w:sz w:val="20"/>
          <w:szCs w:val="20"/>
          <w:color w:val="auto"/>
        </w:rPr>
      </w:pPr>
      <w:r>
        <w:rPr>
          <w:rFonts w:ascii="Arial" w:cs="Arial" w:eastAsia="Arial" w:hAnsi="Arial"/>
          <w:sz w:val="16"/>
          <w:szCs w:val="16"/>
          <w:color w:val="auto"/>
        </w:rPr>
        <w:t>As shown in Figure 5 below, the Phase 1 trial, which initially started in February 2018, was designed to determine maximum tolerated dose, or MTD, in pediatric patients. Part A of this trial was an initial dose-escalation of tovorafenib (DAY101) as monotherapy that utilized a 3+3 design. The starting dose of 280 mg/m2 was 80% of the adult recommended phase 2 dose, or RP2D, of 600 mg orally once weekly, adjusted for body surface area.</w:t>
      </w:r>
    </w:p>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Patients enrolled in this trial were treated for a period of up to two years. The trial was amended in December 2019 to continue dose escalation, using an adaptive design, until either dose limiting toxicities, or DLTs, or the MTD was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264160</wp:posOffset>
            </wp:positionV>
            <wp:extent cx="3231515" cy="2631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151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Figure 5. Design of the Phase 1 trial of tovorafenib (DAY101) in pLGG.</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17" w:name="page18"/>
    <w:bookmarkEnd w:id="17"/>
    <w:p>
      <w:pPr>
        <w:ind w:right="120" w:firstLine="569"/>
        <w:spacing w:after="0" w:line="289" w:lineRule="auto"/>
        <w:rPr>
          <w:sz w:val="20"/>
          <w:szCs w:val="20"/>
          <w:color w:val="auto"/>
        </w:rPr>
      </w:pPr>
      <w:r>
        <w:rPr>
          <w:rFonts w:ascii="Arial" w:cs="Arial" w:eastAsia="Arial" w:hAnsi="Arial"/>
          <w:sz w:val="16"/>
          <w:szCs w:val="16"/>
          <w:color w:val="auto"/>
        </w:rPr>
        <w:t>Tovorafenib (DAY101) was studied in a Phase 1 investigator-initiated trial (PNOC014; NCT03429803) in which it was administered once weekly as oral immediate release tablets to patients with relapsed/refractory tumors with LGGs and other RAS/RAF/MEK/ERK pathway-activated tumors. Data from Part A of this study was presented in November 2020 in which tovorafenib was evaluated at three different dose levels: 280 mg/m2, 350 mg/m2, and 420 mg/m2, with three patients at each dose level. Tovorafenib was well tolerated at all doses tested with no dose reductions or interruptions in patients receiving doses of 420 mg/m2 or below. None of these patients experienced a DLT. The vast majority of treatment emergent adverse events, or TEAEs, were Grade 1 or 2. No ophthalmologic or cardiac adverse events were observed. The most frequently reported TEAEs across all dose cohorts in Part A were all Grade 1 or 2 in severity and included rash (89%), graying of the hair (achromotrichia) (78%), moles (nevus) (78%), anemia (67%), and itching (pruritis) (67%). One patient experienced a single Grade 3 adverse event (increased creatinine phosphokinase), and there were no Grade 4 adverse events reported. These side effects were found to be reversible and manageable.</w:t>
      </w:r>
    </w:p>
    <w:p>
      <w:pPr>
        <w:spacing w:after="0" w:line="274" w:lineRule="exact"/>
        <w:rPr>
          <w:sz w:val="20"/>
          <w:szCs w:val="20"/>
          <w:color w:val="auto"/>
        </w:rPr>
      </w:pPr>
    </w:p>
    <w:p>
      <w:pPr>
        <w:ind w:right="60" w:firstLine="569"/>
        <w:spacing w:after="0" w:line="287" w:lineRule="auto"/>
        <w:rPr>
          <w:sz w:val="20"/>
          <w:szCs w:val="20"/>
          <w:color w:val="auto"/>
        </w:rPr>
      </w:pPr>
      <w:r>
        <w:rPr>
          <w:rFonts w:ascii="Arial" w:cs="Arial" w:eastAsia="Arial" w:hAnsi="Arial"/>
          <w:sz w:val="16"/>
          <w:szCs w:val="16"/>
          <w:color w:val="auto"/>
        </w:rPr>
        <w:t>While 420 mg/m2 was initially considered the RP2D because of anti-tumor activity observed at all dose levels in Part A, dose escalation was continued in Part B of this study an attempt to determine a MTD. Upon resumption of the dose-escalation portion in Part B of this trial, the dose escalation was split between two subgroups, based on body surface area, to account for the possibility that at dose levels of 530mg/m2 or higher there might be larger children that may exceed the adult MTD at a given dose level, while smaller children may not. Data from Part B of this study was presented in November of 2022. Thirty-five additional patients were enrolled in Part B PNOC014: 21 patients with gliomas bearing a KIAA1549:BRAF fusion, nine patients with tumors bearing a BRAFV600E mutation, four with a novel RAF- and one with an FGFR1-altered tumor. Histologically, cohort included 30 LGGs, four high grade gliomas and one soft tissue sarcoma. There were six DLTs: three in each body surface area, or BSA, subgroup, all at 530 mg/m2/dose, all Grade 3, and five known side effects (two fatigue, three rash, one menorrhagia). Across these 35 patients, oral weekly tovorafenib (DAY101) was well tolerated. While the TITE-BOIN continuous reassessment model recommended 530 mg/m2/dose per os, or PO, weekly for patients with BSA &lt; 1.5m2 and 420 mg/m2/dose PO weekly for patients with BSA &gt;1.5m2, the probability of a DLT for patients with a BSA &lt; 1.5m2 was found to be nearly 20%. As such, 420 mg/m2/dose PO weekly was selected as the dose for the pivotal Phase 2 FIREFLY-1 and pivotal Phase 3 FIREFLY-2 studies.</w:t>
      </w:r>
    </w:p>
    <w:p>
      <w:pPr>
        <w:spacing w:after="0" w:line="280" w:lineRule="exact"/>
        <w:rPr>
          <w:sz w:val="20"/>
          <w:szCs w:val="20"/>
          <w:color w:val="auto"/>
        </w:rPr>
      </w:pPr>
    </w:p>
    <w:p>
      <w:pPr>
        <w:ind w:right="140" w:firstLine="569"/>
        <w:spacing w:after="0" w:line="342" w:lineRule="auto"/>
        <w:rPr>
          <w:sz w:val="20"/>
          <w:szCs w:val="20"/>
          <w:color w:val="auto"/>
        </w:rPr>
      </w:pPr>
      <w:r>
        <w:rPr>
          <w:rFonts w:ascii="Arial" w:cs="Arial" w:eastAsia="Arial" w:hAnsi="Arial"/>
          <w:sz w:val="16"/>
          <w:szCs w:val="16"/>
          <w:color w:val="auto"/>
        </w:rPr>
        <w:t>Overall, data from the now-completed Part A, where the patients received up to two years of continuous treatment, supported by data from Part B, indicate that the tolerability profile of tovorafenib (DAY101) at 420mg/m2 supports the potential for chronic long-term usage of tovorafenib (DAY101).</w:t>
      </w:r>
    </w:p>
    <w:p>
      <w:pPr>
        <w:spacing w:after="0" w:line="16" w:lineRule="exact"/>
        <w:rPr>
          <w:sz w:val="20"/>
          <w:szCs w:val="20"/>
          <w:color w:val="auto"/>
        </w:rPr>
      </w:pPr>
    </w:p>
    <w:p>
      <w:pPr>
        <w:ind w:firstLine="569"/>
        <w:spacing w:after="0" w:line="269" w:lineRule="auto"/>
        <w:rPr>
          <w:sz w:val="20"/>
          <w:szCs w:val="20"/>
          <w:color w:val="auto"/>
        </w:rPr>
      </w:pPr>
      <w:r>
        <w:rPr>
          <w:rFonts w:ascii="Arial" w:cs="Arial" w:eastAsia="Arial" w:hAnsi="Arial"/>
          <w:sz w:val="17"/>
          <w:szCs w:val="17"/>
          <w:color w:val="auto"/>
        </w:rPr>
        <w:t>A standard objective measure of efficacy accepted by the FDA for brain tumors is a set of radiographic measurement criteria called RANO. RANO criteria take into account various measures of tumor dimensions to track response to therapy or disease progression. Data from patients in Part A of PNOC014 were reviewed by an independent neuro-radiologist using RANO criteria. Eight of the nine patients had a pLGG with a RAF fusion (seven with a KIAA1549-BRAF fusion and one with an SRGAP3-CRAF fusion), while one patient had a loss-of-function mutation in the gene for neurofibromatosis 1, or NF1. As seen in Figure 6 below, five of the eight patients with a RAF fusion had either a complete response or a partial response per RANO criteria, defined as 50% decrease, compared with baseline; the sum of products of perpendicular diameters of all measurable enhancing lesions sustained for at least 4 weeks. Two of eight patients with a RAF fusion had prolonged stable disease. One patient with a RAF fusion did not respond to tovorafenib (DAY101). The one patient with an NF1-associated pLGG did not respond to tovorafenib (DAY101). Radiologic responses using exploratory imaging measures such as volumetric image analysis or the recently published, but clinically unvalidated, RAPNO Criteria, or Response Assessment for Pediatric Neuro-Oncology, which we believe were largely consistent with the RANO scores.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1262380</wp:posOffset>
            </wp:positionH>
            <wp:positionV relativeFrom="page">
              <wp:posOffset>294640</wp:posOffset>
            </wp:positionV>
            <wp:extent cx="5349240" cy="2040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40" w:firstLine="562"/>
        <w:spacing w:after="0" w:line="277" w:lineRule="auto"/>
        <w:rPr>
          <w:sz w:val="20"/>
          <w:szCs w:val="20"/>
          <w:color w:val="auto"/>
        </w:rPr>
      </w:pPr>
      <w:r>
        <w:rPr>
          <w:rFonts w:ascii="Arial" w:cs="Arial" w:eastAsia="Arial" w:hAnsi="Arial"/>
          <w:sz w:val="18"/>
          <w:szCs w:val="18"/>
          <w:color w:val="auto"/>
        </w:rPr>
        <w:t>Figure 6. Five of nine patients in the tovorafenib (DAY101) Phase 1 trial in pLGG had a complete (100% reduction) or partial response (&gt;50% reduction in the bi-dimensional measurement of the tumor).</w:t>
      </w:r>
    </w:p>
    <w:p>
      <w:pPr>
        <w:spacing w:after="0" w:line="62" w:lineRule="exact"/>
        <w:rPr>
          <w:sz w:val="20"/>
          <w:szCs w:val="20"/>
          <w:color w:val="auto"/>
        </w:rPr>
      </w:pPr>
    </w:p>
    <w:p>
      <w:pPr>
        <w:ind w:right="20" w:firstLine="569"/>
        <w:spacing w:after="0" w:line="293" w:lineRule="auto"/>
        <w:rPr>
          <w:sz w:val="20"/>
          <w:szCs w:val="20"/>
          <w:color w:val="auto"/>
        </w:rPr>
      </w:pPr>
      <w:r>
        <w:rPr>
          <w:rFonts w:ascii="Arial" w:cs="Arial" w:eastAsia="Arial" w:hAnsi="Arial"/>
          <w:sz w:val="16"/>
          <w:szCs w:val="16"/>
          <w:color w:val="auto"/>
        </w:rPr>
        <w:t>In addition to evaluating responses on-treatment, target lesions were identified in each patient during screening and baseline growth kinetics calculated from prior radiologic images. For eight of the nine patients, there was a documented history of tumor growth prior to trial enrollment. As shown in Figure 7, shrinkage in lesion size was observed in six of nine patients in the first radiologic images obtained after initiation of tovorafenib (DAY101) dosing. The median time to response was 10.5 weeks, which is a notable observation given pLGG is an indolent, slow-growing tumor. Two patients achieved a complete response that was maintained throughout the dosing period of up to two years. Three patients had a partial response, two achieved prolonged stable disease, and two did not achieve a response. The trial allowed for treatment for maximum duration of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45085</wp:posOffset>
            </wp:positionV>
            <wp:extent cx="5092065" cy="24771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9206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Figure 7. Individual patient responses in the tovorafenib (DAY101) Phase 1 trial in pLGG.</w:t>
      </w:r>
    </w:p>
    <w:p>
      <w:pPr>
        <w:spacing w:after="0" w:line="117" w:lineRule="exact"/>
        <w:rPr>
          <w:sz w:val="20"/>
          <w:szCs w:val="20"/>
          <w:color w:val="auto"/>
        </w:rPr>
      </w:pPr>
    </w:p>
    <w:p>
      <w:pPr>
        <w:ind w:firstLine="562"/>
        <w:spacing w:after="0" w:line="259" w:lineRule="auto"/>
        <w:rPr>
          <w:sz w:val="20"/>
          <w:szCs w:val="20"/>
          <w:color w:val="auto"/>
        </w:rPr>
      </w:pPr>
      <w:r>
        <w:rPr>
          <w:rFonts w:ascii="Arial" w:cs="Arial" w:eastAsia="Arial" w:hAnsi="Arial"/>
          <w:sz w:val="18"/>
          <w:szCs w:val="18"/>
          <w:color w:val="auto"/>
        </w:rPr>
        <w:t>Based on the results from Part A of PNOC014, tovorafenib (DAY101) has been granted Breakthrough Therapy designation by the FDA for the treatment of pediatric patients with pLGG harboring an activating RAF alteration who require systemic therapy and who have either progressed following prior treatment or who have no satisfactory alternative treatment options. Tovorafenib (DAY101) also received Orphan Drug designation from the FDA for the treatment of malignant glioma.</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Clinical development plan for pLGG</w:t>
      </w:r>
    </w:p>
    <w:p>
      <w:pPr>
        <w:spacing w:after="0" w:line="117" w:lineRule="exact"/>
        <w:rPr>
          <w:sz w:val="20"/>
          <w:szCs w:val="20"/>
          <w:color w:val="auto"/>
        </w:rPr>
      </w:pPr>
    </w:p>
    <w:p>
      <w:pPr>
        <w:ind w:firstLine="569"/>
        <w:spacing w:after="0" w:line="269" w:lineRule="auto"/>
        <w:rPr>
          <w:sz w:val="20"/>
          <w:szCs w:val="20"/>
          <w:color w:val="auto"/>
        </w:rPr>
      </w:pPr>
      <w:r>
        <w:rPr>
          <w:rFonts w:ascii="Arial" w:cs="Arial" w:eastAsia="Arial" w:hAnsi="Arial"/>
          <w:sz w:val="17"/>
          <w:szCs w:val="17"/>
          <w:color w:val="auto"/>
        </w:rPr>
        <w:t>We have initiated a pivotal Phase 2 FIREFLY-1 trial of tovorafenib (DAY101) in pediatric patients aged six months to 25 years with relapsed or progressive pLGGs harboring an activating BRAF alteration, such as a KIAA1549-BRAF fusion or a BRAF activating mutation, such as V600E. This is an open-label, global registrational, single-arm trial of oral tovorafenib (DAY101) administered once weekly at a dose of 420 mg/m2. Patients will continue on tovorafenib (DAY101) until radiographic evidence of disease progression by RANO criteria as determined by treating investigator, unacceptable toxicity, patient withdrawal of consent, or death. The first patient was dosed in FIREFLY-1 in May 2021 and we completed enrollment in the registrational arm in May 2022. The FIREFLY-1 trial has also been expanded to: (a) include two additional study arms to enable expanded access for eligible patients now that the primary cohort has completed enrollment, and (b) evaluate the preliminary efficacy of tovorafenib (DAY101) in patients aged six months to 25 years with a relapsed or progressive extracranial solid tumor with an activating RAF fusion. We anticipate that this trial will generate a dataset that, in combination with the existing safety database, will have the potential to serve as the basis for regulatory approval. We anticipate the primary endpoint will be overall response rate, defined as the proportion of patients with best overall confirmed response rate (complete response and partial response based on the RANO criteria), as determined by independent review. Secondary and exploratory endpoints include the overall response rate based on RAPNO and volumetric analyses, event free survival, safety, functional outcomes, and quality of life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53975</wp:posOffset>
            </wp:positionV>
            <wp:extent cx="5349240" cy="12687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Figure 8. Design of the Phase 2 trial of tovorafenib (DAY101) in pLGG.</w:t>
      </w:r>
    </w:p>
    <w:p>
      <w:pPr>
        <w:spacing w:after="0" w:line="333" w:lineRule="exact"/>
        <w:rPr>
          <w:sz w:val="20"/>
          <w:szCs w:val="20"/>
          <w:color w:val="auto"/>
        </w:rPr>
      </w:pPr>
    </w:p>
    <w:p>
      <w:pPr>
        <w:ind w:right="500" w:firstLine="562"/>
        <w:spacing w:after="0" w:line="342" w:lineRule="auto"/>
        <w:rPr>
          <w:sz w:val="20"/>
          <w:szCs w:val="20"/>
          <w:color w:val="auto"/>
        </w:rPr>
      </w:pPr>
      <w:r>
        <w:rPr>
          <w:rFonts w:ascii="Arial" w:cs="Arial" w:eastAsia="Arial" w:hAnsi="Arial"/>
          <w:sz w:val="16"/>
          <w:szCs w:val="16"/>
          <w:color w:val="auto"/>
        </w:rPr>
        <w:t>Tovorafenib (DAY101) is currently dosed as immediate-release tablets. We have developed a pediatric formulation suitable for oral dosing of children as young as six months of age and have dosed patients with this pediatric formulation in our pivotal Phase 2 FIREFLY-1 trial.</w:t>
      </w:r>
    </w:p>
    <w:p>
      <w:pPr>
        <w:spacing w:after="0" w:line="16" w:lineRule="exact"/>
        <w:rPr>
          <w:sz w:val="20"/>
          <w:szCs w:val="20"/>
          <w:color w:val="auto"/>
        </w:rPr>
      </w:pPr>
    </w:p>
    <w:p>
      <w:pPr>
        <w:ind w:right="40" w:firstLine="562"/>
        <w:spacing w:after="0" w:line="254" w:lineRule="auto"/>
        <w:rPr>
          <w:sz w:val="20"/>
          <w:szCs w:val="20"/>
          <w:color w:val="auto"/>
        </w:rPr>
      </w:pPr>
      <w:r>
        <w:rPr>
          <w:rFonts w:ascii="Arial" w:cs="Arial" w:eastAsia="Arial" w:hAnsi="Arial"/>
          <w:sz w:val="18"/>
          <w:szCs w:val="18"/>
          <w:color w:val="auto"/>
        </w:rPr>
        <w:t>Comprehensive genomic profiling of newly-diagnosed or recurrent/progressive pLGG is standard practice within pediatric neuro-oncology programs across the United States, either utilizing CLIA/College of American Pathologists, or CAP, accredited hospital laboratories or third-party commercial vendors. In addition, the 2021 revision of the WHO Classification of Tumors of the Central Nervous System now includes assessment of BRAF mutation or fusion status as part of the diagnosis of LGGs. As a result, we expect that the vast majority of both newly diagnosed and relapsed pLGG patients with BRAF alterations will be identified. The technology platforms and solutions for the identification of the BRAF V600E mutation and BRAF wild-type fusions currently in use by individual investigators will be used to meet the clinical trial enrollment criteria, while we continue to work with regulatory authorities to ensure that any requirement for a companion diagnostic assay or device are met, for which we have entered into a collaboration with Foundation Medicine, Inc. to develop.</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jc w:val="both"/>
        <w:ind w:right="40" w:firstLine="569"/>
        <w:spacing w:after="0" w:line="311" w:lineRule="auto"/>
        <w:rPr>
          <w:sz w:val="20"/>
          <w:szCs w:val="20"/>
          <w:color w:val="auto"/>
        </w:rPr>
      </w:pPr>
      <w:r>
        <w:rPr>
          <w:rFonts w:ascii="Arial" w:cs="Arial" w:eastAsia="Arial" w:hAnsi="Arial"/>
          <w:sz w:val="16"/>
          <w:szCs w:val="16"/>
          <w:color w:val="auto"/>
        </w:rPr>
        <w:t>We have initiated a pivotal Phase 3 FIREFLY-2 trial of tovorafenib (DAY101) as a frontline therapy in pLGG. The first patient was dosed in March 2023. We believe that treating patients before they have undergone multiple rounds of toxic chemotherapy has the potential to both improve the efficacy of tovorafenib (DAY101) and reduce the overall burden of therapy and associated toxicities associated with the use of currently-employed cytotoxic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34925</wp:posOffset>
            </wp:positionV>
            <wp:extent cx="5349240" cy="1157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Figure 9. Design of the Phase 3 trial of tovorafenib (DAY101) in pLGG.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market opportunity for tovorafenib (DAY101) in pLGG</w:t>
      </w:r>
    </w:p>
    <w:p>
      <w:pPr>
        <w:spacing w:after="0" w:line="117" w:lineRule="exact"/>
        <w:rPr>
          <w:sz w:val="20"/>
          <w:szCs w:val="20"/>
          <w:color w:val="auto"/>
        </w:rPr>
      </w:pPr>
    </w:p>
    <w:p>
      <w:pPr>
        <w:ind w:right="260" w:firstLine="569"/>
        <w:spacing w:after="0" w:line="259" w:lineRule="auto"/>
        <w:rPr>
          <w:sz w:val="20"/>
          <w:szCs w:val="20"/>
          <w:color w:val="auto"/>
        </w:rPr>
      </w:pPr>
      <w:r>
        <w:rPr>
          <w:rFonts w:ascii="Arial" w:cs="Arial" w:eastAsia="Arial" w:hAnsi="Arial"/>
          <w:sz w:val="18"/>
          <w:szCs w:val="18"/>
          <w:color w:val="auto"/>
        </w:rPr>
        <w:t>Brain tumors are the most frequently occurring solid tumors in children. While pLGG is the most common brain tumor diagnosed, representing approximately 30% of all childhood brain tumors, the annual estimated incidence of pLGG is 1.3 to 2.1 per 100,000 in the United States, accounting for about 1,000–1,600 new diagnoses in 2015. Given the incidence of this disease, our team recognized the market opportunity for developing tovorafenib (DAY101) in this patient population based on the following rationale:</w:t>
      </w:r>
    </w:p>
    <w:p>
      <w:pPr>
        <w:spacing w:after="0" w:line="79" w:lineRule="exact"/>
        <w:rPr>
          <w:sz w:val="20"/>
          <w:szCs w:val="20"/>
          <w:color w:val="auto"/>
        </w:rPr>
      </w:pPr>
    </w:p>
    <w:p>
      <w:pPr>
        <w:ind w:left="1020" w:right="30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for tovorafenib (DAY101), a pan-RAF inhibitor, to be a high-impact targeted therapeutic in pLGG where approximately 70% of tumors are BRAF-altered pLGG in the United States.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Premium reimbursement precedents for high impact therapeutics in rare diseases, oncology and pediatrics.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Chronic duration of treatment required over many years to address these slow-growing and relentless tumors.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 unmet medical need with limited current treatment alternatives for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Strong value proposition for physicians, patients and families.</w:t>
      </w:r>
    </w:p>
    <w:p>
      <w:pPr>
        <w:spacing w:after="0" w:line="117" w:lineRule="exact"/>
        <w:rPr>
          <w:sz w:val="20"/>
          <w:szCs w:val="20"/>
          <w:color w:val="auto"/>
        </w:rPr>
      </w:pPr>
    </w:p>
    <w:p>
      <w:pPr>
        <w:ind w:firstLine="562"/>
        <w:spacing w:after="0" w:line="254" w:lineRule="auto"/>
        <w:rPr>
          <w:sz w:val="20"/>
          <w:szCs w:val="20"/>
          <w:color w:val="auto"/>
        </w:rPr>
      </w:pPr>
      <w:r>
        <w:rPr>
          <w:rFonts w:ascii="Arial" w:cs="Arial" w:eastAsia="Arial" w:hAnsi="Arial"/>
          <w:sz w:val="18"/>
          <w:szCs w:val="18"/>
          <w:color w:val="auto"/>
        </w:rPr>
        <w:t>We believe tovorafenib (DAY101), if approved, could become the standard of care for the treatment of pLGG. Due to the need for chronic administration, potentially over many years, the standard of care should be an effective, long-term therapeutic while providing a tolerability profile that minimizes long-term morbidity and treatment-associated toxicity. We believe that tovorafenib (DAY101) has the potential to provide long-term benefit— similar to effective therapies for more traditional chronic rare diseases—to patients with pLGG. Observations from the Phase 1 trial, tovorafenib’s (DAY101) profile suggest that tovorafenib (DAY101) can potentially balance high rates of CNS penetrance leading to rapid and durable anti-tumor activity with favorable tolerability, a lack of serious adverse events in these pediatric patients, and clinical experience of long-term dosing of tovorafenib (DAY101) weekly for up to two years. We also believe that tovorafenib’s (DAY101) oral, once-weekly dosing regimen would appeal to physicians, patients and their parents.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Potential applications of tovorafenib (DAY101) in other MAPK-driven tumors</w:t>
      </w:r>
    </w:p>
    <w:p>
      <w:pPr>
        <w:spacing w:after="0" w:line="117" w:lineRule="exact"/>
        <w:rPr>
          <w:sz w:val="20"/>
          <w:szCs w:val="20"/>
          <w:color w:val="auto"/>
        </w:rPr>
      </w:pPr>
    </w:p>
    <w:p>
      <w:pPr>
        <w:ind w:firstLine="562"/>
        <w:spacing w:after="0" w:line="291" w:lineRule="auto"/>
        <w:rPr>
          <w:sz w:val="20"/>
          <w:szCs w:val="20"/>
          <w:color w:val="auto"/>
        </w:rPr>
      </w:pPr>
      <w:r>
        <w:rPr>
          <w:rFonts w:ascii="Arial" w:cs="Arial" w:eastAsia="Arial" w:hAnsi="Arial"/>
          <w:sz w:val="16"/>
          <w:szCs w:val="16"/>
          <w:color w:val="auto"/>
        </w:rPr>
        <w:t>To expand on our initial clinical development efforts in pediatric patients, we plan to explore tovorafenib (DAY101) in additional indications for adolescent and adult patient populations where various MAPK pathway alterations are believed to play an important role in driving disease. This is supported by data from over 225 adult patients dosed with tovorafenib (DAY101) in two separate Phase 1 trials previously conducted by Takeda. These trials also informed the starting dose level and weekly dosing regimen for future clinical trials, including the ongoing pivotal Phase 2 trial in pLGG. Results from these trials demonstrated that tovorafenib (DAY101) was well-tolerated in patients with advanced cancers, both alone and in combination with other anti-cancer agents, but because patients were not enriched for RAF alterations expected to respond to tovorafenib (DAY101) monotherapy, or studied in combinations that are now known to be more likely to lead to anti-tumor activity, only modest signs of efficacy were observed.</w:t>
      </w:r>
    </w:p>
    <w:p>
      <w:pPr>
        <w:spacing w:after="0" w:line="274" w:lineRule="exact"/>
        <w:rPr>
          <w:sz w:val="20"/>
          <w:szCs w:val="20"/>
          <w:color w:val="auto"/>
        </w:rPr>
      </w:pPr>
    </w:p>
    <w:p>
      <w:pPr>
        <w:ind w:right="20" w:firstLine="562"/>
        <w:spacing w:after="0" w:line="254" w:lineRule="auto"/>
        <w:rPr>
          <w:sz w:val="20"/>
          <w:szCs w:val="20"/>
          <w:color w:val="auto"/>
        </w:rPr>
      </w:pPr>
      <w:r>
        <w:rPr>
          <w:rFonts w:ascii="Arial" w:cs="Arial" w:eastAsia="Arial" w:hAnsi="Arial"/>
          <w:sz w:val="18"/>
          <w:szCs w:val="18"/>
          <w:color w:val="auto"/>
        </w:rPr>
        <w:t>Based on data from preclinical studies, and building on the initial data from the Takeda-led Phase 1 trials, we have initiated an open-label, multicenter, Phase 1b/2a FIRELIGHT-1 umbrella master trial of tovorafenib monotherapy or combination therapy, which consists of two substudies. Substudy 1 is a Phase 2 clinical trial of tovorafenib (DAY101) as monotherapy in patients 12 years and older with RAF-altered tumors; the first patient was dosed in November 2021. Substudy 2 is a Phase 1b/2 combination trial of tovorafenib (DAY101) and pimasertib in patients 12 years and older with various MAPK-altered solid tumors; the first patient was dosed in May 2022. Simultaneous inhibition of both RAF and MEK has been shown to lead to synergistic antitumor activity in preclinical models. This combination may demonstrate enhanced anti-tumor activity in a variety of adult solid tumors driven by MAPK alterations, including NRAS mutant melanoma and lung cancers, tumors driven by Class II BRAF alterations, and tumors driven by KRAS alterations.</w:t>
      </w:r>
    </w:p>
    <w:p>
      <w:pPr>
        <w:spacing w:after="0" w:line="84" w:lineRule="exact"/>
        <w:rPr>
          <w:sz w:val="20"/>
          <w:szCs w:val="20"/>
          <w:color w:val="auto"/>
        </w:rPr>
      </w:pPr>
    </w:p>
    <w:p>
      <w:pPr>
        <w:ind w:right="20" w:firstLine="562"/>
        <w:spacing w:after="0" w:line="257" w:lineRule="auto"/>
        <w:rPr>
          <w:sz w:val="20"/>
          <w:szCs w:val="20"/>
          <w:color w:val="auto"/>
        </w:rPr>
      </w:pPr>
      <w:r>
        <w:rPr>
          <w:rFonts w:ascii="Arial" w:cs="Arial" w:eastAsia="Arial" w:hAnsi="Arial"/>
          <w:sz w:val="18"/>
          <w:szCs w:val="18"/>
          <w:color w:val="auto"/>
        </w:rPr>
        <w:t>In the future, we may explore tovorafenib (DAY101) in combination with other selective inhibitors of key nodes in the MAPK signaling pathway. For example, a type II RAF inhibitor may provide synergistic benefit in combination with inhibitors of ERK or SHP2. We believe the ability of tovorafenib (DAY101) to inhibit multiple forms of RAF gene alterations, including wild-type RAF and RAF dimers, without triggering the liabilities of paradoxical activation observed with approved type I RAF inhibitors, enhance its profile as a potential backbone of combinations therapies designed to inhibit MAPK signaling in cancer.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Investigator-initiated trials of tovorafenib (DAY101)</w:t>
      </w:r>
    </w:p>
    <w:p>
      <w:pPr>
        <w:spacing w:after="0" w:line="117" w:lineRule="exact"/>
        <w:rPr>
          <w:sz w:val="20"/>
          <w:szCs w:val="20"/>
          <w:color w:val="auto"/>
        </w:rPr>
      </w:pPr>
    </w:p>
    <w:p>
      <w:pPr>
        <w:ind w:right="620" w:firstLine="562"/>
        <w:spacing w:after="0" w:line="277" w:lineRule="auto"/>
        <w:rPr>
          <w:sz w:val="20"/>
          <w:szCs w:val="20"/>
          <w:color w:val="auto"/>
        </w:rPr>
      </w:pPr>
      <w:r>
        <w:rPr>
          <w:rFonts w:ascii="Arial" w:cs="Arial" w:eastAsia="Arial" w:hAnsi="Arial"/>
          <w:sz w:val="18"/>
          <w:szCs w:val="18"/>
          <w:color w:val="auto"/>
        </w:rPr>
        <w:t>We intend to leverage our relationships with academic investigators and pediatric oncology cooperative groups and consortia to explore the potential for tovorafenib (DAY101) in other rare pediatric tumor types.</w:t>
      </w:r>
    </w:p>
    <w:p>
      <w:pPr>
        <w:spacing w:after="0" w:line="62" w:lineRule="exact"/>
        <w:rPr>
          <w:sz w:val="20"/>
          <w:szCs w:val="20"/>
          <w:color w:val="auto"/>
        </w:rPr>
      </w:pPr>
    </w:p>
    <w:p>
      <w:pPr>
        <w:ind w:right="80" w:firstLine="562"/>
        <w:spacing w:after="0" w:line="279" w:lineRule="auto"/>
        <w:rPr>
          <w:sz w:val="20"/>
          <w:szCs w:val="20"/>
          <w:color w:val="auto"/>
        </w:rPr>
      </w:pPr>
      <w:r>
        <w:rPr>
          <w:rFonts w:ascii="Arial" w:cs="Arial" w:eastAsia="Arial" w:hAnsi="Arial"/>
          <w:sz w:val="17"/>
          <w:szCs w:val="17"/>
          <w:color w:val="auto"/>
        </w:rPr>
        <w:t>A Phase 2 trial in relapsed Langerhans cell histiocytosis was initiated in March 2022 by the Children’s Oncology Group, a National Cancer Institute-supported clinical trials group and the world’s largest organization devoted exclusively to childhood and adolescent cancer research. This study is a single-arm non-randomized trial which has an estimated enrollment of 28 participants, who will be administered tovorafenib (DAY101) to determine overall response rate for children and young adults with relapsed or refractory Langerhans cell histiocytosis.</w:t>
      </w:r>
    </w:p>
    <w:p>
      <w:pPr>
        <w:spacing w:after="0" w:line="63" w:lineRule="exact"/>
        <w:rPr>
          <w:sz w:val="20"/>
          <w:szCs w:val="20"/>
          <w:color w:val="auto"/>
        </w:rPr>
      </w:pPr>
    </w:p>
    <w:p>
      <w:pPr>
        <w:ind w:right="500" w:firstLine="562"/>
        <w:spacing w:after="0" w:line="259" w:lineRule="auto"/>
        <w:rPr>
          <w:sz w:val="20"/>
          <w:szCs w:val="20"/>
          <w:color w:val="auto"/>
        </w:rPr>
      </w:pPr>
      <w:r>
        <w:rPr>
          <w:rFonts w:ascii="Arial" w:cs="Arial" w:eastAsia="Arial" w:hAnsi="Arial"/>
          <w:sz w:val="18"/>
          <w:szCs w:val="18"/>
          <w:color w:val="auto"/>
        </w:rPr>
        <w:t>A second Phase 2 trial in craniopharyngioma was initiated in July 2022 by the Pacific Pediatric Neuro-Oncology Consortium. This study is a randomized multi-arm trial, which has an estimate enrollment of 56 patients, who will be administered nivolumb and tovorafenib (DAY101) in combination with nivolumb to assess the tolerability and efficacy of combination therapy with PD-1 (nivolumab) and pan-RAF-kinase (tovorafenib) inhibition for the treatment of children and young adults with craniopharyngioma.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Pimasertib</w:t>
      </w:r>
    </w:p>
    <w:p>
      <w:pPr>
        <w:spacing w:after="0" w:line="121" w:lineRule="exact"/>
        <w:rPr>
          <w:sz w:val="20"/>
          <w:szCs w:val="20"/>
          <w:color w:val="auto"/>
        </w:rPr>
      </w:pPr>
    </w:p>
    <w:p>
      <w:pPr>
        <w:ind w:right="40" w:firstLine="562"/>
        <w:spacing w:after="0" w:line="270" w:lineRule="auto"/>
        <w:rPr>
          <w:sz w:val="20"/>
          <w:szCs w:val="20"/>
          <w:color w:val="auto"/>
        </w:rPr>
      </w:pPr>
      <w:r>
        <w:rPr>
          <w:rFonts w:ascii="Arial" w:cs="Arial" w:eastAsia="Arial" w:hAnsi="Arial"/>
          <w:sz w:val="17"/>
          <w:szCs w:val="17"/>
          <w:color w:val="auto"/>
        </w:rPr>
        <w:t>Pimasertib is an oral, highly-selective allosteric small molecular inhibitor of mitogen-activated protein kinase kinases 1 and 2 (MEK). Published preclinical studies indicated that pimasertib has higher CNS penetration than other MEK inhibitors. We obtained an exclusive license to pimasertib from Merck KGaA, Darmstadt, Germany in February 2021, and initiated a Phase 1b/2 umbrella master trial in MAPK-altered tumors in March 2022 to study the potentially beneficial combination of tovorafenib (DAY101) and pimasertib in patients 12 years and older. Merck KGaA, Darmstadt, Germany previously undertook extensive non-clinical and clinical development work through Phase 2, including a solid tumor trial in Japan and combinations of pimasertib with other agents. Pimasertib showed monotherapy clinical activity, including an improvement in the objective response rate and progression free survival, but not overall survival, in patients NRAS-mutant melanoma when compared to dacarbazine in a prospective randomized Phase 2 trial. The main adverse events observed during the clinical development of pimasertib were typical for other in-class allosteric MEK inhibitors, including GI-related adverse events, elevation of CPK, skin rash, and visual disturbances.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17" w:lineRule="exact"/>
        <w:rPr>
          <w:sz w:val="20"/>
          <w:szCs w:val="20"/>
          <w:color w:val="auto"/>
        </w:rPr>
      </w:pPr>
    </w:p>
    <w:p>
      <w:pPr>
        <w:ind w:right="240" w:firstLine="562"/>
        <w:spacing w:after="0" w:line="301" w:lineRule="auto"/>
        <w:rPr>
          <w:sz w:val="20"/>
          <w:szCs w:val="20"/>
          <w:color w:val="auto"/>
        </w:rPr>
      </w:pPr>
      <w:r>
        <w:rPr>
          <w:rFonts w:ascii="Arial" w:cs="Arial" w:eastAsia="Arial" w:hAnsi="Arial"/>
          <w:sz w:val="16"/>
          <w:szCs w:val="16"/>
          <w:color w:val="auto"/>
        </w:rPr>
        <w:t>MEK is a critical signaling node that lies downstream of RAS in the MAPK pathway, and is a unique dual-specificity kinase that phosphorylates both serine/threonine and tyrosine residues. MEK consists of two isoforms, MEK1 and MEK2, which in turn phosphorylate ERK1 and ERK2. Activated ERK1/2 control a diverse range of cellular processes through their many substrates (&gt;160) that are located in cellular membranes, the cytoplasm and nucleus. Many of these are transcription factors that are important in cellular proliferation, differentiation, survival, angiogenesis and migration.</w:t>
      </w:r>
    </w:p>
    <w:p>
      <w:pPr>
        <w:spacing w:after="0" w:line="265" w:lineRule="exact"/>
        <w:rPr>
          <w:sz w:val="20"/>
          <w:szCs w:val="20"/>
          <w:color w:val="auto"/>
        </w:rPr>
      </w:pPr>
    </w:p>
    <w:p>
      <w:pPr>
        <w:ind w:firstLine="562"/>
        <w:spacing w:after="0" w:line="272" w:lineRule="auto"/>
        <w:rPr>
          <w:sz w:val="20"/>
          <w:szCs w:val="20"/>
          <w:color w:val="auto"/>
        </w:rPr>
      </w:pPr>
      <w:r>
        <w:rPr>
          <w:rFonts w:ascii="Arial" w:cs="Arial" w:eastAsia="Arial" w:hAnsi="Arial"/>
          <w:sz w:val="17"/>
          <w:szCs w:val="17"/>
          <w:color w:val="auto"/>
        </w:rPr>
        <w:t>As shown below in Figure 10, in cancers driven by elevated RAS or RAF signaling, inhibition of MEK releases the blockade on RAS and can contribute to increased RAS-mediated signaling and pathway activation, further desensitizing the cells to MEK inhibition. MEK inhibitors given as a monotherapy have demonstrated limited anti-tumor activity in preclinical tumor models of elevated RAS or RAF signaling. Most cancers that acquire resistance to MEKi and continue to proliferate do so through reactivation of the MAPK pathway and subsequent reactivation of ERK. ERK reactivation can occur through alterations or mutations to molecules upstream of ERK in the MAPK pathway such as RAS, RAF, NF1, or MEK. One approach to circumvent the overactivation of RAS signaling in such tumor models has been to combine a RAF inhibitor with a MEK inhibitor to inhibit the pathway at two different nodes which has been shown by multiple groups to result in synergistic effects on inhibiting cell and tumor model growth.</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2325370</wp:posOffset>
            </wp:positionH>
            <wp:positionV relativeFrom="page">
              <wp:posOffset>294640</wp:posOffset>
            </wp:positionV>
            <wp:extent cx="3223260" cy="29146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322326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Figure 10: Dual inhibition of BRAF and MEK is an important strategy for addressing MAPK-driven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288925</wp:posOffset>
            </wp:positionV>
            <wp:extent cx="3274695" cy="25285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74695"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firstLine="562"/>
        <w:spacing w:after="0" w:line="257" w:lineRule="auto"/>
        <w:rPr>
          <w:sz w:val="20"/>
          <w:szCs w:val="20"/>
          <w:color w:val="auto"/>
        </w:rPr>
      </w:pPr>
      <w:r>
        <w:rPr>
          <w:rFonts w:ascii="Arial" w:cs="Arial" w:eastAsia="Arial" w:hAnsi="Arial"/>
          <w:sz w:val="18"/>
          <w:szCs w:val="18"/>
          <w:color w:val="auto"/>
        </w:rPr>
        <w:t>Figure 11. Model of the proposed mechanism of induced RAF inhibitor sensitivity. Left panel: under basal conditions, the MAPK pathway has multiple feedback loops negatively regulating upstream pathway activation, including RAS-GTP levels and RAF activation, thereby ensuring optimal pathway signaling. Middle panel: upon MEK inhibitor treatment, these feedback loops are disabled resulting in RAS-GTP induction, BRAF/CRAF dimerization, and RAF kinase activation. Right panel: Combination treatment with a MEK inhibitor and a type II RAF inhibitor is expected to exhibit synergistic effects. Modified from Yen et al. Cancer Cell, 2018.</w:t>
      </w:r>
    </w:p>
    <w:p>
      <w:pPr>
        <w:spacing w:after="0" w:line="14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24" w:name="page25"/>
    <w:bookmarkEnd w:id="24"/>
    <w:p>
      <w:pPr>
        <w:ind w:firstLine="562"/>
        <w:spacing w:after="0" w:line="296" w:lineRule="auto"/>
        <w:rPr>
          <w:sz w:val="20"/>
          <w:szCs w:val="20"/>
          <w:color w:val="auto"/>
        </w:rPr>
      </w:pPr>
      <w:r>
        <w:rPr>
          <w:rFonts w:ascii="Arial" w:cs="Arial" w:eastAsia="Arial" w:hAnsi="Arial"/>
          <w:sz w:val="16"/>
          <w:szCs w:val="16"/>
          <w:color w:val="auto"/>
        </w:rPr>
        <w:t>Consistent with this approach, preclinical experiments showed the combination of a type II RAF inhibitor and pimasertib indeed led to synergistic cell killing activity. Calu-6 cells, a human lung adenocarcinoma cell line containing a KRAS G12C mutation, was found to be sensitive to cell killing by both BGB-283, a type II RAF inhibitor, and pimasertib. Treatment of Calu-6 cells with a combination of these inhibitors resulted in greater cell killing, as the EC50 for a 3 µM dose of BGB-283 was lowered by approximately 60-fold in the presence of pimasertib. These results suggest treatment with a MEK inhibitor in the presence of a RAF inhibitor result in an added cell killing benefit than observed with either inhibitor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248920</wp:posOffset>
            </wp:positionV>
            <wp:extent cx="2305685" cy="18776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05685"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Figure 12. The sensitivity of Calu-6 cells to pimasertib was enhanced when cells were treated with BGB-283, a type II RAF inhibitor.</w:t>
      </w:r>
    </w:p>
    <w:p>
      <w:pPr>
        <w:spacing w:after="0" w:line="117" w:lineRule="exact"/>
        <w:rPr>
          <w:sz w:val="20"/>
          <w:szCs w:val="20"/>
          <w:color w:val="auto"/>
        </w:rPr>
      </w:pPr>
    </w:p>
    <w:p>
      <w:pPr>
        <w:ind w:right="180" w:firstLine="562"/>
        <w:spacing w:after="0" w:line="259" w:lineRule="auto"/>
        <w:rPr>
          <w:sz w:val="20"/>
          <w:szCs w:val="20"/>
          <w:color w:val="auto"/>
        </w:rPr>
      </w:pPr>
      <w:r>
        <w:rPr>
          <w:rFonts w:ascii="Arial" w:cs="Arial" w:eastAsia="Arial" w:hAnsi="Arial"/>
          <w:sz w:val="18"/>
          <w:szCs w:val="18"/>
          <w:color w:val="auto"/>
        </w:rPr>
        <w:t>Similarly, in experiments with Calu-6 cells as well as NCI-H1792 cells, which contain a KRAS G12C mutation, cell lines were shown to be sensitive to either tovorafenib (DAY101) or MEKi-1 as monotherapy, however a combination of these inhibitors resulted in greater cell killing than observed with either inhibitor alone. These data further support the potential added benefit of combining a MEK inhibitor, with a type II RAF inhibitor, such as DAY 101 as a strategy to address certain MAPK-driven adult solid tumors.</w:t>
      </w: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2677160</wp:posOffset>
            </wp:positionH>
            <wp:positionV relativeFrom="page">
              <wp:posOffset>294640</wp:posOffset>
            </wp:positionV>
            <wp:extent cx="2520315" cy="37890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520315"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00" w:firstLine="562"/>
        <w:spacing w:after="0" w:line="277" w:lineRule="auto"/>
        <w:rPr>
          <w:sz w:val="20"/>
          <w:szCs w:val="20"/>
          <w:color w:val="auto"/>
        </w:rPr>
      </w:pPr>
      <w:r>
        <w:rPr>
          <w:rFonts w:ascii="Arial" w:cs="Arial" w:eastAsia="Arial" w:hAnsi="Arial"/>
          <w:sz w:val="18"/>
          <w:szCs w:val="18"/>
          <w:color w:val="auto"/>
        </w:rPr>
        <w:t>Figure 13. Synergy was observed with tovorafenib (DAY101) when combined with the MEK inhibitor in KRAS G12C or Q61 mutant tumor cell lines in vitro.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w:t>
      </w:r>
    </w:p>
    <w:p>
      <w:pPr>
        <w:spacing w:after="0" w:line="117" w:lineRule="exact"/>
        <w:rPr>
          <w:sz w:val="20"/>
          <w:szCs w:val="20"/>
          <w:color w:val="auto"/>
        </w:rPr>
      </w:pPr>
    </w:p>
    <w:p>
      <w:pPr>
        <w:ind w:firstLine="562"/>
        <w:spacing w:after="0" w:line="259" w:lineRule="auto"/>
        <w:rPr>
          <w:sz w:val="20"/>
          <w:szCs w:val="20"/>
          <w:color w:val="auto"/>
        </w:rPr>
      </w:pPr>
      <w:r>
        <w:rPr>
          <w:rFonts w:ascii="Arial" w:cs="Arial" w:eastAsia="Arial" w:hAnsi="Arial"/>
          <w:sz w:val="18"/>
          <w:szCs w:val="18"/>
          <w:color w:val="auto"/>
        </w:rPr>
        <w:t>Pimasertib has been dosed in over 850 cancer patients in trials sponsored by Merck KGaA, Darmstadt, Germany KGaA, both as monotherapy and in combination with standard of care therapies, such as gemcitabine, dacarbazine, and the colorectal cancer regimen FOLFIRI, as well as selected investigational agents (the HDM2 inhibitor SAR405838, the PI3K/mTOR inhibitor SAR245409). To date, there have been no clinical trials investigating the potential of pimasertib in combination with a RAF inhibitor.</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6" w:name="page27"/>
    <w:bookmarkEnd w:id="26"/>
    <w:p>
      <w:pPr>
        <w:ind w:right="60" w:firstLine="562"/>
        <w:spacing w:after="0" w:line="286" w:lineRule="auto"/>
        <w:rPr>
          <w:sz w:val="20"/>
          <w:szCs w:val="20"/>
          <w:color w:val="auto"/>
        </w:rPr>
      </w:pPr>
      <w:r>
        <w:rPr>
          <w:rFonts w:ascii="Arial" w:cs="Arial" w:eastAsia="Arial" w:hAnsi="Arial"/>
          <w:sz w:val="16"/>
          <w:szCs w:val="16"/>
          <w:color w:val="auto"/>
        </w:rPr>
        <w:t>The initial Phase 1 trial of pimasertib was designed to evaluate different schedules and escalating doses of pimasertib monotherapy in patients with various solid tumors, including colorectal, melanoma, prostate, lung, and mesothelioma. The primary goal of this trial was to establish safety and pharmacokinetics to determine the most appropriate dose and schedule for further investigation. Preliminary efficacy was also assessed in terms of tumor response. While several examples of stable disease were observed across tumor types, multiple partial responses were observed in melanoma patients that triggered further investigations in this tumor type. In a dose expansion arm of this trial, 89 melanoma patients received pharmacologically active doses of pimasertib ranging from 28 mg to 255 mg/day across four dose regimens. The ORR was 12.4%, including one complete response, ten partial responses, and 46 patients with stable disease. In the Phase 1 monotherapy trial, dose limiting toxicities were mainly observed at doses of 120 mg/day or greater and included skin rash/acneiform dermatitis and ocular events, such as serous retinal detachment. The most common drug-related adverse events were consistent with effects observed with other MEK inhibitors, including diarrhea, skin disorders, ocular disorders, asthenia/fatigue, and peripheral edema. According to a publication of the results of the melanoma patients enrolled on the monotherapy Phase 1 clinical trial, TEAEs of Grade 3 or higher were experienced by eight out of the 69 patients enrolled. The TEAEs were skin events (n=4), ocular events (n=2) and diarrhea (n=2). All four skin events occurred in the continuous (R3) twice-daily group, whereas ocular and diarrhea events were reported in both the continuous twice-daily group and the discontinuous group. High doses of pimasertib were associated with cases of retinal detachment; however, this and all other toxicities were manageable with supportive care and treatment interruption or dose reduction.</w:t>
      </w:r>
    </w:p>
    <w:p>
      <w:pPr>
        <w:spacing w:after="0" w:line="63" w:lineRule="exact"/>
        <w:rPr>
          <w:sz w:val="20"/>
          <w:szCs w:val="20"/>
          <w:color w:val="auto"/>
        </w:rPr>
      </w:pPr>
    </w:p>
    <w:p>
      <w:pPr>
        <w:ind w:right="40" w:firstLine="562"/>
        <w:spacing w:after="0" w:line="311" w:lineRule="auto"/>
        <w:rPr>
          <w:sz w:val="20"/>
          <w:szCs w:val="20"/>
          <w:color w:val="auto"/>
        </w:rPr>
      </w:pPr>
      <w:r>
        <w:rPr>
          <w:rFonts w:ascii="Arial" w:cs="Arial" w:eastAsia="Arial" w:hAnsi="Arial"/>
          <w:sz w:val="16"/>
          <w:szCs w:val="16"/>
          <w:color w:val="auto"/>
        </w:rPr>
        <w:t>Merck KGaA, Darmstadt, Germany also conducted a multicenter, open-label, randomized Phase 2 trial in 194 patients with NRAS-mutated locally advanced or metastatic cutaneous melanoma, which compared single-agent pimasertib dosed at 60 mg BID to dacarbazine. Median progression free survival, or PFS, in pimasertib treated patients was 13.0 weeks, which was significantly longer than the 6.9 weeks observed in dacarbazine treated patients.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firstLine="569"/>
        <w:spacing w:after="0" w:line="269" w:lineRule="auto"/>
        <w:rPr>
          <w:sz w:val="20"/>
          <w:szCs w:val="20"/>
          <w:color w:val="auto"/>
        </w:rPr>
      </w:pPr>
      <w:r>
        <w:rPr>
          <w:rFonts w:ascii="Arial" w:cs="Arial" w:eastAsia="Arial" w:hAnsi="Arial"/>
          <w:sz w:val="17"/>
          <w:szCs w:val="17"/>
          <w:color w:val="auto"/>
        </w:rPr>
        <w:t>We have initiated an open-label, multicenter, Phase 1b/2a FIRELIGHT-1 umbrella master trial of tovorafenib monotherapy or combination therapy, which consists of two substudies. Substudy 1 is a Phase 2 clinical trial of tovorafenib (DAY101) as monotherapy in patients 12 years and older with RAF– altered tumors; the first patient was dosed in November 2021. Substudy 2 is a Phase 1b/2 combination trial of tovorafenib (DAY101) and pimasertib in patients 12 years and older with NRAS mutations, BRAFwt fusions and other BRAF mutations with the exception of V600E and V600K mutations; the first patient was dosed in May 2022. The combination substudy will be a Phase 1b dose ranging trial to establish the Phase 2 dose of tovorafenib (DAY101) in combination with pimasertib. Once this dose is established, patients will be enrolled in the combination dose expansion portion of this trial in cohorts defined by genetic aberration, such as NRAS mutation or BRAFwt fusion. The primary endpoint for the Phase 1b portion of the combination substudy is safety. For the monotherapy substudy in RAFwt fusions and RAF1 amplifications and the Phase 2 expansion cohorts, the primary endpoint is overall response rate and duration of response. Simultaneous inhibition of both RAF and MEK has been shown to lead to synergistic antitumor activity in preclinical models. This combination may demonstrate enhanced anti-tumor activity in a variety of adult solid tumors driven by MAPK alterations, including NRAS mutant melanoma and lung cancers, tumors driven by Class II BRAF alterations, tumors with BRAF wild-type fusions, and tumors driven by KRAS alterations.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1262380</wp:posOffset>
            </wp:positionH>
            <wp:positionV relativeFrom="page">
              <wp:posOffset>294640</wp:posOffset>
            </wp:positionV>
            <wp:extent cx="5349240" cy="10198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01981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firstLine="569"/>
        <w:spacing w:after="0" w:line="277" w:lineRule="auto"/>
        <w:rPr>
          <w:sz w:val="20"/>
          <w:szCs w:val="20"/>
          <w:color w:val="auto"/>
        </w:rPr>
      </w:pPr>
      <w:r>
        <w:rPr>
          <w:rFonts w:ascii="Arial" w:cs="Arial" w:eastAsia="Arial" w:hAnsi="Arial"/>
          <w:sz w:val="18"/>
          <w:szCs w:val="18"/>
          <w:color w:val="auto"/>
        </w:rPr>
        <w:t>Figure 14. Umbrella master trial – DAY101-102 (main protocol) tovorafenib (DAY101) and MAPK pathway aberration, Substudy 1 monotherapy (DAY101-102a).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48895</wp:posOffset>
            </wp:positionV>
            <wp:extent cx="5349240" cy="1165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 w:firstLine="562"/>
        <w:spacing w:after="0" w:line="277" w:lineRule="auto"/>
        <w:rPr>
          <w:sz w:val="20"/>
          <w:szCs w:val="20"/>
          <w:color w:val="auto"/>
        </w:rPr>
      </w:pPr>
      <w:r>
        <w:rPr>
          <w:rFonts w:ascii="Arial" w:cs="Arial" w:eastAsia="Arial" w:hAnsi="Arial"/>
          <w:sz w:val="18"/>
          <w:szCs w:val="18"/>
          <w:color w:val="auto"/>
        </w:rPr>
        <w:t>Figure 15. Umbrella master trial – DAY101-102 (main protocol) tovorafenib (DAY101) and MAPK pathway aberration, Substudy 2 MEK combo (DAY101-102b).</w:t>
      </w:r>
    </w:p>
    <w:p>
      <w:pPr>
        <w:spacing w:after="0" w:line="62"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Preclinical data from multiple groups suggest that the combination of a MEK inhibitor, such as pimasertib, and a type II RAF inhibitor will have beneficial activity in various MAPK-driven tumor contexts, meaning that potent cell killing activity was obtained at lower concentrations of pimasertib than expected from data generated from monotherapy treatment. We believe that appropriate dosing of pimasertib in combination with tovorafenib (DAY101) may limit frequency and severity of adverse events observed with pimasertib alone, dosed at the MTD, owing to the ability to define a biologically active dose combination. We anticipate exploring pediatric combination trials once additional dosing and safety data is collected in adult patients.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We do not own or operate, and currently have no plans to establish, any manufacturing facilities. We rely, and expect to continue to rely, on third parties for the manufacture of our product candidates for clinical testing, as well as for commercial manufacturing if any of our product candidates obtain marketing approval. We also rely, and expect to continue to rely, on third parties to package, label, store and distribute our investigational product candidates, as well as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300" w:lineRule="exact"/>
        <w:rPr>
          <w:sz w:val="20"/>
          <w:szCs w:val="20"/>
          <w:color w:val="auto"/>
        </w:rPr>
      </w:pPr>
    </w:p>
    <w:p>
      <w:pPr>
        <w:ind w:firstLine="562"/>
        <w:spacing w:after="0" w:line="272" w:lineRule="auto"/>
        <w:rPr>
          <w:sz w:val="20"/>
          <w:szCs w:val="20"/>
          <w:color w:val="auto"/>
        </w:rPr>
      </w:pPr>
      <w:r>
        <w:rPr>
          <w:rFonts w:ascii="Arial" w:cs="Arial" w:eastAsia="Arial" w:hAnsi="Arial"/>
          <w:sz w:val="17"/>
          <w:szCs w:val="17"/>
          <w:color w:val="auto"/>
        </w:rPr>
        <w:t>To date, we have contracted to obtain active pharmaceutical ingredients, or API, drug product, and packaging/distribution for our product candidates from STA Pharmaceutical Hong Kong Limited, Quotient Sciences – Philadelphia, LLC, Experic Services, and Fisher Clinical Services respectively, upon whom we currently rely as single-source contract manufacturing organizations, or CMOs. We have agreements under which third-party CMOs will generally provide us with necessary quantities of API, drug product, packaging/distribution on an order by order basis, based on our development needs. For commercial supply of tovorafenib, we are in the process of negotiating supply agreements to meet the anticipated commercial demand of the product. As we advance our product candidates through development, we will explore adding backup suppliers for the API, drug product, packaging and formulation for each of our product candidates to protect against any potential supply disruptions.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generally expect to rely on third parties for the manufacture of any companion diagnostics we may develop.</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62"/>
        <w:spacing w:after="0" w:line="275"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products. While we believe that our technology, the expertise of our team, and our development experience and scientific knowledge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68" w:lineRule="exact"/>
        <w:rPr>
          <w:sz w:val="20"/>
          <w:szCs w:val="20"/>
          <w:color w:val="auto"/>
        </w:rPr>
      </w:pPr>
    </w:p>
    <w:p>
      <w:pPr>
        <w:ind w:right="80" w:firstLine="562"/>
        <w:spacing w:after="0" w:line="293" w:lineRule="auto"/>
        <w:rPr>
          <w:sz w:val="20"/>
          <w:szCs w:val="20"/>
          <w:color w:val="auto"/>
        </w:rPr>
      </w:pPr>
      <w:r>
        <w:rPr>
          <w:rFonts w:ascii="Arial" w:cs="Arial" w:eastAsia="Arial" w:hAnsi="Arial"/>
          <w:sz w:val="16"/>
          <w:szCs w:val="16"/>
          <w:color w:val="auto"/>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Additional mergers and acquisitions may result in even more resources being concentrated in our competitors.</w:t>
      </w:r>
    </w:p>
    <w:p>
      <w:pPr>
        <w:spacing w:after="0" w:line="56" w:lineRule="exact"/>
        <w:rPr>
          <w:sz w:val="20"/>
          <w:szCs w:val="20"/>
          <w:color w:val="auto"/>
        </w:rPr>
      </w:pPr>
    </w:p>
    <w:p>
      <w:pPr>
        <w:ind w:firstLine="562"/>
        <w:spacing w:after="0" w:line="275" w:lineRule="auto"/>
        <w:rPr>
          <w:sz w:val="20"/>
          <w:szCs w:val="20"/>
          <w:color w:val="auto"/>
        </w:rPr>
      </w:pPr>
      <w:r>
        <w:rPr>
          <w:rFonts w:ascii="Arial" w:cs="Arial" w:eastAsia="Arial" w:hAnsi="Arial"/>
          <w:sz w:val="17"/>
          <w:szCs w:val="17"/>
          <w:color w:val="auto"/>
        </w:rPr>
        <w:t>Our commercial potential could be reduced or eliminated if our competitors develop and commercialize products that are safer or more effective, have fewer or less severe side effects, and are more convenient or less expensive than products that we may develop. Our competitors also may obtain FDA or other regulatory approval for their products more rapidly than we can, which could result in our competitors establishing a strong market position before we are able to enter the market or could otherwise make our development more complicated. We believe the key competitive factors affecting the success of all of our programs are likely to be efficacy, safety and patient convenience.</w:t>
      </w:r>
    </w:p>
    <w:p>
      <w:pPr>
        <w:spacing w:after="0" w:line="68" w:lineRule="exact"/>
        <w:rPr>
          <w:sz w:val="20"/>
          <w:szCs w:val="20"/>
          <w:color w:val="auto"/>
        </w:rPr>
      </w:pPr>
    </w:p>
    <w:p>
      <w:pPr>
        <w:ind w:right="280" w:firstLine="562"/>
        <w:spacing w:after="0" w:line="263" w:lineRule="auto"/>
        <w:rPr>
          <w:sz w:val="20"/>
          <w:szCs w:val="20"/>
          <w:color w:val="auto"/>
        </w:rPr>
      </w:pPr>
      <w:r>
        <w:rPr>
          <w:rFonts w:ascii="Arial" w:cs="Arial" w:eastAsia="Arial" w:hAnsi="Arial"/>
          <w:sz w:val="18"/>
          <w:szCs w:val="18"/>
          <w:color w:val="auto"/>
        </w:rPr>
        <w:t>We believe that tovorafenib (DAY101) has the potential to be the first pan-RAF inhibitor to be approved by the FDA, for use in the treatment of pLGG, as we are not aware of competing product candidates that are further along in the development process. However, this does not indicate that tovorafenib (DAY101) has been proven effective or that it will receive regulatory approval.</w:t>
      </w:r>
    </w:p>
    <w:p>
      <w:pPr>
        <w:spacing w:after="0" w:line="76" w:lineRule="exact"/>
        <w:rPr>
          <w:sz w:val="20"/>
          <w:szCs w:val="20"/>
          <w:color w:val="auto"/>
        </w:rPr>
      </w:pPr>
    </w:p>
    <w:p>
      <w:pPr>
        <w:ind w:right="40" w:firstLine="562"/>
        <w:spacing w:after="0" w:line="293" w:lineRule="auto"/>
        <w:rPr>
          <w:sz w:val="20"/>
          <w:szCs w:val="20"/>
          <w:color w:val="auto"/>
        </w:rPr>
      </w:pPr>
      <w:r>
        <w:rPr>
          <w:rFonts w:ascii="Arial" w:cs="Arial" w:eastAsia="Arial" w:hAnsi="Arial"/>
          <w:sz w:val="16"/>
          <w:szCs w:val="16"/>
          <w:color w:val="auto"/>
        </w:rPr>
        <w:t>Three BRAF inhibitors have been approved by the FDA for the treatment of tumors containing V600E or V600K mutations. These first-generation BRAF inhibitors, known more generally as type I RAF inhibitors, are vemurafenib, marketed as Zelboraf® by Genentech; dabrafenib, marketed as Tafinlar® by Novartis; and encorafenib, marketed as Braftovi® by Pfizer. Dabrafinib,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(approximately 10%-20%) of the greater RAF-altered pLGG clinical scope of the tovorafenib (DAY101) development program.</w:t>
      </w:r>
    </w:p>
    <w:p>
      <w:pPr>
        <w:spacing w:after="0" w:line="56" w:lineRule="exact"/>
        <w:rPr>
          <w:sz w:val="20"/>
          <w:szCs w:val="20"/>
          <w:color w:val="auto"/>
        </w:rPr>
      </w:pPr>
    </w:p>
    <w:p>
      <w:pPr>
        <w:ind w:right="140" w:firstLine="562"/>
        <w:spacing w:after="0" w:line="301" w:lineRule="auto"/>
        <w:rPr>
          <w:sz w:val="20"/>
          <w:szCs w:val="20"/>
          <w:color w:val="auto"/>
        </w:rPr>
      </w:pPr>
      <w:r>
        <w:rPr>
          <w:rFonts w:ascii="Arial" w:cs="Arial" w:eastAsia="Arial" w:hAnsi="Arial"/>
          <w:sz w:val="16"/>
          <w:szCs w:val="16"/>
          <w:color w:val="auto"/>
        </w:rPr>
        <w:t>Four MEK inhibitors have been approved by the FDA. Three have been approved for the treatment of tumors containing BRAF V600E or V600K mutations, including cobimetinib, marketed as Cotellic® by Genentech; trametinib, marketed as Mekinist® by Novartis; and binimetinib, marketed as Mektovi® by Pfizer. A fourth MEK inhibitor–selumetinib, marketed as Koselugo® by AstraZeneca, has been approved for the treatment of pediatric patients, 2 years of age and older, with neurofibromatosis type 1, or NF1, who have symptomatic, inoperable plexiform neurofibromas.</w:t>
      </w:r>
    </w:p>
    <w:p>
      <w:pPr>
        <w:spacing w:after="0" w:line="49" w:lineRule="exact"/>
        <w:rPr>
          <w:sz w:val="20"/>
          <w:szCs w:val="20"/>
          <w:color w:val="auto"/>
        </w:rPr>
      </w:pPr>
    </w:p>
    <w:p>
      <w:pPr>
        <w:ind w:right="40" w:firstLine="562"/>
        <w:spacing w:after="0" w:line="273" w:lineRule="auto"/>
        <w:rPr>
          <w:sz w:val="20"/>
          <w:szCs w:val="20"/>
          <w:color w:val="auto"/>
        </w:rPr>
      </w:pPr>
      <w:r>
        <w:rPr>
          <w:rFonts w:ascii="Arial" w:cs="Arial" w:eastAsia="Arial" w:hAnsi="Arial"/>
          <w:sz w:val="17"/>
          <w:szCs w:val="17"/>
          <w:color w:val="auto"/>
        </w:rPr>
        <w:t>Erasca is developing the next-generation BRAF inhibitor naporafenib (LXH254) in combination with various agents, in planned Phase 1 and Phase 3 clinical trials. BeiGene has two next-generation BRAF programs: lifirafenib (BGB-283), which is currently in a Phase 1/2 trial in combination with mirdametinib, and BGB-3245 which is currently in a single agent in Phase 1 dose escalation study. Hanmi and Genentech are developing belvarafenib in combination with cobimetinib in a Phase 1b clinical trial. Fore Therapeutics (formelly NovellusDx) is developing the RAF dimer breaker PLX8394 in a Phase 1/2 trial in combination with cobicistat. Kinnate is developing KIN-2787 in monotherapy phase 1 clinical trial. Black Diamond Therapeutics have next-generation BRAF inhibitors in various stages of preclinical development.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9" w:name="page30"/>
    <w:bookmarkEnd w:id="29"/>
    <w:p>
      <w:pPr>
        <w:ind w:firstLine="562"/>
        <w:spacing w:after="0" w:line="257" w:lineRule="auto"/>
        <w:rPr>
          <w:sz w:val="20"/>
          <w:szCs w:val="20"/>
          <w:color w:val="auto"/>
        </w:rPr>
      </w:pPr>
      <w:r>
        <w:rPr>
          <w:rFonts w:ascii="Arial" w:cs="Arial" w:eastAsia="Arial" w:hAnsi="Arial"/>
          <w:sz w:val="18"/>
          <w:szCs w:val="18"/>
          <w:color w:val="auto"/>
        </w:rPr>
        <w:t>With regard to the treatment of pLGG, dabrafenib, in combination with trametinib, is being evaluated in a Novartis-sponsored randomized Phase 2 clinical trial in newly diagnosed patients with BRAF V600 mutant pLGG. Novartis has announced their plans to file a Supplemental New Drug Application based on data of this trial in early 2023. Further, some MEK inhibitors and some type I RAF inhibitors and other targeted therapies are being studied in academic investigator-initiated clinical trials, and in some regions may be being used in an off-label manner. These agents may represent competition for tovorafenib (DAY101) when it enters the market.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asset agreement and Millennium stock exchange agreement</w:t>
      </w:r>
    </w:p>
    <w:p>
      <w:pPr>
        <w:spacing w:after="0" w:line="117" w:lineRule="exact"/>
        <w:rPr>
          <w:sz w:val="20"/>
          <w:szCs w:val="20"/>
          <w:color w:val="auto"/>
        </w:rPr>
      </w:pPr>
    </w:p>
    <w:p>
      <w:pPr>
        <w:ind w:right="60" w:firstLine="562"/>
        <w:spacing w:after="0" w:line="269" w:lineRule="auto"/>
        <w:rPr>
          <w:sz w:val="20"/>
          <w:szCs w:val="20"/>
          <w:color w:val="auto"/>
        </w:rPr>
      </w:pPr>
      <w:r>
        <w:rPr>
          <w:rFonts w:ascii="Arial" w:cs="Arial" w:eastAsia="Arial" w:hAnsi="Arial"/>
          <w:sz w:val="17"/>
          <w:szCs w:val="17"/>
          <w:color w:val="auto"/>
        </w:rPr>
        <w:t>On December 16, 2019, DOT Therapeutics-1, Inc., or DOT-1, our subsidiary, entered into an asset purchase agreement, or the Takeda Asset Agreement, with Millennium Pharmaceuticals, Inc., a related party and an affiliate of Takeda Pharmaceutical Company Limited, or Takeda. Pursuant to the Takeda Asset Agreement, DOT-1 purchased certain technology rights and know-how related to TAK-580 (which is now tovorafenib (DAY101)) that provides a new approach for treating patients with primary brain tumors or brain metastases of solid tumors. DOT-1 also received clinical inventory supplies to use in our research and development activities of such RAF-inhibitor and an assigned investigator clinical trial agreement. Takeda also assigned to DOT-1 its exclusive license agreement, or the Viracta License Agreement, with Viracta Therapeutics, Inc. (f/k/a Sunesis Pharmaceuticals, Inc.), or Viracta. Takeda also granted DOT-1 a worldwide, sublicensable exclusive license under specified patents and know-how and non-exclusive license under other patents and know-how generated by Takeda under the Takeda Asset Agreement. DOT-1 also granted Takeda a grant back license, as defined in the Takeda Asset Agreement, which is terminable either automatically or by DOT-1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74" w:lineRule="exact"/>
        <w:rPr>
          <w:sz w:val="20"/>
          <w:szCs w:val="20"/>
          <w:color w:val="auto"/>
        </w:rPr>
      </w:pPr>
    </w:p>
    <w:p>
      <w:pPr>
        <w:ind w:right="40" w:firstLine="562"/>
        <w:spacing w:after="0" w:line="296" w:lineRule="auto"/>
        <w:rPr>
          <w:sz w:val="20"/>
          <w:szCs w:val="20"/>
          <w:color w:val="auto"/>
        </w:rPr>
      </w:pPr>
      <w:r>
        <w:rPr>
          <w:rFonts w:ascii="Arial" w:cs="Arial" w:eastAsia="Arial" w:hAnsi="Arial"/>
          <w:sz w:val="16"/>
          <w:szCs w:val="16"/>
          <w:color w:val="auto"/>
        </w:rPr>
        <w:t>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 issued shares in the Series A financing of DOT-1. Based on the terms of the Millennium Stock Exchange Agreement, Takeda exchanged the 9,857,143 shares of Series A redeemable convertible preferred stock of DOT-1 for 6,470,382 shares of our common stock upon the effectiveness of the Conversion, on May 26, 2021.</w:t>
      </w:r>
    </w:p>
    <w:p>
      <w:pPr>
        <w:spacing w:after="0" w:line="269" w:lineRule="exact"/>
        <w:rPr>
          <w:sz w:val="20"/>
          <w:szCs w:val="20"/>
          <w:color w:val="auto"/>
        </w:rPr>
      </w:pPr>
    </w:p>
    <w:p>
      <w:pPr>
        <w:ind w:right="60" w:firstLine="562"/>
        <w:spacing w:after="0" w:line="254" w:lineRule="auto"/>
        <w:rPr>
          <w:sz w:val="20"/>
          <w:szCs w:val="20"/>
          <w:color w:val="auto"/>
        </w:rPr>
      </w:pPr>
      <w:r>
        <w:rPr>
          <w:rFonts w:ascii="Arial" w:cs="Arial" w:eastAsia="Arial" w:hAnsi="Arial"/>
          <w:sz w:val="18"/>
          <w:szCs w:val="18"/>
          <w:color w:val="auto"/>
        </w:rPr>
        <w:t>The term of the Takeda Asset Agreement will expire on a country-by-country basis upon expiration of all assigned patent rights and all licensed patent rights in such country. Takeda may terminate the Takeda Asset Agreement prior to our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303" w:lineRule="exact"/>
        <w:rPr>
          <w:sz w:val="20"/>
          <w:szCs w:val="20"/>
          <w:color w:val="auto"/>
        </w:rPr>
      </w:pPr>
    </w:p>
    <w:p>
      <w:pPr>
        <w:ind w:right="340" w:firstLine="562"/>
        <w:spacing w:after="0" w:line="277" w:lineRule="auto"/>
        <w:rPr>
          <w:sz w:val="20"/>
          <w:szCs w:val="20"/>
          <w:color w:val="auto"/>
        </w:rPr>
      </w:pPr>
      <w:r>
        <w:rPr>
          <w:rFonts w:ascii="Arial" w:cs="Arial" w:eastAsia="Arial" w:hAnsi="Arial"/>
          <w:sz w:val="18"/>
          <w:szCs w:val="18"/>
          <w:color w:val="auto"/>
        </w:rPr>
        <w:t>Effective December 31, 2021, DOT-1 was merged with and into our company, with our company being the surviving corporation and assuming DOT-1’s obligations under the Takeda Assets Purchase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Viracta license agreement</w:t>
      </w:r>
    </w:p>
    <w:p>
      <w:pPr>
        <w:spacing w:after="0" w:line="117" w:lineRule="exact"/>
        <w:rPr>
          <w:sz w:val="20"/>
          <w:szCs w:val="20"/>
          <w:color w:val="auto"/>
        </w:rPr>
      </w:pPr>
    </w:p>
    <w:p>
      <w:pPr>
        <w:ind w:right="200" w:firstLine="562"/>
        <w:spacing w:after="0" w:line="263" w:lineRule="auto"/>
        <w:rPr>
          <w:sz w:val="20"/>
          <w:szCs w:val="20"/>
          <w:color w:val="auto"/>
        </w:rPr>
      </w:pPr>
      <w:r>
        <w:rPr>
          <w:rFonts w:ascii="Arial" w:cs="Arial" w:eastAsia="Arial" w:hAnsi="Arial"/>
          <w:sz w:val="18"/>
          <w:szCs w:val="18"/>
          <w:color w:val="auto"/>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20" w:firstLine="469"/>
        <w:spacing w:after="0" w:line="286" w:lineRule="auto"/>
        <w:rPr>
          <w:sz w:val="20"/>
          <w:szCs w:val="20"/>
          <w:color w:val="auto"/>
        </w:rPr>
      </w:pPr>
      <w:r>
        <w:rPr>
          <w:rFonts w:ascii="Arial" w:cs="Arial" w:eastAsia="Arial" w:hAnsi="Arial"/>
          <w:sz w:val="16"/>
          <w:szCs w:val="16"/>
          <w:color w:val="auto"/>
        </w:rPr>
        <w:t>DOT-1 paid $2.0 million upfront in cash to Viracta, which was recorded as research and development expenses in 2019. DOT-1 made a milestone payment of $3.0 million to Viracta in February 2021, which was recorded as research and development expense when the milestone was achieved in April 2021. DOT-1 is also required to make additional milestone payments of up to $54.0 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sells such priority review voucher to a third party or uses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us covering the use or sale of such product in such country, (ii) the expiration of the last statutory exclusivity pertaining to such product in such country or (iii) the tenth anniversary of the first commercial sale of such product in such country. No other milestones, except as discussed above, were achieved and due as of December 31, 2022.</w:t>
      </w:r>
    </w:p>
    <w:p>
      <w:pPr>
        <w:spacing w:after="0" w:line="66" w:lineRule="exact"/>
        <w:rPr>
          <w:sz w:val="20"/>
          <w:szCs w:val="20"/>
          <w:color w:val="auto"/>
        </w:rPr>
      </w:pPr>
    </w:p>
    <w:p>
      <w:pPr>
        <w:jc w:val="both"/>
        <w:ind w:right="140" w:firstLine="464"/>
        <w:spacing w:after="0" w:line="263" w:lineRule="auto"/>
        <w:rPr>
          <w:sz w:val="20"/>
          <w:szCs w:val="20"/>
          <w:color w:val="auto"/>
        </w:rPr>
      </w:pPr>
      <w:r>
        <w:rPr>
          <w:rFonts w:ascii="Arial" w:cs="Arial" w:eastAsia="Arial" w:hAnsi="Arial"/>
          <w:sz w:val="18"/>
          <w:szCs w:val="18"/>
          <w:color w:val="auto"/>
        </w:rPr>
        <w:t>The term of the Viracta License Agreement will expire on a licensed product-by-licensed product and country-by-country basis upon the expiration of our obligation to pay royalties to Viracta with respect to such product in such country. DOT-1 has the right to terminate the Viracta License Agreement with respect to any or all of the licensed products at will upon a specified notice period.</w:t>
      </w:r>
    </w:p>
    <w:p>
      <w:pPr>
        <w:spacing w:after="0" w:line="76" w:lineRule="exact"/>
        <w:rPr>
          <w:sz w:val="20"/>
          <w:szCs w:val="20"/>
          <w:color w:val="auto"/>
        </w:rPr>
      </w:pPr>
    </w:p>
    <w:p>
      <w:pPr>
        <w:ind w:right="420" w:firstLine="464"/>
        <w:spacing w:after="0" w:line="277" w:lineRule="auto"/>
        <w:rPr>
          <w:sz w:val="20"/>
          <w:szCs w:val="20"/>
          <w:color w:val="auto"/>
        </w:rPr>
      </w:pPr>
      <w:r>
        <w:rPr>
          <w:rFonts w:ascii="Arial" w:cs="Arial" w:eastAsia="Arial" w:hAnsi="Arial"/>
          <w:sz w:val="18"/>
          <w:szCs w:val="18"/>
          <w:color w:val="auto"/>
        </w:rPr>
        <w:t>Effective December 31, 2021, DOT-1 was merged with and into our company, with our company being the surviving corporation and assuming DOT-1’s obligations under Viracta License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Merck KGaA, Darmstadt, Germany</w:t>
      </w:r>
    </w:p>
    <w:p>
      <w:pPr>
        <w:spacing w:after="0" w:line="117" w:lineRule="exact"/>
        <w:rPr>
          <w:sz w:val="20"/>
          <w:szCs w:val="20"/>
          <w:color w:val="auto"/>
        </w:rPr>
      </w:pPr>
    </w:p>
    <w:p>
      <w:pPr>
        <w:ind w:right="60" w:firstLine="464"/>
        <w:spacing w:after="0" w:line="291" w:lineRule="auto"/>
        <w:rPr>
          <w:sz w:val="20"/>
          <w:szCs w:val="20"/>
          <w:color w:val="auto"/>
        </w:rPr>
      </w:pPr>
      <w:r>
        <w:rPr>
          <w:rFonts w:ascii="Arial" w:cs="Arial" w:eastAsia="Arial" w:hAnsi="Arial"/>
          <w:sz w:val="16"/>
          <w:szCs w:val="16"/>
          <w:color w:val="auto"/>
        </w:rPr>
        <w:t>On February 10, 2021, DOT Therapeutics-2, Inc., or DOT-2, our subsidiary, entered into a license agreement, or the MRKDG License Agreement, with Merck KGaA, Darmstadt, Germany, a pharmaceutical corporation located in Darmstadt, Germany. Under the MRKDG License Agreement, Merck KGaA, Darmstadt, Germany granted to us an exclusive worldwide license, with the right to grant sublicenses through multiple tiers, under specified patent rights and know-how for us to research, develop, manufacture and commercialize products containing and comprising the pimasertib and MSC2015103B compounds. We also received clinical inventory supplies to use in our research and development activities.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w:t>
      </w:r>
    </w:p>
    <w:p>
      <w:pPr>
        <w:spacing w:after="0" w:line="58" w:lineRule="exact"/>
        <w:rPr>
          <w:sz w:val="20"/>
          <w:szCs w:val="20"/>
          <w:color w:val="auto"/>
        </w:rPr>
      </w:pPr>
    </w:p>
    <w:p>
      <w:pPr>
        <w:ind w:right="440" w:firstLine="464"/>
        <w:spacing w:after="0" w:line="277" w:lineRule="auto"/>
        <w:rPr>
          <w:sz w:val="20"/>
          <w:szCs w:val="20"/>
          <w:color w:val="auto"/>
        </w:rPr>
      </w:pPr>
      <w:r>
        <w:rPr>
          <w:rFonts w:ascii="Arial" w:cs="Arial" w:eastAsia="Arial" w:hAnsi="Arial"/>
          <w:sz w:val="18"/>
          <w:szCs w:val="18"/>
          <w:color w:val="auto"/>
        </w:rPr>
        <w:t>Under the MRKDG License Agreement, we have obligations to use commercially reasonable efforts to develop and commercialize at least two licensed products in at least two specified major market countries by the year 2029.</w:t>
      </w:r>
    </w:p>
    <w:p>
      <w:pPr>
        <w:spacing w:after="0" w:line="62" w:lineRule="exact"/>
        <w:rPr>
          <w:sz w:val="20"/>
          <w:szCs w:val="20"/>
          <w:color w:val="auto"/>
        </w:rPr>
      </w:pPr>
    </w:p>
    <w:p>
      <w:pPr>
        <w:ind w:right="20" w:firstLine="464"/>
        <w:spacing w:after="0" w:line="291" w:lineRule="auto"/>
        <w:rPr>
          <w:sz w:val="20"/>
          <w:szCs w:val="20"/>
          <w:color w:val="auto"/>
        </w:rPr>
      </w:pPr>
      <w:r>
        <w:rPr>
          <w:rFonts w:ascii="Arial" w:cs="Arial" w:eastAsia="Arial" w:hAnsi="Arial"/>
          <w:sz w:val="16"/>
          <w:szCs w:val="16"/>
          <w:color w:val="auto"/>
        </w:rPr>
        <w:t>In consideration for the rights granted under the MRKDG License Agreement and clinical supplies, we made an upfront payment of $8.0 million, which was recorded as research and development expenses, as the technology does not have an alternative future use and supplies are used for research activities. Additionally, we made a milestone payment of $2.5 million, which was recorded as research and development expenses due to the nature of the license agreement and the milestone event relating to the first dosing of a patient in a first clinical trial of a product containing pimasertib, in the year ended December 31, 2022. We may also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spacing w:after="0" w:line="58" w:lineRule="exact"/>
        <w:rPr>
          <w:sz w:val="20"/>
          <w:szCs w:val="20"/>
          <w:color w:val="auto"/>
        </w:rPr>
      </w:pPr>
    </w:p>
    <w:p>
      <w:pPr>
        <w:ind w:firstLine="464"/>
        <w:spacing w:after="0" w:line="286" w:lineRule="auto"/>
        <w:rPr>
          <w:sz w:val="20"/>
          <w:szCs w:val="20"/>
          <w:color w:val="auto"/>
        </w:rPr>
      </w:pPr>
      <w:r>
        <w:rPr>
          <w:rFonts w:ascii="Arial" w:cs="Arial" w:eastAsia="Arial" w:hAnsi="Arial"/>
          <w:sz w:val="17"/>
          <w:szCs w:val="17"/>
          <w:color w:val="auto"/>
        </w:rPr>
        <w:t>The term of the MRKDG License Agreement will expire on a licensed product-by-licensed product and country-by-country basis upon the expiration of our obligation to pay royalties to the licensor with respect to such licensed product in such country and will expire in its entirety upon the expiration of all of our payment obligations with respect to all licensed products and all countries under the MRKDG License Agreement.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ind w:right="440" w:firstLine="464"/>
        <w:spacing w:after="0" w:line="277" w:lineRule="auto"/>
        <w:rPr>
          <w:sz w:val="20"/>
          <w:szCs w:val="20"/>
          <w:color w:val="auto"/>
        </w:rPr>
      </w:pPr>
      <w:r>
        <w:rPr>
          <w:rFonts w:ascii="Arial" w:cs="Arial" w:eastAsia="Arial" w:hAnsi="Arial"/>
          <w:sz w:val="18"/>
          <w:szCs w:val="18"/>
          <w:color w:val="auto"/>
        </w:rPr>
        <w:t>Effective December 31, 2021, DOT-2 was merged with and into our company, with our company being the surviving corporation and assuming DOT-2’s obligations under the MRKDG License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562"/>
        <w:spacing w:after="0" w:line="291"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for our drug candidates, technology and know-how, to operate without infringing the proprietary or intellectual property rights of others and to prevent others from infringing our proprietary or intellectual property rights. We expect that we will seek to protect our proprietary and intellectual property position by, among other methods, pursuing and obtaining patent protection in the United States and in jurisdictions outside of the United States related to our proprietary technology, inventions, improvements and drug candidates that are important to the development and implementation of our business. We also rely on trade secrets, know-how, trademarks, continuing technological innovation and licensing opportunities to develop and maintain our proprietary and intellectual property position. Presently, our patent portfolio includes issued patents and pending patent applications that are in-licensed, owned and/or co-owned by us.</w:t>
      </w:r>
    </w:p>
    <w:p>
      <w:pPr>
        <w:spacing w:after="0" w:line="58" w:lineRule="exact"/>
        <w:rPr>
          <w:sz w:val="20"/>
          <w:szCs w:val="20"/>
          <w:color w:val="auto"/>
        </w:rPr>
      </w:pPr>
    </w:p>
    <w:p>
      <w:pPr>
        <w:ind w:right="200" w:firstLine="562"/>
        <w:spacing w:after="0" w:line="259" w:lineRule="auto"/>
        <w:rPr>
          <w:sz w:val="20"/>
          <w:szCs w:val="20"/>
          <w:color w:val="auto"/>
        </w:rPr>
      </w:pPr>
      <w:r>
        <w:rPr>
          <w:rFonts w:ascii="Arial" w:cs="Arial" w:eastAsia="Arial" w:hAnsi="Arial"/>
          <w:sz w:val="18"/>
          <w:szCs w:val="18"/>
          <w:color w:val="auto"/>
        </w:rPr>
        <w:t>We currently, and expect that we will continue to, own, co-own or in-license patent applications and issued patents related to our drug candidates, as well as their use in the treatment of various diseases such as pediatric cancers. For our drug candidates, we generally pursue multilayered patent protection covering compositions of matter, methods of use and methods of manufacture. We intend to strengthen the patent protection of our drug candidates and technologies through additional patent application filings.</w:t>
      </w:r>
    </w:p>
    <w:p>
      <w:pPr>
        <w:spacing w:after="0" w:line="79" w:lineRule="exact"/>
        <w:rPr>
          <w:sz w:val="20"/>
          <w:szCs w:val="20"/>
          <w:color w:val="auto"/>
        </w:rPr>
      </w:pPr>
    </w:p>
    <w:p>
      <w:pPr>
        <w:ind w:right="40" w:firstLine="562"/>
        <w:spacing w:after="0" w:line="271" w:lineRule="auto"/>
        <w:rPr>
          <w:sz w:val="20"/>
          <w:szCs w:val="20"/>
          <w:color w:val="auto"/>
        </w:rPr>
      </w:pPr>
      <w:r>
        <w:rPr>
          <w:rFonts w:ascii="Arial" w:cs="Arial" w:eastAsia="Arial" w:hAnsi="Arial"/>
          <w:sz w:val="17"/>
          <w:szCs w:val="17"/>
          <w:color w:val="auto"/>
        </w:rPr>
        <w:t>As of January 1, 2023, we owned or co-owned a patent portfolio consisting of ten patent families, exclusively in-license three patent families from Merck KGaA, Darmstadt, Germany, and non-exclusively in-license one patent family from Takeda Pharmaceutical Company Limited. The ten patent families that we own or co-own include patent applications and issued patents that cover compositions of matter, pharmaceutical compositions, methods of synthesis, synthetic intermediates, methods of treatment and combination therapies related to one of our product candidates: tovorafenib (DAY101) or pimasertib. The non-exclusively in-licensed patent family from Takeda Pharmaceutical Company Limited covers a catalyst that may be used in a preparation of our product candidate tovorafenib (DAY101). The three exclusively in-licensed patent families from Merck KGaA, Darmstadt, Germany cover compositions of matter and methods of use for our product candidate pimasertib. Patent terms for our owned, co-owned or licensed patents discussed herein exclude any patent term extension that may be available.</w:t>
      </w:r>
    </w:p>
    <w:p>
      <w:pPr>
        <w:spacing w:after="0" w:line="70" w:lineRule="exact"/>
        <w:rPr>
          <w:sz w:val="20"/>
          <w:szCs w:val="20"/>
          <w:color w:val="auto"/>
        </w:rPr>
      </w:pPr>
    </w:p>
    <w:p>
      <w:pPr>
        <w:ind w:firstLine="562"/>
        <w:spacing w:after="0" w:line="279" w:lineRule="auto"/>
        <w:rPr>
          <w:sz w:val="20"/>
          <w:szCs w:val="20"/>
          <w:color w:val="auto"/>
        </w:rPr>
      </w:pPr>
      <w:r>
        <w:rPr>
          <w:rFonts w:ascii="Arial" w:cs="Arial" w:eastAsia="Arial" w:hAnsi="Arial"/>
          <w:sz w:val="17"/>
          <w:szCs w:val="17"/>
          <w:color w:val="auto"/>
        </w:rPr>
        <w:t>Our owned or co-owned patent portfolio, as of January 1, 2023, includes a co-owned patent family that is directed to the compositions of matter and methods of use of tovorafenib (DAY101) with four issued U.S. patents and multiple foreign patents and applications including granted patents in Germany, France, United Kingdom, Belgium, Switzerland, Denmark, Spain, Ireland, Italy, Netherlands, Australia, Brazil, Canada, China, India, Japan, Korea, Mexico, Singapore, South Africa, Taiwan, and Hong Kong, which are expected to expire between 2028 and 2031.</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firstLine="562"/>
        <w:spacing w:after="0" w:line="285" w:lineRule="auto"/>
        <w:rPr>
          <w:sz w:val="20"/>
          <w:szCs w:val="20"/>
          <w:color w:val="auto"/>
        </w:rPr>
      </w:pPr>
      <w:r>
        <w:rPr>
          <w:rFonts w:ascii="Arial" w:cs="Arial" w:eastAsia="Arial" w:hAnsi="Arial"/>
          <w:sz w:val="16"/>
          <w:szCs w:val="16"/>
          <w:color w:val="auto"/>
        </w:rPr>
        <w:t>Our owned or co-owned patent portfolio includes a patent family that is directed to pharmaceutical formulations of tovorafenib (DAY101) with an issued U.S. patent and multiple foreign patents and applications including granted patents in Germany, France, United Kingdom, Belgium, Brazil, Canada, Switzerland, Spain, Ireland, Italy, Luxembourg, Monaco, Japan, and China, which are expected to expire in 2035. Our owned or co-owned patent portfolio includes an additional pharmaceutical formulation patent family that is directed to formulations of tovorafenib (DAY101) including pending applications in the United States, Europe, China and Japan that, if issued, are expected to expire in 2040. Our owned or co-owned patent portfolio includes a patent family with one U.S. provisional application directed to additional formulations of tovorafenib (DAY101) that, if converted to a non-provisional application and issued, is expected to expire in 2043. Our owned or co-owned patent portfolio also includes a patent family directed to methods of synthesizing tovorafenib (DAY101) including an issued U.S. patent, and granted patents in Australia, Eurasia, Israel, Japan, and Mexico which are expected to expire in 2038 as well as pending applications in the United States and Europe that, if issued, are expected to expire in 2038. Our owned or co-owned patent portfolio further includes a patent family directed to methods of treating cancer using tovorafenib (DAY101) in combination with docetaxel with multiple foreign patents including granted patents in China, Germany, France, United Kingdom, Belgium, Switzerland, Spain, Ireland, Italy, Luxembourg, and Monaco that are expected to expire in 2035. Our owned or co-owned patent portfolio includes a patent family with a pending PCT application directed to methods of treating pLGG that, if nationalized and issued, is expected to expire in 2041. Our owned or co-owned patent portfolio includes a patent family with a pending PCT application directed to methods of treating cancer using tovorafenib (DAY101) in combination with a MEK inhibitor such as pimasertib that, if nationalized and issued, is expected to expire in 2042. Our owned or co-owned patent portfolio includes a patent family with a pending PCT application directed to methods of selecting patients for treatment with tovorafenib (DAY101) that, if nationalized and issued, is expected to expire in 2042. Our owned or co-owned patent portfolio further includes a patent family with one U.S. provisional application directed to methods of treatment with a MEK inhibitor such as pimasertib that, if converted to a non-provisional application and issued, is expected to expire in 2043.</w:t>
      </w:r>
    </w:p>
    <w:p>
      <w:pPr>
        <w:spacing w:after="0" w:line="63" w:lineRule="exact"/>
        <w:rPr>
          <w:sz w:val="20"/>
          <w:szCs w:val="20"/>
          <w:color w:val="auto"/>
        </w:rPr>
      </w:pPr>
    </w:p>
    <w:p>
      <w:pPr>
        <w:ind w:right="160" w:firstLine="562"/>
        <w:spacing w:after="0" w:line="268" w:lineRule="auto"/>
        <w:rPr>
          <w:sz w:val="20"/>
          <w:szCs w:val="20"/>
          <w:color w:val="auto"/>
        </w:rPr>
      </w:pPr>
      <w:r>
        <w:rPr>
          <w:rFonts w:ascii="Arial" w:cs="Arial" w:eastAsia="Arial" w:hAnsi="Arial"/>
          <w:sz w:val="17"/>
          <w:szCs w:val="17"/>
          <w:color w:val="auto"/>
        </w:rPr>
        <w:t>Our patent portfolio, as of January 1, 2023, includes a patent family exclusively in-licensed from Merck KGaA, Darmstadt, Germany that covers the composition of matter and methods of use of pimasertib. This patent family includes four issued U.S. patents and multiple foreign patents and/or applications including granted patents in Argentina, Austria, Australia, Belgium, Bulgaria, Brazil, Canada, Switzerland, China, Cyprus, Czech Republic, Germany, Denmark, Eurasia, Estonia, Spain, Finland, France, United Kingdom, Greece, Hong Kong, Hungary, Ireland, Israel, India, Iceland, Italy, Japan, Korea, Lithuania, Luxembourg, Latvia, Monaco, Mexico, Netherlands, Norway, Poland, Portugal, Romania, Russian Federation, Sweden, Singapore, Slovenia, Slovakia, Turkey, Ukraine, and South Africa that are expected to expire between 2025 and 2028. Our patent portfolio includes a patent family exclusively in-licensed from Merck KGaA, Darmstadt, Germany that is directed to the solid state form of pimasertib. This patent family includes one issued U.S. patent and multiple foreign patents and/or applications, including granted patents in Austria, Australia, Belgium, Canada, Switzerland, Czech Republic, Germany, Denmark, Eurasia, Spain, France, United Kingdom, Italy, Japan, Luxembourg, Mexico, Netherlands, Poland, Portugal, Russian Federation, Sweden, Singapore, Taiwan, and South Africa, which are expected to expire in 2033. Our patent portfolio further includes a patent family exclusively in-licensed from Merck KGaA, Darmstadt, Germany that covers the composition of matter and methods of use of MSC2015103B with two issued U.S. patents and multiple foreign patents and/or applications, including granted patents in Argentina, Austria, Australia, Belgium, Brazil, Canada, Switzerland, China, Czech Republic, Germany, Denmark, Eurasia, Estonia, Spain, Finland, France, United Kingdom, Hong Kong, Croatia, Hungary, Ireland, Israel, India, Iceland, Italy, Korea, Lithuania, Luxembourg, Latvia, North Macedonia, Malta, Mexico, Netherlands, Norway, New Zealand, Philippines, Poland, Portugal, Romania, Russian Federation, Sweden, Singapore, Slovenia, Slovakia, Turkey, Ukraine, and South Africa, which are expected to expire in 2029.</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firstLine="562"/>
        <w:spacing w:after="0" w:line="269"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In most countries in which we file, the patent term is generally 20 years from the earliest date of filing a non-provisional patent application. In the United States, the patent term may, in certain cases, be lengthened by patent term adjustment, which compensates a patentee for administrative delays by the U.S. Patent and Trademark Office, or USPTO, in examining and granting a patent or may be shortened if a patent is terminally disclaimed over a commonly owned patent or a patent naming a common inventor and having an earlier expiration date. Additionally, the Drug Price Competition and Patent Term Restoration Act of 1984, or the Hatch-Waxman Act, permits patent term extension of up to five years beyond the expiration date of a U.S. patent as partial compensation for the length of time a drug is under regulatory review while a patent that covers the drug is in force. The length of the patent term extension is related to the length of time the drug is under regulatory review.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77" w:lineRule="exact"/>
        <w:rPr>
          <w:sz w:val="20"/>
          <w:szCs w:val="20"/>
          <w:color w:val="auto"/>
        </w:rPr>
      </w:pPr>
    </w:p>
    <w:p>
      <w:pPr>
        <w:ind w:right="40" w:firstLine="562"/>
        <w:spacing w:after="0" w:line="293" w:lineRule="auto"/>
        <w:rPr>
          <w:sz w:val="20"/>
          <w:szCs w:val="20"/>
          <w:color w:val="auto"/>
        </w:rPr>
      </w:pPr>
      <w:r>
        <w:rPr>
          <w:rFonts w:ascii="Arial" w:cs="Arial" w:eastAsia="Arial" w:hAnsi="Arial"/>
          <w:sz w:val="16"/>
          <w:szCs w:val="16"/>
          <w:color w:val="auto"/>
        </w:rPr>
        <w:t>Similar provisions are available in the European Union and certain other foreign jurisdictions to extend the term of a patent that covers an approved drug. In the future, if and when our drug candidates receive approval by the FDA or foreign regulatory authorities, we expect to apply for patent term extensions on issued patents covering those products, if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the section titled “Risk Factors–Risks Related to Our Intellectual Property.” Expiration dates referred to above are without regard to potential patent term extension or other market exclusivity that may be available to us.</w:t>
      </w:r>
    </w:p>
    <w:p>
      <w:pPr>
        <w:spacing w:after="0" w:line="56" w:lineRule="exact"/>
        <w:rPr>
          <w:sz w:val="20"/>
          <w:szCs w:val="20"/>
          <w:color w:val="auto"/>
        </w:rPr>
      </w:pPr>
    </w:p>
    <w:p>
      <w:pPr>
        <w:ind w:right="160" w:firstLine="562"/>
        <w:spacing w:after="0" w:line="272" w:lineRule="auto"/>
        <w:rPr>
          <w:sz w:val="20"/>
          <w:szCs w:val="20"/>
          <w:color w:val="auto"/>
        </w:rPr>
      </w:pPr>
      <w:r>
        <w:rPr>
          <w:rFonts w:ascii="Arial" w:cs="Arial" w:eastAsia="Arial" w:hAnsi="Arial"/>
          <w:sz w:val="17"/>
          <w:szCs w:val="17"/>
          <w:color w:val="auto"/>
        </w:rPr>
        <w:t>The patent positions of biopharmaceutical companies like ours are generally uncertain and involve complex legal, scientific and factual questions. Our commercial success will also depend in part on not infringing upon the proprietary rights of third parties. It is uncertain whether the issuance of any third-party patent would require us to alter our development or commercial strategies, alter our drugs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the section titled “Risk Factors–Risks Related to Our Intellectual Property.”</w:t>
      </w:r>
    </w:p>
    <w:p>
      <w:pPr>
        <w:spacing w:after="0" w:line="69" w:lineRule="exact"/>
        <w:rPr>
          <w:sz w:val="20"/>
          <w:szCs w:val="20"/>
          <w:color w:val="auto"/>
        </w:rPr>
      </w:pPr>
    </w:p>
    <w:p>
      <w:pPr>
        <w:ind w:right="140" w:firstLine="562"/>
        <w:spacing w:after="0" w:line="286" w:lineRule="auto"/>
        <w:rPr>
          <w:sz w:val="20"/>
          <w:szCs w:val="20"/>
          <w:color w:val="auto"/>
        </w:rPr>
      </w:pPr>
      <w:r>
        <w:rPr>
          <w:rFonts w:ascii="Arial" w:cs="Arial" w:eastAsia="Arial" w:hAnsi="Arial"/>
          <w:sz w:val="16"/>
          <w:szCs w:val="16"/>
          <w:color w:val="auto"/>
        </w:rPr>
        <w:t>In addition to patent protection, we also rely on trade secrets, know-how, trademarks, other proprietary information and continuing technological innovation to develop and maintain our competitive position. Our trademark portfolio currently contains registration applications and/or registrations for Day One, Day One Biopharmaceuticals, and Cancer Drug Development Comes of Age in the United States.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For more information regarding the risks related to our intellectual property, see “Risk Factors—Risks Related to Our Intellectual Property.”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Government Regulation</w:t>
      </w:r>
    </w:p>
    <w:p>
      <w:pPr>
        <w:spacing w:after="0" w:line="337" w:lineRule="exact"/>
        <w:rPr>
          <w:sz w:val="20"/>
          <w:szCs w:val="20"/>
          <w:color w:val="auto"/>
        </w:rPr>
      </w:pPr>
    </w:p>
    <w:p>
      <w:pPr>
        <w:ind w:firstLine="562"/>
        <w:spacing w:after="0" w:line="275"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right="200" w:firstLine="562"/>
        <w:spacing w:after="0" w:line="273" w:lineRule="auto"/>
        <w:rPr>
          <w:sz w:val="20"/>
          <w:szCs w:val="20"/>
          <w:color w:val="auto"/>
        </w:rPr>
      </w:pPr>
      <w:r>
        <w:rPr>
          <w:rFonts w:ascii="Arial" w:cs="Arial" w:eastAsia="Arial" w:hAnsi="Arial"/>
          <w:sz w:val="17"/>
          <w:szCs w:val="17"/>
          <w:color w:val="auto"/>
        </w:rPr>
        <w:t>In the United States, pharmaceutical products are subject to extensive regulation by the FDA, pursuant to the Federal Food, Drug, and Cosmetic Act, and other federal and state statutes and regulations that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NDAs, warning or untitled letters, product recalls, product seizures, total or partial suspension of production or distribution, injunctions, fines, civil penalties and criminal prosecution.</w:t>
      </w:r>
    </w:p>
    <w:p>
      <w:pPr>
        <w:spacing w:after="0" w:line="70" w:lineRule="exact"/>
        <w:rPr>
          <w:sz w:val="20"/>
          <w:szCs w:val="20"/>
          <w:color w:val="auto"/>
        </w:rPr>
      </w:pPr>
    </w:p>
    <w:p>
      <w:pPr>
        <w:ind w:firstLine="562"/>
        <w:spacing w:after="0" w:line="257" w:lineRule="auto"/>
        <w:rPr>
          <w:sz w:val="20"/>
          <w:szCs w:val="20"/>
          <w:color w:val="auto"/>
        </w:rPr>
      </w:pPr>
      <w:r>
        <w:rPr>
          <w:rFonts w:ascii="Arial" w:cs="Arial" w:eastAsia="Arial" w:hAnsi="Arial"/>
          <w:sz w:val="18"/>
          <w:szCs w:val="18"/>
          <w:color w:val="auto"/>
        </w:rPr>
        <w:t>Pharmaceutical product development for a new product or certain changes to an approved product in the United States typically involves preclinical laboratory and animal tests, the submission to the FDA of an IND, which must become effective before clinical testing may commence, and adequate and well-controlled clinical trials to establish the safety and effectiveness of the drug for each indication for which the FDA approval is sought. Satisfaction of FDA pre-market approval requirements typically takes many years and the actual time required may vary substantially based upon the type, complexity and novelty of the product or disease.</w:t>
      </w:r>
    </w:p>
    <w:p>
      <w:pPr>
        <w:spacing w:after="0" w:line="80" w:lineRule="exact"/>
        <w:rPr>
          <w:sz w:val="20"/>
          <w:szCs w:val="20"/>
          <w:color w:val="auto"/>
        </w:rPr>
      </w:pPr>
    </w:p>
    <w:p>
      <w:pPr>
        <w:ind w:firstLine="562"/>
        <w:spacing w:after="0" w:line="269" w:lineRule="auto"/>
        <w:rPr>
          <w:sz w:val="20"/>
          <w:szCs w:val="20"/>
          <w:color w:val="auto"/>
        </w:rPr>
      </w:pPr>
      <w:r>
        <w:rPr>
          <w:rFonts w:ascii="Arial" w:cs="Arial" w:eastAsia="Arial" w:hAnsi="Arial"/>
          <w:sz w:val="17"/>
          <w:szCs w:val="17"/>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new drug to healthy volunteers or patients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71" w:lineRule="exact"/>
        <w:rPr>
          <w:sz w:val="20"/>
          <w:szCs w:val="20"/>
          <w:color w:val="auto"/>
        </w:rPr>
      </w:pPr>
    </w:p>
    <w:p>
      <w:pPr>
        <w:ind w:firstLine="562"/>
        <w:spacing w:after="0" w:line="254"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Imposition of a clinical hold may be full or partial. The study protocol and informed consent information for patients in clinical trials must also be submitted to an institutional review board, or IRB, for approval. The IRB will also monitor the clinical trial until completed. An IRB may also require the clinical trial at the site to be halted, either temporarily or permanently, for failure to comply with the IRB’s requirements, or may impose other conditions.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ind w:right="20" w:firstLine="562"/>
        <w:spacing w:after="0" w:line="287"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drug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drug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well-controlled Phase 3 clinical trials to demonstrate the efficacy of the drug. A single trial may be sufficient in rare instances, including (1)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when in conjunction with other confirmatory evidence.</w:t>
      </w:r>
    </w:p>
    <w:p>
      <w:pPr>
        <w:spacing w:after="0" w:line="64" w:lineRule="exact"/>
        <w:rPr>
          <w:sz w:val="20"/>
          <w:szCs w:val="20"/>
          <w:color w:val="auto"/>
        </w:rPr>
      </w:pPr>
    </w:p>
    <w:p>
      <w:pPr>
        <w:ind w:right="20" w:firstLine="562"/>
        <w:spacing w:after="0" w:line="275" w:lineRule="auto"/>
        <w:rPr>
          <w:sz w:val="20"/>
          <w:szCs w:val="20"/>
          <w:color w:val="auto"/>
        </w:rPr>
      </w:pPr>
      <w:r>
        <w:rPr>
          <w:rFonts w:ascii="Arial" w:cs="Arial" w:eastAsia="Arial" w:hAnsi="Arial"/>
          <w:sz w:val="17"/>
          <w:szCs w:val="17"/>
          <w:color w:val="auto"/>
        </w:rPr>
        <w:t>These Phases may overlap or be combined. For example, a Phase 1/2 clinical trial may contain both a dose- 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 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w:t>
      </w:r>
    </w:p>
    <w:p>
      <w:pPr>
        <w:spacing w:after="0" w:line="68" w:lineRule="exact"/>
        <w:rPr>
          <w:sz w:val="20"/>
          <w:szCs w:val="20"/>
          <w:color w:val="auto"/>
        </w:rPr>
      </w:pPr>
    </w:p>
    <w:p>
      <w:pPr>
        <w:ind w:right="320" w:firstLine="562"/>
        <w:spacing w:after="0" w:line="277" w:lineRule="auto"/>
        <w:rPr>
          <w:sz w:val="20"/>
          <w:szCs w:val="20"/>
          <w:color w:val="auto"/>
        </w:rPr>
      </w:pPr>
      <w:r>
        <w:rPr>
          <w:rFonts w:ascii="Arial" w:cs="Arial" w:eastAsia="Arial" w:hAnsi="Arial"/>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62" w:lineRule="exact"/>
        <w:rPr>
          <w:sz w:val="20"/>
          <w:szCs w:val="20"/>
          <w:color w:val="auto"/>
        </w:rPr>
      </w:pPr>
    </w:p>
    <w:p>
      <w:pPr>
        <w:ind w:firstLine="562"/>
        <w:spacing w:after="0" w:line="263" w:lineRule="auto"/>
        <w:rPr>
          <w:sz w:val="20"/>
          <w:szCs w:val="20"/>
          <w:color w:val="auto"/>
        </w:rPr>
      </w:pPr>
      <w:r>
        <w:rPr>
          <w:rFonts w:ascii="Arial" w:cs="Arial" w:eastAsia="Arial" w:hAnsi="Arial"/>
          <w:sz w:val="18"/>
          <w:szCs w:val="18"/>
          <w:color w:val="auto"/>
        </w:rPr>
        <w:t>After completion of the required clinical testing, an NDA is prepared and submitted to the FDA. The FDA approval of the NDA is required before marketing of the product may begin in the United States. The NDA must include the results of all preclinical, clinical and other testing and a compilation of data relating to the product’s pharmacology, chemistry, manufacture and controls.</w:t>
      </w:r>
    </w:p>
    <w:p>
      <w:pPr>
        <w:spacing w:after="0" w:line="76" w:lineRule="exact"/>
        <w:rPr>
          <w:sz w:val="20"/>
          <w:szCs w:val="20"/>
          <w:color w:val="auto"/>
        </w:rPr>
      </w:pPr>
    </w:p>
    <w:p>
      <w:pPr>
        <w:ind w:right="100" w:firstLine="562"/>
        <w:spacing w:after="0" w:line="257" w:lineRule="auto"/>
        <w:rPr>
          <w:sz w:val="20"/>
          <w:szCs w:val="20"/>
          <w:color w:val="auto"/>
        </w:rPr>
      </w:pPr>
      <w:r>
        <w:rPr>
          <w:rFonts w:ascii="Arial" w:cs="Arial" w:eastAsia="Arial" w:hAnsi="Arial"/>
          <w:sz w:val="18"/>
          <w:szCs w:val="18"/>
          <w:color w:val="auto"/>
        </w:rPr>
        <w:t>The cost of preparing and submitting an NDA is substantial. The submission of most NDAs is additionally subject to a substantial application user fee.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The applicant under an approved NDA is also subject to annual program fees. The FDA adjusts the user fees on an annual basis, and the fees typically increase annually.</w:t>
      </w:r>
    </w:p>
    <w:p>
      <w:pPr>
        <w:spacing w:after="0" w:line="80" w:lineRule="exact"/>
        <w:rPr>
          <w:sz w:val="20"/>
          <w:szCs w:val="20"/>
          <w:color w:val="auto"/>
        </w:rPr>
      </w:pPr>
    </w:p>
    <w:p>
      <w:pPr>
        <w:ind w:right="40" w:firstLine="562"/>
        <w:spacing w:after="0" w:line="286" w:lineRule="auto"/>
        <w:rPr>
          <w:sz w:val="20"/>
          <w:szCs w:val="20"/>
          <w:color w:val="auto"/>
        </w:rPr>
      </w:pPr>
      <w:r>
        <w:rPr>
          <w:rFonts w:ascii="Arial" w:cs="Arial" w:eastAsia="Arial" w:hAnsi="Arial"/>
          <w:sz w:val="16"/>
          <w:szCs w:val="16"/>
          <w:color w:val="auto"/>
        </w:rPr>
        <w:t>The FDA reviews each submitted NDA before it determines whether to file it, based on the agency’s threshold determination that it is sufficiently complete to permit substantive review, and the FDA may request additional information. The FDA must make a decision on whether to file an NDA within 60 days of receipt, and such decision could include a refusal to file by the FDA. If the submission is filed, the FDA begins an in-depth review of the NDA. The FDA has agreed to certain performance goals in the review of NDAs. Most applications for standard review drug products are reviewed within 10 to</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12 months; most applications for priority review drugs are reviewed in six to eight months. Priority review can be applied to drugs that the FDA determines offer major advances in treatment or provide a treatment where no adequate therapy exists. The review process for both standard and priority review may be extended by the FDA for three additional months to consider certain late- submitted information, or information intended to clarify information already provided in the submission. The FDA does not always meet its goal dates for standard and priority NDAs, and the review process can be extended by FDA requests for additional information or clarification.</w:t>
      </w:r>
    </w:p>
    <w:p>
      <w:pPr>
        <w:spacing w:after="0" w:line="83" w:lineRule="exact"/>
        <w:rPr>
          <w:sz w:val="20"/>
          <w:szCs w:val="20"/>
          <w:color w:val="auto"/>
        </w:rPr>
      </w:pPr>
    </w:p>
    <w:p>
      <w:pPr>
        <w:ind w:firstLine="562"/>
        <w:spacing w:after="0" w:line="259" w:lineRule="auto"/>
        <w:rPr>
          <w:sz w:val="20"/>
          <w:szCs w:val="20"/>
          <w:color w:val="auto"/>
        </w:rPr>
      </w:pPr>
      <w:r>
        <w:rPr>
          <w:rFonts w:ascii="Arial" w:cs="Arial" w:eastAsia="Arial" w:hAnsi="Arial"/>
          <w:sz w:val="18"/>
          <w:szCs w:val="18"/>
          <w:color w:val="auto"/>
        </w:rPr>
        <w:t>The 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The FDA is not bound by the recommendation of an advisory committee, but it generally follows such recommendations.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right="140" w:firstLine="562"/>
        <w:spacing w:after="0" w:line="301" w:lineRule="auto"/>
        <w:rPr>
          <w:sz w:val="20"/>
          <w:szCs w:val="20"/>
          <w:color w:val="auto"/>
        </w:rPr>
      </w:pPr>
      <w:r>
        <w:rPr>
          <w:rFonts w:ascii="Arial" w:cs="Arial" w:eastAsia="Arial" w:hAnsi="Arial"/>
          <w:sz w:val="16"/>
          <w:szCs w:val="16"/>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typically inspects one or more clinical trial sites to ensure compliance with GCP requirements and the integrity of the data supporting safety and efficacy.</w:t>
      </w:r>
    </w:p>
    <w:p>
      <w:pPr>
        <w:spacing w:after="0" w:line="49" w:lineRule="exact"/>
        <w:rPr>
          <w:sz w:val="20"/>
          <w:szCs w:val="20"/>
          <w:color w:val="auto"/>
        </w:rPr>
      </w:pPr>
    </w:p>
    <w:p>
      <w:pPr>
        <w:ind w:right="20" w:firstLine="562"/>
        <w:spacing w:after="0" w:line="254" w:lineRule="auto"/>
        <w:rPr>
          <w:sz w:val="20"/>
          <w:szCs w:val="20"/>
          <w:color w:val="auto"/>
        </w:rPr>
      </w:pPr>
      <w:r>
        <w:rPr>
          <w:rFonts w:ascii="Arial" w:cs="Arial" w:eastAsia="Arial" w:hAnsi="Arial"/>
          <w:sz w:val="18"/>
          <w:szCs w:val="18"/>
          <w:color w:val="auto"/>
        </w:rPr>
        <w:t>After the FDA evaluates the NDA and the manufacturing facilities, it issues either an approval letter or a complete response letter, or CRL. A CRL generally outlines the deficiencies in the submission and may require substantial additional testing, or information, in order for the FDA to reconsider the application, such as additional clinical data, additional pivotal clinical trial(s), and/or other significant and time-consuming requirements related to clinical trials, preclinical studies or manufacturing. If a CRL is issued, the applicant may resubmit the NDA addressing all of the deficiencies identified in the letter, withdraw the application, engage in formal dispute resolution or request an opportunity for a hearing. The FDA has committed to reviewing resubmissions in two or six months depending on the type of information included. Even if such data and information are submitted, the FDA may decide that the NDA does not satisfy the criteria for approval.</w:t>
      </w:r>
    </w:p>
    <w:p>
      <w:pPr>
        <w:spacing w:after="0" w:line="87" w:lineRule="exact"/>
        <w:rPr>
          <w:sz w:val="20"/>
          <w:szCs w:val="20"/>
          <w:color w:val="auto"/>
        </w:rPr>
      </w:pPr>
    </w:p>
    <w:p>
      <w:pPr>
        <w:ind w:right="40" w:firstLine="562"/>
        <w:spacing w:after="0" w:line="253" w:lineRule="auto"/>
        <w:rPr>
          <w:sz w:val="20"/>
          <w:szCs w:val="20"/>
          <w:color w:val="auto"/>
        </w:rPr>
      </w:pPr>
      <w:r>
        <w:rPr>
          <w:rFonts w:ascii="Arial" w:cs="Arial" w:eastAsia="Arial" w:hAnsi="Arial"/>
          <w:sz w:val="18"/>
          <w:szCs w:val="18"/>
          <w:color w:val="auto"/>
        </w:rPr>
        <w:t>If, or when, the deficiencies identified in the CRL have been addressed to the FDA’s satisfaction in a resubmission of the NDA, the FDA will issue an approval letter. An approval letter authorizes commercial marketing of the drug with specific prescribing information for specific indications. As a condition of NDA approval, the FDA may require a risk evaluation and mitigation strategy, or REMS, to help ensure that the benefits of the drug outweigh the potential risks to patients.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88" w:lineRule="exact"/>
        <w:rPr>
          <w:sz w:val="20"/>
          <w:szCs w:val="20"/>
          <w:color w:val="auto"/>
        </w:rPr>
      </w:pPr>
    </w:p>
    <w:p>
      <w:pPr>
        <w:ind w:firstLine="562"/>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an NDA supplement or, in some cases, a new NDA,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80" w:firstLine="562"/>
        <w:spacing w:after="0" w:line="257" w:lineRule="auto"/>
        <w:rPr>
          <w:sz w:val="20"/>
          <w:szCs w:val="20"/>
          <w:color w:val="auto"/>
        </w:rPr>
      </w:pPr>
      <w:r>
        <w:rPr>
          <w:rFonts w:ascii="Arial" w:cs="Arial" w:eastAsia="Arial" w:hAnsi="Arial"/>
          <w:sz w:val="18"/>
          <w:szCs w:val="18"/>
          <w:color w:val="auto"/>
        </w:rPr>
        <w:t>Sponsors of clinical trials of FDA-regulated products, including drugs, are required to register and disclose certain clinical trial information.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117" w:lineRule="exact"/>
        <w:rPr>
          <w:sz w:val="20"/>
          <w:szCs w:val="20"/>
          <w:color w:val="auto"/>
        </w:rPr>
      </w:pPr>
    </w:p>
    <w:p>
      <w:pPr>
        <w:ind w:right="60" w:firstLine="562"/>
        <w:spacing w:after="0" w:line="259" w:lineRule="auto"/>
        <w:rPr>
          <w:sz w:val="20"/>
          <w:szCs w:val="20"/>
          <w:color w:val="auto"/>
        </w:rPr>
      </w:pPr>
      <w:r>
        <w:rPr>
          <w:rFonts w:ascii="Arial" w:cs="Arial" w:eastAsia="Arial" w:hAnsi="Arial"/>
          <w:sz w:val="18"/>
          <w:szCs w:val="18"/>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79" w:lineRule="exact"/>
        <w:rPr>
          <w:sz w:val="20"/>
          <w:szCs w:val="20"/>
          <w:color w:val="auto"/>
        </w:rPr>
      </w:pPr>
    </w:p>
    <w:p>
      <w:pPr>
        <w:ind w:right="100" w:firstLine="562"/>
        <w:spacing w:after="0" w:line="263" w:lineRule="auto"/>
        <w:rPr>
          <w:sz w:val="20"/>
          <w:szCs w:val="20"/>
          <w:color w:val="auto"/>
        </w:rPr>
      </w:pPr>
      <w:r>
        <w:rPr>
          <w:rFonts w:ascii="Arial" w:cs="Arial" w:eastAsia="Arial" w:hAnsi="Arial"/>
          <w:sz w:val="18"/>
          <w:szCs w:val="18"/>
          <w:color w:val="auto"/>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firstLine="562"/>
        <w:spacing w:after="0" w:line="254" w:lineRule="auto"/>
        <w:rPr>
          <w:sz w:val="20"/>
          <w:szCs w:val="20"/>
          <w:color w:val="auto"/>
        </w:rPr>
      </w:pPr>
      <w:r>
        <w:rPr>
          <w:rFonts w:ascii="Arial" w:cs="Arial" w:eastAsia="Arial" w:hAnsi="Arial"/>
          <w:sz w:val="18"/>
          <w:szCs w:val="18"/>
          <w:color w:val="auto"/>
        </w:rPr>
        <w:t>The first NDA applicant to receive FDA approval for a particular active moiety to treat a rare disease for which it has such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the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Breakthrough therapy designation</w:t>
      </w:r>
    </w:p>
    <w:p>
      <w:pPr>
        <w:spacing w:after="0" w:line="117" w:lineRule="exact"/>
        <w:rPr>
          <w:sz w:val="20"/>
          <w:szCs w:val="20"/>
          <w:color w:val="auto"/>
        </w:rPr>
      </w:pPr>
    </w:p>
    <w:p>
      <w:pPr>
        <w:ind w:right="220" w:firstLine="562"/>
        <w:spacing w:after="0" w:line="290" w:lineRule="auto"/>
        <w:rPr>
          <w:sz w:val="20"/>
          <w:szCs w:val="20"/>
          <w:color w:val="auto"/>
        </w:rPr>
      </w:pPr>
      <w:r>
        <w:rPr>
          <w:rFonts w:ascii="Arial" w:cs="Arial" w:eastAsia="Arial" w:hAnsi="Arial"/>
          <w:sz w:val="16"/>
          <w:szCs w:val="16"/>
          <w:color w:val="auto"/>
        </w:rPr>
        <w:t>The FDA is also required to expedite the development and review of applications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product candidate may request that the FDA designate the product candidate for a specific indication as a breakthrough therapy concurrent with, or after, the filing of the IND for the product candidate. The FDA must determine if the product candidate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approval</w:t>
      </w:r>
    </w:p>
    <w:p>
      <w:pPr>
        <w:spacing w:after="0" w:line="117" w:lineRule="exact"/>
        <w:rPr>
          <w:sz w:val="20"/>
          <w:szCs w:val="20"/>
          <w:color w:val="auto"/>
        </w:rPr>
      </w:pPr>
    </w:p>
    <w:p>
      <w:pPr>
        <w:ind w:firstLine="562"/>
        <w:spacing w:after="0" w:line="268" w:lineRule="auto"/>
        <w:rPr>
          <w:sz w:val="20"/>
          <w:szCs w:val="20"/>
          <w:color w:val="auto"/>
        </w:rPr>
      </w:pPr>
      <w:r>
        <w:rPr>
          <w:rFonts w:ascii="Arial" w:cs="Arial" w:eastAsia="Arial" w:hAnsi="Arial"/>
          <w:sz w:val="17"/>
          <w:szCs w:val="17"/>
          <w:color w:val="auto"/>
        </w:rPr>
        <w:t>Accelerated approval may be granted for a product that is intended to treat a serious or life-threatening condition and that generally provides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often also requires a sponsor’s agreement to conduct additional post-approval confirmatory studies to verify and describe the product’s clinical benefit. These confirmatory trials must be completed with due diligence and, in most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17" w:lineRule="exact"/>
        <w:rPr>
          <w:sz w:val="20"/>
          <w:szCs w:val="20"/>
          <w:color w:val="auto"/>
        </w:rPr>
      </w:pPr>
    </w:p>
    <w:p>
      <w:pPr>
        <w:ind w:right="60" w:firstLine="562"/>
        <w:spacing w:after="0" w:line="293" w:lineRule="auto"/>
        <w:rPr>
          <w:sz w:val="20"/>
          <w:szCs w:val="20"/>
          <w:color w:val="auto"/>
        </w:rPr>
      </w:pPr>
      <w:r>
        <w:rPr>
          <w:rFonts w:ascii="Arial" w:cs="Arial" w:eastAsia="Arial" w:hAnsi="Arial"/>
          <w:sz w:val="16"/>
          <w:szCs w:val="16"/>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 Unless otherwise required by regulation, PREA does not apply to any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the FDA determines to be substantially relevant to the growth or progression of a pediatric cancer.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40" w:firstLine="562"/>
        <w:spacing w:after="0" w:line="257" w:lineRule="auto"/>
        <w:rPr>
          <w:sz w:val="20"/>
          <w:szCs w:val="20"/>
          <w:color w:val="auto"/>
        </w:rPr>
      </w:pPr>
      <w:r>
        <w:rPr>
          <w:rFonts w:ascii="Arial" w:cs="Arial" w:eastAsia="Arial" w:hAnsi="Arial"/>
          <w:sz w:val="18"/>
          <w:szCs w:val="18"/>
          <w:color w:val="auto"/>
        </w:rPr>
        <w:t>The Best Pharmaceuticals for Children Act, or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140" w:firstLine="562"/>
        <w:spacing w:after="0" w:line="259" w:lineRule="auto"/>
        <w:rPr>
          <w:sz w:val="20"/>
          <w:szCs w:val="20"/>
          <w:color w:val="auto"/>
        </w:rPr>
      </w:pPr>
      <w:r>
        <w:rPr>
          <w:rFonts w:ascii="Arial" w:cs="Arial" w:eastAsia="Arial" w:hAnsi="Arial"/>
          <w:sz w:val="18"/>
          <w:szCs w:val="18"/>
          <w:color w:val="auto"/>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w:t>
      </w:r>
    </w:p>
    <w:p>
      <w:pPr>
        <w:spacing w:after="0" w:line="79" w:lineRule="exact"/>
        <w:rPr>
          <w:sz w:val="20"/>
          <w:szCs w:val="20"/>
          <w:color w:val="auto"/>
        </w:rPr>
      </w:pPr>
    </w:p>
    <w:p>
      <w:pPr>
        <w:ind w:firstLine="562"/>
        <w:spacing w:after="0" w:line="270" w:lineRule="auto"/>
        <w:rPr>
          <w:sz w:val="20"/>
          <w:szCs w:val="20"/>
          <w:color w:val="auto"/>
        </w:rPr>
      </w:pPr>
      <w:r>
        <w:rPr>
          <w:rFonts w:ascii="Arial" w:cs="Arial" w:eastAsia="Arial" w:hAnsi="Arial"/>
          <w:sz w:val="17"/>
          <w:szCs w:val="17"/>
          <w:color w:val="auto"/>
        </w:rPr>
        <w:t>Adverse event reporting and submission of periodic reports are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current good manufacturing practices, or cGMPs, after approval. Drug manufacturers and certain of their subcontractors are required to register their establishments with the FDA and certain state agencies. Registration with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pediatric disease designation and priority review vouchers</w:t>
      </w:r>
    </w:p>
    <w:p>
      <w:pPr>
        <w:spacing w:after="0" w:line="117" w:lineRule="exact"/>
        <w:rPr>
          <w:sz w:val="20"/>
          <w:szCs w:val="20"/>
          <w:color w:val="auto"/>
        </w:rPr>
      </w:pPr>
    </w:p>
    <w:p>
      <w:pPr>
        <w:ind w:right="140" w:firstLine="562"/>
        <w:spacing w:after="0" w:line="289" w:lineRule="auto"/>
        <w:rPr>
          <w:sz w:val="20"/>
          <w:szCs w:val="20"/>
          <w:color w:val="auto"/>
        </w:rPr>
      </w:pPr>
      <w:r>
        <w:rPr>
          <w:rFonts w:ascii="Arial" w:cs="Arial" w:eastAsia="Arial" w:hAnsi="Arial"/>
          <w:sz w:val="16"/>
          <w:szCs w:val="16"/>
          <w:color w:val="auto"/>
        </w:rPr>
        <w:t>Under the Rare Pediatric Disease Priority Review Voucher program, the FDA may award a priority review voucher to the sponsor of an approved marketing application for a product that treats or prevents a rare pediatric disease. The voucher entitles the sponsor to priority review of one subsequent marketing application. A voucher may be awarded only for an approved rare pediatric disease product application. A rare pediatric disease product application is an NDA for a drug (in the case of a small molecule) that treats or prevents a serious or life-threatening disease in which the serious or life-threatening manifestations primarily affect individuals aged from birth to 18 years; in general, the disease must affect fewer than 200,000 such individuals in the United States; the NDA must be deemed eligible for priority review; the NDA must not seek approval for a different adult indication (i.e., for a different disease/condition); the drug must not contain an active ingredient that has been previously approved by the FDA; and the NDA must rely on clinical data derived from studies examining a pediatric population such that the approved product can be adequately labeled for the pediatric population. Before NDA approval, the FDA may designate a product in development as a product for a rare pediatric disease.</w:t>
      </w:r>
    </w:p>
    <w:p>
      <w:pPr>
        <w:spacing w:after="0" w:line="58" w:lineRule="exact"/>
        <w:rPr>
          <w:sz w:val="20"/>
          <w:szCs w:val="20"/>
          <w:color w:val="auto"/>
        </w:rPr>
      </w:pPr>
    </w:p>
    <w:p>
      <w:pPr>
        <w:ind w:right="20" w:firstLine="562"/>
        <w:spacing w:after="0" w:line="271" w:lineRule="auto"/>
        <w:rPr>
          <w:sz w:val="20"/>
          <w:szCs w:val="20"/>
          <w:color w:val="auto"/>
        </w:rPr>
      </w:pPr>
      <w:r>
        <w:rPr>
          <w:rFonts w:ascii="Arial" w:cs="Arial" w:eastAsia="Arial" w:hAnsi="Arial"/>
          <w:sz w:val="17"/>
          <w:szCs w:val="17"/>
          <w:color w:val="auto"/>
        </w:rPr>
        <w:t>To receive a rare pediatric disease priority review voucher, a sponsor must notify the FDA, upon submission of the NDA, of its intent to request a voucher. If the FDA determines that the NDA is a rare pediatric disease product application, and if the NDA is approved, the FDA will award the sponsor of the NDA a voucher upon approval of the NDA. The FDA may revoke a rare pediatric disease priority review voucher if the product for which it was awarded is not marketed in the United States within 365 days of the product’s approval. The voucher, which is transferable to another sponsor, may be submitted with a subsequent NDA or biologics license application, or BLA, and entitles the holder to priority review of the accompanying NDA or BLA. The sponsor submitting the priority review voucher must notify the FDA of its intent to submit the voucher with the NDA or BLA at least 90 days prior to submission of the NDA or BLA and must pay a priority review user fee in addition to any other required user fee. The FDA must take action on an NDA or BLA under priority review within six months of receipt of the NDA or BLA.</w:t>
      </w:r>
    </w:p>
    <w:p>
      <w:pPr>
        <w:spacing w:after="0" w:line="70" w:lineRule="exact"/>
        <w:rPr>
          <w:sz w:val="20"/>
          <w:szCs w:val="20"/>
          <w:color w:val="auto"/>
        </w:rPr>
      </w:pPr>
    </w:p>
    <w:p>
      <w:pPr>
        <w:ind w:right="120" w:firstLine="562"/>
        <w:spacing w:after="0" w:line="342" w:lineRule="auto"/>
        <w:rPr>
          <w:sz w:val="20"/>
          <w:szCs w:val="20"/>
          <w:color w:val="auto"/>
        </w:rPr>
      </w:pPr>
      <w:r>
        <w:rPr>
          <w:rFonts w:ascii="Arial" w:cs="Arial" w:eastAsia="Arial" w:hAnsi="Arial"/>
          <w:sz w:val="16"/>
          <w:szCs w:val="16"/>
          <w:color w:val="auto"/>
        </w:rPr>
        <w:t>In December 2020, the program was reauthorized, allowing a product that is designated as a product for a rare pediatric disease prior to September 30, 2024, to be eligible to receive a rare pediatric disease priority review voucher upon approval of a qualifying NDA prior to September 30, 2026.</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The Hatch-Waxman amendments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117"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Under the Drug Price Competition and Patent Term Restoration Act of 1984, commonly referred to as the Hatch Waxman Amendments, NDA applicants are required to identify to the FDA each patent whose claims cover the applicant’s drug or approved method of using the drug. Upon approval of a drug, the applicant must update its listing of patents to the NDA in a timely fashion and each of the patents listed in the application for the drug is then published in the FDA’s Approved Drug Products with Therapeutic Equivalence Evaluations, commonly known as the Orange Book.</w:t>
      </w:r>
    </w:p>
    <w:p>
      <w:pPr>
        <w:spacing w:after="0" w:line="63" w:lineRule="exact"/>
        <w:rPr>
          <w:sz w:val="20"/>
          <w:szCs w:val="20"/>
          <w:color w:val="auto"/>
        </w:rPr>
      </w:pPr>
    </w:p>
    <w:p>
      <w:pPr>
        <w:ind w:right="160" w:firstLine="509"/>
        <w:spacing w:after="0" w:line="272" w:lineRule="auto"/>
        <w:rPr>
          <w:sz w:val="20"/>
          <w:szCs w:val="20"/>
          <w:color w:val="auto"/>
        </w:rPr>
      </w:pPr>
      <w:r>
        <w:rPr>
          <w:rFonts w:ascii="Arial" w:cs="Arial" w:eastAsia="Arial" w:hAnsi="Arial"/>
          <w:sz w:val="17"/>
          <w:szCs w:val="17"/>
          <w:color w:val="auto"/>
        </w:rPr>
        <w:t>Drugs listed in the Orange Book can, in turn, be cited by potential generic competitors in support of approval of an abbreviated new drug application, or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69"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 carves out) any language regarding the patented method-of-use rather than certify to a listed method-of-use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 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a settlement order or consent decree is signed and entered by the court stating that the patent that is the subject of the Paragraph IV certification is invalid or not infringed, or a decision in the patent case that is favorable to the ANDA applicant.</w:t>
      </w:r>
    </w:p>
    <w:p>
      <w:pPr>
        <w:spacing w:after="0" w:line="279"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the FDA permits, the omission of such exclusivity-protected information from the ANDA prescribing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Exclusivity</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Upon NDA approval of a new chemical entity, or NCE, which is a drug that contains no active moiety that has been approved by the FDA in any other NDA, that drug receives five years of marketing exclusivity during which the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right="100" w:firstLine="509"/>
        <w:spacing w:after="0" w:line="279" w:lineRule="auto"/>
        <w:rPr>
          <w:sz w:val="20"/>
          <w:szCs w:val="20"/>
          <w:color w:val="auto"/>
        </w:rPr>
      </w:pPr>
      <w:r>
        <w:rPr>
          <w:rFonts w:ascii="Arial" w:cs="Arial" w:eastAsia="Arial" w:hAnsi="Arial"/>
          <w:sz w:val="17"/>
          <w:szCs w:val="17"/>
          <w:color w:val="auto"/>
        </w:rPr>
        <w:t>Certain changes to an approved drug, such as the approval of a new indication, the approval of a new strength, and the approval of a new condition of use, are associated with a three-year period of exclusivity from the date of approval during which the FDA cannot approve an ANDA for a generic drug that includes the change. In some instances, an ANDA applicant may receive approval prior to expiration of the three-year exclusivity if the applicant seeks, and the FDA permits, the omission of such exclusivity-protected information from the ANDA package insert.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extension</w:t>
      </w:r>
    </w:p>
    <w:p>
      <w:pPr>
        <w:spacing w:after="0" w:line="117" w:lineRule="exact"/>
        <w:rPr>
          <w:sz w:val="20"/>
          <w:szCs w:val="20"/>
          <w:color w:val="auto"/>
        </w:rPr>
      </w:pPr>
    </w:p>
    <w:p>
      <w:pPr>
        <w:ind w:right="80" w:firstLine="562"/>
        <w:spacing w:after="0" w:line="296" w:lineRule="auto"/>
        <w:rPr>
          <w:sz w:val="20"/>
          <w:szCs w:val="20"/>
          <w:color w:val="auto"/>
        </w:rPr>
      </w:pPr>
      <w:r>
        <w:rPr>
          <w:rFonts w:ascii="Arial" w:cs="Arial" w:eastAsia="Arial" w:hAnsi="Arial"/>
          <w:sz w:val="16"/>
          <w:szCs w:val="16"/>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is calculated as half of the drug’s testing phase (the time between IND application and NDA submission) and all of the review phase (the time between NDA submission and approval) up to a maximum of five years. The time can be reduced for any time the FDA determines that the applicant did not pursue approval with due diligence.</w:t>
      </w:r>
    </w:p>
    <w:p>
      <w:pPr>
        <w:spacing w:after="0" w:line="53"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The USPTO, in consultation with the FDA, reviews and approves the application for any patent term extension or restoration. However, the USPTO may decide not to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63"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The total patent term after the extension may not exceed 14 years, and only one patent can be extended for any single product.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117" w:lineRule="exact"/>
        <w:rPr>
          <w:sz w:val="20"/>
          <w:szCs w:val="20"/>
          <w:color w:val="auto"/>
        </w:rPr>
      </w:pPr>
    </w:p>
    <w:p>
      <w:pPr>
        <w:ind w:right="160" w:firstLine="562"/>
        <w:spacing w:after="0" w:line="254" w:lineRule="auto"/>
        <w:rPr>
          <w:sz w:val="20"/>
          <w:szCs w:val="20"/>
          <w:color w:val="auto"/>
        </w:rPr>
      </w:pPr>
      <w:r>
        <w:rPr>
          <w:rFonts w:ascii="Arial" w:cs="Arial" w:eastAsia="Arial" w:hAnsi="Arial"/>
          <w:sz w:val="18"/>
          <w:szCs w:val="18"/>
          <w:color w:val="auto"/>
        </w:rPr>
        <w:t>If use of an in vitro diagnostic is essential to safe and effective use of a drug product, then the FDA generally will require approval or clearance of the diagnostic, known as a companion diagnostic, at the same time that the FDA approves the drug product. The FDA has generally required in vitro companion diagnostics intended to select the patients who will respond to cancer treatment to obtain a pre-market approval, or PMA, for that diagnostic simultaneously with approval of the drug. The review of these in vitro companion diagnostics in conjunction with the review of a cancer therapeutic involves coordination of review by the FDA’s Center for Drug Evaluation and Research and by the FDA’s Center for Devices and Radiological Health. Approval and clearance of a companion diagnostic also requires a high level of coordination between the drug manufacturer and device manufacturer, if different companies.</w:t>
      </w:r>
    </w:p>
    <w:p>
      <w:pPr>
        <w:spacing w:after="0" w:line="87" w:lineRule="exact"/>
        <w:rPr>
          <w:sz w:val="20"/>
          <w:szCs w:val="20"/>
          <w:color w:val="auto"/>
        </w:rPr>
      </w:pPr>
    </w:p>
    <w:p>
      <w:pPr>
        <w:ind w:right="180" w:firstLine="562"/>
        <w:spacing w:after="0" w:line="279" w:lineRule="auto"/>
        <w:rPr>
          <w:sz w:val="20"/>
          <w:szCs w:val="20"/>
          <w:color w:val="auto"/>
        </w:rPr>
      </w:pPr>
      <w:r>
        <w:rPr>
          <w:rFonts w:ascii="Arial" w:cs="Arial" w:eastAsia="Arial" w:hAnsi="Arial"/>
          <w:sz w:val="17"/>
          <w:szCs w:val="17"/>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 substantial application fee, which is typically increased annually.</w:t>
      </w:r>
    </w:p>
    <w:p>
      <w:pPr>
        <w:spacing w:after="0" w:line="63"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In addition, PMAs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right="20" w:firstLine="562"/>
        <w:spacing w:after="0" w:line="291"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58" w:lineRule="exact"/>
        <w:rPr>
          <w:sz w:val="20"/>
          <w:szCs w:val="20"/>
          <w:color w:val="auto"/>
        </w:rPr>
      </w:pPr>
    </w:p>
    <w:p>
      <w:pPr>
        <w:ind w:right="40" w:firstLine="562"/>
        <w:spacing w:after="0" w:line="293" w:lineRule="auto"/>
        <w:rPr>
          <w:sz w:val="20"/>
          <w:szCs w:val="20"/>
          <w:color w:val="auto"/>
        </w:rPr>
      </w:pPr>
      <w:r>
        <w:rPr>
          <w:rFonts w:ascii="Arial" w:cs="Arial" w:eastAsia="Arial" w:hAnsi="Arial"/>
          <w:sz w:val="16"/>
          <w:szCs w:val="16"/>
          <w:color w:val="auto"/>
        </w:rPr>
        <w:t>After a device is placed on the market, it remains subject to significant regulatory requirements. Medical devices may be marketed only for the uses and indications for which they are cleared or approved. Device manufacturers must also register their establishment(s), including payment of an annual establishment registration fee, and list their device(s)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140" w:firstLine="562"/>
        <w:spacing w:after="0" w:line="263" w:lineRule="auto"/>
        <w:rPr>
          <w:sz w:val="20"/>
          <w:szCs w:val="20"/>
          <w:color w:val="auto"/>
        </w:rPr>
      </w:pPr>
      <w:r>
        <w:rPr>
          <w:rFonts w:ascii="Arial" w:cs="Arial" w:eastAsia="Arial" w:hAnsi="Arial"/>
          <w:sz w:val="18"/>
          <w:szCs w:val="18"/>
          <w:color w:val="auto"/>
        </w:rPr>
        <w:t>In addition to FDA restrictions on marketing of pharmaceutical products, several other types of state and federal laws have been applied to restrict certain general business and marketing practices in the pharmaceutical industry. These laws include anti-kickback, false claims, transparency and health information privacy laws and other healthcare laws and regulations.</w:t>
      </w:r>
    </w:p>
    <w:p>
      <w:pPr>
        <w:spacing w:after="0" w:line="76" w:lineRule="exact"/>
        <w:rPr>
          <w:sz w:val="20"/>
          <w:szCs w:val="20"/>
          <w:color w:val="auto"/>
        </w:rPr>
      </w:pPr>
    </w:p>
    <w:p>
      <w:pPr>
        <w:ind w:right="120" w:firstLine="562"/>
        <w:spacing w:after="0" w:line="288"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Patient Protection and Affordable Care Act as amended by the Health Care and Education Reconciliation Act, collectively, the ACA, amended the intent element of the federal Anti-Kickback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Additionally, the ACA amended the federal Anti-Kickback Statute such that a violation of that statute can serve as a basis for liability under the federal civil False Claims Act.</w:t>
      </w:r>
    </w:p>
    <w:p>
      <w:pPr>
        <w:spacing w:after="0" w:line="60" w:lineRule="exact"/>
        <w:rPr>
          <w:sz w:val="20"/>
          <w:szCs w:val="20"/>
          <w:color w:val="auto"/>
        </w:rPr>
      </w:pPr>
    </w:p>
    <w:p>
      <w:pPr>
        <w:ind w:firstLine="562"/>
        <w:spacing w:after="0" w:line="289" w:lineRule="auto"/>
        <w:rPr>
          <w:sz w:val="20"/>
          <w:szCs w:val="20"/>
          <w:color w:val="auto"/>
        </w:rPr>
      </w:pPr>
      <w:r>
        <w:rPr>
          <w:rFonts w:ascii="Arial" w:cs="Arial" w:eastAsia="Arial" w:hAnsi="Arial"/>
          <w:sz w:val="16"/>
          <w:szCs w:val="16"/>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80" w:firstLine="562"/>
        <w:spacing w:after="0" w:line="254" w:lineRule="auto"/>
        <w:rPr>
          <w:sz w:val="20"/>
          <w:szCs w:val="20"/>
          <w:color w:val="auto"/>
        </w:rPr>
      </w:pPr>
      <w:r>
        <w:rPr>
          <w:rFonts w:ascii="Arial" w:cs="Arial" w:eastAsia="Arial" w:hAnsi="Arial"/>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or receive a reimbursable item or service from a particular supplier, and the additional federal criminal statutes created by the Health Insurance Portability and Accountability Act of 1996, or HIPAA, which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87" w:lineRule="exact"/>
        <w:rPr>
          <w:sz w:val="20"/>
          <w:szCs w:val="20"/>
          <w:color w:val="auto"/>
        </w:rPr>
      </w:pPr>
    </w:p>
    <w:p>
      <w:pPr>
        <w:ind w:right="60" w:firstLine="562"/>
        <w:spacing w:after="0" w:line="269" w:lineRule="auto"/>
        <w:rPr>
          <w:sz w:val="20"/>
          <w:szCs w:val="20"/>
          <w:color w:val="auto"/>
        </w:rPr>
      </w:pPr>
      <w:r>
        <w:rPr>
          <w:rFonts w:ascii="Arial" w:cs="Arial" w:eastAsia="Arial" w:hAnsi="Arial"/>
          <w:sz w:val="17"/>
          <w:szCs w:val="17"/>
          <w:color w:val="auto"/>
        </w:rPr>
        <w:t>In addition, HIPAA, as amended by the Health Information Technology for Economic and Clinical Health Act of 2009, or HITECH, and their respective implementing regulations, including the Final Omnibus Rule published on January 25, 2013, impose obligations on certain healthcare providers, health plans, and healthcare clearinghouses, known as covered entities, as well as their business associates and their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 and often are not preempted by HIPAA.</w:t>
      </w:r>
    </w:p>
    <w:p>
      <w:pPr>
        <w:spacing w:after="0" w:line="77" w:lineRule="exact"/>
        <w:rPr>
          <w:sz w:val="20"/>
          <w:szCs w:val="20"/>
          <w:color w:val="auto"/>
        </w:rPr>
      </w:pPr>
    </w:p>
    <w:p>
      <w:pPr>
        <w:ind w:firstLine="562"/>
        <w:spacing w:after="0" w:line="254" w:lineRule="auto"/>
        <w:rPr>
          <w:sz w:val="20"/>
          <w:szCs w:val="20"/>
          <w:color w:val="auto"/>
        </w:rPr>
      </w:pPr>
      <w:r>
        <w:rPr>
          <w:rFonts w:ascii="Arial" w:cs="Arial" w:eastAsia="Arial" w:hAnsi="Arial"/>
          <w:sz w:val="18"/>
          <w:szCs w:val="18"/>
          <w:color w:val="auto"/>
        </w:rPr>
        <w:t>Further, pursuant to the ACA, the Centers for Medicare &amp; Medicaid Services, or CMS, issued a final rule that requires certain manufacturers of prescription drugs to collect and annually report information on certain payments or transfers of value to physicians (defined to include doctors, dentists, optometrists, podiatrists and chiropractors) and teaching hospitals, as well as ownership and investment interests held by physicians and their immediate family members. As of January 1, 2021, manufacturers must collect information regarding payments and other transfers of value to physician assistants, nurse practitioners, clinical nurse specialists, anesthesiologist assistants, certified registered nurse anesthetists, and certified nurse-midwives for reporting in the following year. The reported data is made available in searchable form on a public website on an annual basis. Failure to submit required information may result in civil monetary penalties.</w:t>
      </w:r>
    </w:p>
    <w:p>
      <w:pPr>
        <w:spacing w:after="0" w:line="87" w:lineRule="exact"/>
        <w:rPr>
          <w:sz w:val="20"/>
          <w:szCs w:val="20"/>
          <w:color w:val="auto"/>
        </w:rPr>
      </w:pPr>
    </w:p>
    <w:p>
      <w:pPr>
        <w:ind w:right="180" w:firstLine="562"/>
        <w:spacing w:after="0" w:line="288" w:lineRule="auto"/>
        <w:rPr>
          <w:sz w:val="20"/>
          <w:szCs w:val="20"/>
          <w:color w:val="auto"/>
        </w:rPr>
      </w:pPr>
      <w:r>
        <w:rPr>
          <w:rFonts w:ascii="Arial" w:cs="Arial" w:eastAsia="Arial" w:hAnsi="Arial"/>
          <w:sz w:val="16"/>
          <w:szCs w:val="16"/>
          <w:color w:val="auto"/>
        </w:rPr>
        <w:t>We may also be subject to analogous state and foreign anti-kickback and false claims laws that may apply to sales or marketing arrangements and claims involving healthcare items or services reimbursed by non-governmental third-party payors, including private insurers, or that apply regardless of payor. In addition, several states now require prescription drug companies to report certain expenses relating to the marketing and promotion of drug products and to report gifts and payments to individual healthcare practitioners in those states. Other states prohibit various marketing-related activities, such as the provision of certain kinds of gifts or meals. Further, certain states require the posting of information relating to clinical studies and their outcomes. Some states require the reporting of certain drug pricing information, including information pertaining to and justifying price increases. In addition, certain states require pharmaceutical companies to implement compliance programs and/or marketing codes. Several additional states are considering similar proposals. Certain states and local jurisdictions also require the registration of pharmaceutical sales representatives. Additionally, we may also be subject to state and foreign laws governing the privacy and security of health information in some circumstances, many of which differ from each other in significant ways and often are not preempted by HIPAA, thus complicating compliance efforts.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firstLine="562"/>
        <w:spacing w:after="0" w:line="271" w:lineRule="auto"/>
        <w:rPr>
          <w:sz w:val="20"/>
          <w:szCs w:val="20"/>
          <w:color w:val="auto"/>
        </w:rPr>
      </w:pPr>
      <w:r>
        <w:rPr>
          <w:rFonts w:ascii="Arial" w:cs="Arial" w:eastAsia="Arial" w:hAnsi="Arial"/>
          <w:sz w:val="17"/>
          <w:szCs w:val="17"/>
          <w:color w:val="auto"/>
        </w:rPr>
        <w:t>Efforts to ensure that business arrangements with third parties comply with applicable state, federal, and foreign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right="40" w:firstLine="562"/>
        <w:spacing w:after="0" w:line="267" w:lineRule="auto"/>
        <w:rPr>
          <w:sz w:val="20"/>
          <w:szCs w:val="20"/>
          <w:color w:val="auto"/>
        </w:rPr>
      </w:pPr>
      <w:r>
        <w:rPr>
          <w:rFonts w:ascii="Arial" w:cs="Arial" w:eastAsia="Arial" w:hAnsi="Arial"/>
          <w:sz w:val="17"/>
          <w:szCs w:val="17"/>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prescribed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and Medicaid Innovation at CMS to test innovative payment and service delivery models to lower Medicare and Medicaid spending, potentially including prescription drug spending.</w:t>
      </w:r>
    </w:p>
    <w:p>
      <w:pPr>
        <w:spacing w:after="0" w:line="77" w:lineRule="exact"/>
        <w:rPr>
          <w:sz w:val="20"/>
          <w:szCs w:val="20"/>
          <w:color w:val="auto"/>
        </w:rPr>
      </w:pPr>
    </w:p>
    <w:p>
      <w:pPr>
        <w:ind w:firstLine="562"/>
        <w:spacing w:after="0" w:line="257" w:lineRule="auto"/>
        <w:rPr>
          <w:sz w:val="20"/>
          <w:szCs w:val="20"/>
          <w:color w:val="auto"/>
        </w:rPr>
      </w:pPr>
      <w:r>
        <w:rPr>
          <w:rFonts w:ascii="Arial" w:cs="Arial" w:eastAsia="Arial" w:hAnsi="Arial"/>
          <w:sz w:val="18"/>
          <w:szCs w:val="18"/>
          <w:color w:val="auto"/>
        </w:rPr>
        <w:t>There have been executive, legislative and judicial efforts to modify, repeal, or otherwise invalidate all, or certain provisions of, the ACA. On June 17, 2021, the U.S. Supreme Court dismissed a challenge on procedural grounds that argued that the ACA is unconstitutional in its entirety because the “individual mandate” was repealed by Congress. Thus, the ACA will remain in effect in its current form. It is possible that the ACA will be subject to judicial or Congressional challenges in the future. It is uncertain how the U.S. Supreme Court ruling, other such litigation, or the healthcare measures of the Biden administration will impact the ACA and our business.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firstLine="562"/>
        <w:spacing w:after="0" w:line="268"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to reduce healthcare expenditures. U.S. federal government agencies also currently face potentially significant spending reductions, which may further impact healthcare expenditures.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 2030, with the exception of a temporary suspension from May 1, 2020 through March 31, 2022. The Medicare reductions were phased back in starting with a 1% reduction in effect from April 1, 2022 to June 30, 2022 before increasing to the full 2% reduction after June 30, 2022.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74" w:lineRule="exact"/>
        <w:rPr>
          <w:sz w:val="20"/>
          <w:szCs w:val="20"/>
          <w:color w:val="auto"/>
        </w:rPr>
      </w:pPr>
    </w:p>
    <w:p>
      <w:pPr>
        <w:ind w:right="100" w:firstLine="562"/>
        <w:spacing w:after="0" w:line="269" w:lineRule="auto"/>
        <w:rPr>
          <w:sz w:val="20"/>
          <w:szCs w:val="20"/>
          <w:color w:val="auto"/>
        </w:rPr>
      </w:pPr>
      <w:r>
        <w:rPr>
          <w:rFonts w:ascii="Arial" w:cs="Arial" w:eastAsia="Arial" w:hAnsi="Arial"/>
          <w:sz w:val="17"/>
          <w:szCs w:val="17"/>
          <w:color w:val="auto"/>
        </w:rPr>
        <w:t>Recently,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of the United States announced several executive orders related to prescription drug pricing that sought to implement several of the administration’s proposals. As a result, the FDA also released a final rule on September 24, 2020 providing guidance for states to build and submit importation plans for drugs from Canada. The Biden and Trump administrations both issued executive orders intended to favor government procurement from domestic manufacturers. In addition, the Trump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 It is unclear whether this executive order or something similar will be implemented by the Biden administration.</w:t>
      </w:r>
    </w:p>
    <w:p>
      <w:pPr>
        <w:spacing w:after="0" w:line="71" w:lineRule="exact"/>
        <w:rPr>
          <w:sz w:val="20"/>
          <w:szCs w:val="20"/>
          <w:color w:val="auto"/>
        </w:rPr>
      </w:pPr>
    </w:p>
    <w:p>
      <w:pPr>
        <w:ind w:right="20" w:firstLine="562"/>
        <w:spacing w:after="0" w:line="270" w:lineRule="auto"/>
        <w:rPr>
          <w:sz w:val="20"/>
          <w:szCs w:val="20"/>
          <w:color w:val="auto"/>
        </w:rPr>
      </w:pPr>
      <w:r>
        <w:rPr>
          <w:rFonts w:ascii="Arial" w:cs="Arial" w:eastAsia="Arial" w:hAnsi="Arial"/>
          <w:sz w:val="17"/>
          <w:szCs w:val="17"/>
          <w:color w:val="auto"/>
        </w:rPr>
        <w:t>Further, on November 20, 2020, the U.S Department of Health and Human Services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This deadline was pushed back to January 1, 2027 by the Bipartisan Safer Communities Act. The Inflation Reduction Act of 2022, or the IRA, further delayed implementation of this rule to January 1, 2032.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firstLine="562"/>
        <w:spacing w:after="0" w:line="287" w:lineRule="auto"/>
        <w:rPr>
          <w:sz w:val="20"/>
          <w:szCs w:val="20"/>
          <w:color w:val="auto"/>
        </w:rPr>
      </w:pPr>
      <w:r>
        <w:rPr>
          <w:rFonts w:ascii="Arial" w:cs="Arial" w:eastAsia="Arial" w:hAnsi="Arial"/>
          <w:sz w:val="16"/>
          <w:szCs w:val="16"/>
          <w:color w:val="auto"/>
        </w:rPr>
        <w:t>Most recently, in August 2022, President Biden signed into law the IRA, which will, among other things, allows the U.S. Department of Health and Human Services, or HHS, to negotiate the selling price of certain drugs and biologics that CMS reimburses under Medicare Part B and Part D, although this will only apply to high-expenditure single-source drugs that have been approved for at least seven years (11 years for biologics). The negotiated prices, which will first become effective in 2026, will be capped at a statutory ceiling price beginning in October 2023, penalize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w:t>
      </w:r>
    </w:p>
    <w:p>
      <w:pPr>
        <w:spacing w:after="0" w:line="64" w:lineRule="exact"/>
        <w:rPr>
          <w:sz w:val="20"/>
          <w:szCs w:val="20"/>
          <w:color w:val="auto"/>
        </w:rPr>
      </w:pPr>
    </w:p>
    <w:p>
      <w:pPr>
        <w:ind w:right="100" w:firstLine="562"/>
        <w:spacing w:after="0" w:line="286"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that additional state and federal healthcare reform measures will be adopted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40" w:firstLine="562"/>
        <w:spacing w:after="0" w:line="272" w:lineRule="auto"/>
        <w:rPr>
          <w:sz w:val="20"/>
          <w:szCs w:val="20"/>
          <w:color w:val="auto"/>
        </w:rPr>
      </w:pPr>
      <w:r>
        <w:rPr>
          <w:rFonts w:ascii="Arial" w:cs="Arial" w:eastAsia="Arial" w:hAnsi="Arial"/>
          <w:sz w:val="17"/>
          <w:szCs w:val="17"/>
          <w:color w:val="auto"/>
        </w:rPr>
        <w:t>Patients in the United States and elsewhere generally rely on third-party payors to reimburse part or all of the costs associated with their prescription drugs. Accordingly, market acceptance of our drug products is dependent on the extent to which third-party coverage and reimbursement is available from government health administration authorities (including in connection with government healthcare programs, such as Medicare and Medicaid in the United States), private healthcare insurers and other healthcare funding organizations. Significant uncertainty exists as to the coverage and reimbursement status of any drug products for which we may obtain regulatory approval. Coverage decisions may not favor new drug products when more established or lower-cost therapeutic alternatives are already available. Patients are unlikely to use our products unless reimbursement is adequate to cover all or a significant portion of the cost of our drug products.</w:t>
      </w:r>
    </w:p>
    <w:p>
      <w:pPr>
        <w:spacing w:after="0" w:line="69" w:lineRule="exact"/>
        <w:rPr>
          <w:sz w:val="20"/>
          <w:szCs w:val="20"/>
          <w:color w:val="auto"/>
        </w:rPr>
      </w:pPr>
    </w:p>
    <w:p>
      <w:pPr>
        <w:ind w:right="60" w:firstLine="562"/>
        <w:spacing w:after="0" w:line="271" w:lineRule="auto"/>
        <w:rPr>
          <w:sz w:val="20"/>
          <w:szCs w:val="20"/>
          <w:color w:val="auto"/>
        </w:rPr>
      </w:pPr>
      <w:r>
        <w:rPr>
          <w:rFonts w:ascii="Arial" w:cs="Arial" w:eastAsia="Arial" w:hAnsi="Arial"/>
          <w:sz w:val="17"/>
          <w:szCs w:val="17"/>
          <w:color w:val="auto"/>
        </w:rPr>
        <w:t>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 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w:t>
      </w:r>
    </w:p>
    <w:p>
      <w:pPr>
        <w:spacing w:after="0" w:line="70" w:lineRule="exact"/>
        <w:rPr>
          <w:sz w:val="20"/>
          <w:szCs w:val="20"/>
          <w:color w:val="auto"/>
        </w:rPr>
      </w:pPr>
    </w:p>
    <w:p>
      <w:pPr>
        <w:ind w:right="100" w:firstLine="562"/>
        <w:spacing w:after="0" w:line="259" w:lineRule="auto"/>
        <w:rPr>
          <w:sz w:val="20"/>
          <w:szCs w:val="20"/>
          <w:color w:val="auto"/>
        </w:rPr>
      </w:pPr>
      <w:r>
        <w:rPr>
          <w:rFonts w:ascii="Arial" w:cs="Arial" w:eastAsia="Arial" w:hAnsi="Arial"/>
          <w:sz w:val="18"/>
          <w:szCs w:val="18"/>
          <w:color w:val="auto"/>
        </w:rPr>
        <w:t>The market for our product candidates will depend significantly on access to third-party payors’ drug formularies or lists of medications for which third-party payors provide coverage and reimbursement. Competition to be included in such formularies often leads to downward pricing pressures. In particular, third-party payors may refuse to include a particular reference listed drug in their formularies or otherwise restrict patient access to a reference listed drug when a less costly generic equivalent or other alternative is available.</w:t>
      </w:r>
    </w:p>
    <w:p>
      <w:pPr>
        <w:spacing w:after="0" w:line="79" w:lineRule="exact"/>
        <w:rPr>
          <w:sz w:val="20"/>
          <w:szCs w:val="20"/>
          <w:color w:val="auto"/>
        </w:rPr>
      </w:pPr>
    </w:p>
    <w:p>
      <w:pPr>
        <w:ind w:right="100" w:firstLine="562"/>
        <w:spacing w:after="0" w:line="301" w:lineRule="auto"/>
        <w:rPr>
          <w:sz w:val="20"/>
          <w:szCs w:val="20"/>
          <w:color w:val="auto"/>
        </w:rPr>
      </w:pPr>
      <w:r>
        <w:rPr>
          <w:rFonts w:ascii="Arial" w:cs="Arial" w:eastAsia="Arial" w:hAnsi="Arial"/>
          <w:sz w:val="16"/>
          <w:szCs w:val="16"/>
          <w:color w:val="auto"/>
        </w:rPr>
        <w:t>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drugs products from coverage and limit payments for pharmaceuticals.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6" w:name="page47"/>
    <w:bookmarkEnd w:id="46"/>
    <w:p>
      <w:pPr>
        <w:ind w:right="160" w:firstLine="562"/>
        <w:spacing w:after="0" w:line="279" w:lineRule="auto"/>
        <w:rPr>
          <w:sz w:val="20"/>
          <w:szCs w:val="20"/>
          <w:color w:val="auto"/>
        </w:rPr>
      </w:pPr>
      <w:r>
        <w:rPr>
          <w:rFonts w:ascii="Arial" w:cs="Arial" w:eastAsia="Arial" w:hAnsi="Arial"/>
          <w:sz w:val="17"/>
          <w:szCs w:val="17"/>
          <w:color w:val="auto"/>
        </w:rPr>
        <w:t>In addition, we expect that the increased emphasis on managed care and cost containment measures in the United States by third-party payors and government authorities will continue and will place pressure on pharmaceutical pricing and coverage. Coverage policies and third-party reimbursement rates may change at any time. Even if favorable coverage and reimbursement status is attained for one or more drug products for which we receive regulatory approval, less favorable coverage policies and reimbursement rates may be implemented in the future.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right="100" w:firstLine="562"/>
        <w:spacing w:after="0" w:line="259" w:lineRule="auto"/>
        <w:rPr>
          <w:sz w:val="20"/>
          <w:szCs w:val="20"/>
          <w:color w:val="auto"/>
        </w:rPr>
      </w:pPr>
      <w:r>
        <w:rPr>
          <w:rFonts w:ascii="Arial" w:cs="Arial" w:eastAsia="Arial" w:hAnsi="Arial"/>
          <w:sz w:val="18"/>
          <w:szCs w:val="18"/>
          <w:color w:val="auto"/>
        </w:rPr>
        <w:t>We are committed to creating and maintaining a diverse, inclusive and safe work environment where our employees can bring their best selves to work each day. Our commitment to diversity extends through our recruitment, retention, learning and engagement and community partnerships. As part of our diversity, equity, inclusion and belonging strategy, we made an active decision to pursue opportunities for learning and engagement that bring people from different backgrounds together into conversation.</w:t>
      </w:r>
    </w:p>
    <w:p>
      <w:pPr>
        <w:spacing w:after="0" w:line="79" w:lineRule="exact"/>
        <w:rPr>
          <w:sz w:val="20"/>
          <w:szCs w:val="20"/>
          <w:color w:val="auto"/>
        </w:rPr>
      </w:pPr>
    </w:p>
    <w:p>
      <w:pPr>
        <w:ind w:firstLine="562"/>
        <w:spacing w:after="0" w:line="257" w:lineRule="auto"/>
        <w:rPr>
          <w:sz w:val="20"/>
          <w:szCs w:val="20"/>
          <w:color w:val="auto"/>
        </w:rPr>
      </w:pPr>
      <w:r>
        <w:rPr>
          <w:rFonts w:ascii="Arial" w:cs="Arial" w:eastAsia="Arial" w:hAnsi="Arial"/>
          <w:sz w:val="18"/>
          <w:szCs w:val="18"/>
          <w:color w:val="auto"/>
        </w:rPr>
        <w:t>As of December 31, 2022, we had 121 full-time employees. Of these employees, 34 held Ph.D., Pharm.D. or M.D. degrees, and 72 were engaged in research, development and technical operations. From time to time, we also retain independent contractors to support our organization. Approximately half of our employees are based at our headquarters in Brisbane, California, with others working remotely. We have never experienced a work stoppage, none of our employees are represented by a labor union or covered by collective bargaining agreements, and we strive to attract and retain qualified employees in order to foster long-term working relationships.</w:t>
      </w:r>
    </w:p>
    <w:p>
      <w:pPr>
        <w:spacing w:after="0" w:line="80" w:lineRule="exact"/>
        <w:rPr>
          <w:sz w:val="20"/>
          <w:szCs w:val="20"/>
          <w:color w:val="auto"/>
        </w:rPr>
      </w:pPr>
    </w:p>
    <w:p>
      <w:pPr>
        <w:ind w:right="20" w:firstLine="562"/>
        <w:spacing w:after="0" w:line="301" w:lineRule="auto"/>
        <w:rPr>
          <w:sz w:val="20"/>
          <w:szCs w:val="20"/>
          <w:color w:val="auto"/>
        </w:rPr>
      </w:pPr>
      <w:r>
        <w:rPr>
          <w:rFonts w:ascii="Arial" w:cs="Arial" w:eastAsia="Arial" w:hAnsi="Arial"/>
          <w:sz w:val="16"/>
          <w:szCs w:val="16"/>
          <w:color w:val="auto"/>
        </w:rPr>
        <w:t>We focus on employee development, engagement, and diversity and inclusion to identify, hire, develop, and retain the best talent. The principal purpose of our incentive share plan is to attract, retain and motivate selected employees, consultants and directors through the granting of incentive share-based compensation awards and cash-based performance bonus awards. We provide competitive compensation and benefits that are tailored specifically to the needs and requests of our employees and are designed to help us achieve our goals of attracting, hiring and retaining qualified personnel.</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firstLine="562"/>
        <w:spacing w:after="0" w:line="259" w:lineRule="auto"/>
        <w:rPr>
          <w:sz w:val="20"/>
          <w:szCs w:val="20"/>
          <w:color w:val="auto"/>
        </w:rPr>
      </w:pPr>
      <w:r>
        <w:rPr>
          <w:rFonts w:ascii="Arial" w:cs="Arial" w:eastAsia="Arial" w:hAnsi="Arial"/>
          <w:sz w:val="18"/>
          <w:szCs w:val="18"/>
          <w:color w:val="auto"/>
        </w:rPr>
        <w:t>Our principal executive office is located in Brisbane, California, where we lease approximately 12,000 square feet of office space. The lease expires in December 2024. There is no option to extend the lease term nor is there an option to terminate the lease prior to its expiration. We believe these facilities are sufficient to meet our ongoing needs and that, if we require additional space, we will be able to obtain additional facilities on commercially reasonable terms.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562"/>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337"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We were formed as a limited liability company under the laws of the State of Delaware in November 2018, under the name Hero Therapeutics Holding Company, LLC. We subsequently changed our name to Day One Therapeutics Holding Company, LLC in December 2018 and to Day One Biopharmaceuticals Holding Company, LLC in March 2020. In connection with our initial public offering, we converted from a Delaware limited liability company to a Delaware corporation and changed our name to Day One Biopharmaceuticals, Inc, or the Conversion. Our principal executive offices are located at 2000 Sierra Point Parkway, Suite 501, Brisbane, CA 94005, and our telephone number is (650) 484-0899. Our website address is www.dayonebio.com.</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Additional Information</w:t>
      </w:r>
    </w:p>
    <w:p>
      <w:pPr>
        <w:spacing w:after="0" w:line="337" w:lineRule="exact"/>
        <w:rPr>
          <w:sz w:val="20"/>
          <w:szCs w:val="20"/>
          <w:color w:val="auto"/>
        </w:rPr>
      </w:pPr>
    </w:p>
    <w:p>
      <w:pPr>
        <w:ind w:firstLine="562"/>
        <w:spacing w:after="0" w:line="259" w:lineRule="auto"/>
        <w:rPr>
          <w:sz w:val="20"/>
          <w:szCs w:val="20"/>
          <w:color w:val="auto"/>
        </w:rPr>
      </w:pPr>
      <w:r>
        <w:rPr>
          <w:rFonts w:ascii="Arial" w:cs="Arial" w:eastAsia="Arial" w:hAnsi="Arial"/>
          <w:sz w:val="18"/>
          <w:szCs w:val="18"/>
          <w:color w:val="auto"/>
        </w:rPr>
        <w:t>Our Internet website address is http://www.dayonebio.com. On our website, we make available, free of charge, our annual, quarterly and current reports, including amendments to such reports, as soon as reasonably practicable after we electronically file such material with, or furnish such material to, the Securities and Exchange Commission, or the SEC. The SEC maintains a website at www.sec.gov that contains reports as well as other information regarding us and other companies that file materials with the SEC electronically.</w:t>
      </w:r>
    </w:p>
    <w:p>
      <w:pPr>
        <w:spacing w:after="0" w:line="295" w:lineRule="exact"/>
        <w:rPr>
          <w:sz w:val="20"/>
          <w:szCs w:val="20"/>
          <w:color w:val="auto"/>
        </w:rPr>
      </w:pPr>
    </w:p>
    <w:p>
      <w:pPr>
        <w:ind w:firstLine="562"/>
        <w:spacing w:after="0" w:line="259" w:lineRule="auto"/>
        <w:rPr>
          <w:sz w:val="20"/>
          <w:szCs w:val="20"/>
          <w:color w:val="auto"/>
        </w:rPr>
      </w:pPr>
      <w:r>
        <w:rPr>
          <w:rFonts w:ascii="Arial" w:cs="Arial" w:eastAsia="Arial" w:hAnsi="Arial"/>
          <w:sz w:val="18"/>
          <w:szCs w:val="18"/>
          <w:color w:val="auto"/>
        </w:rPr>
        <w:t>Also available on our website is information relating to corporate governance at Day One and our board of directors, including our Corporate Governance Guidelines; our Code of Business Conduct and Ethics (for our directors, officers and employees), and our Board Committee Charters. We will provide any of the foregoing information without charge upon written request to our Corporate Secretary, Day One Biopharmaceuticals, Inc., 2000 Sierra Point Parkway, Suite 501, Brisbane, CA 94005.</w:t>
      </w:r>
    </w:p>
    <w:p>
      <w:pPr>
        <w:spacing w:after="0" w:line="295" w:lineRule="exact"/>
        <w:rPr>
          <w:sz w:val="20"/>
          <w:szCs w:val="20"/>
          <w:color w:val="auto"/>
        </w:rPr>
      </w:pPr>
    </w:p>
    <w:p>
      <w:pPr>
        <w:ind w:right="100" w:firstLine="562"/>
        <w:spacing w:after="0" w:line="259" w:lineRule="auto"/>
        <w:rPr>
          <w:sz w:val="20"/>
          <w:szCs w:val="20"/>
          <w:color w:val="auto"/>
        </w:rPr>
      </w:pPr>
      <w:r>
        <w:rPr>
          <w:rFonts w:ascii="Arial" w:cs="Arial" w:eastAsia="Arial" w:hAnsi="Arial"/>
          <w:sz w:val="18"/>
          <w:szCs w:val="18"/>
          <w:color w:val="auto"/>
        </w:rPr>
        <w:t>We use our Investor Relations website (http://ir.dayonebio.com) as a means of disclosing material non-public information and for complying with our disclosure obligations under Regulation FD promulgated by the SEC. These disclosures are included in the “Press Releases” and “Events and Presentations” sections of our website. Accordingly, investors should monitor these portions of our website, in addition to following our press releases, SEC filings and public conference calls and webcasts.</w:t>
      </w:r>
    </w:p>
    <w:p>
      <w:pPr>
        <w:spacing w:after="0" w:line="295" w:lineRule="exact"/>
        <w:rPr>
          <w:sz w:val="20"/>
          <w:szCs w:val="20"/>
          <w:color w:val="auto"/>
        </w:rPr>
      </w:pPr>
    </w:p>
    <w:p>
      <w:pPr>
        <w:ind w:firstLine="562"/>
        <w:spacing w:after="0" w:line="342" w:lineRule="auto"/>
        <w:rPr>
          <w:sz w:val="20"/>
          <w:szCs w:val="20"/>
          <w:color w:val="auto"/>
        </w:rPr>
      </w:pPr>
      <w:r>
        <w:rPr>
          <w:rFonts w:ascii="Arial" w:cs="Arial" w:eastAsia="Arial" w:hAnsi="Arial"/>
          <w:sz w:val="16"/>
          <w:szCs w:val="16"/>
          <w:color w:val="auto"/>
        </w:rPr>
        <w:t>The information contained on our website does not constitute, and shall not be deemed to constitute, a part of this Annual Report on Form 10-K, or any other report we file with, or furnish to, the SEC. Our references to the URLs for websites are intended to be inactive textual references only.</w:t>
      </w:r>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annual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several risks and uncertainties, including those immediately following this summary. Some of these risks are:</w:t>
      </w:r>
    </w:p>
    <w:p>
      <w:pPr>
        <w:spacing w:after="0" w:line="117" w:lineRule="exact"/>
        <w:rPr>
          <w:sz w:val="20"/>
          <w:szCs w:val="20"/>
          <w:color w:val="auto"/>
        </w:rPr>
      </w:pPr>
    </w:p>
    <w:p>
      <w:pPr>
        <w:ind w:left="520" w:hanging="512"/>
        <w:spacing w:after="0" w:line="342"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have a limited operating history, have not completed any clinical trials beyond Phase 1, have no products approved for commercial sale and have not generated any revenue, which may make it difficult for investors to evaluate our current business and likelihood of success and viability.</w:t>
      </w:r>
    </w:p>
    <w:p>
      <w:pPr>
        <w:spacing w:after="0" w:line="15" w:lineRule="exact"/>
        <w:rPr>
          <w:rFonts w:ascii="Arial" w:cs="Arial" w:eastAsia="Arial" w:hAnsi="Arial"/>
          <w:sz w:val="16"/>
          <w:szCs w:val="16"/>
          <w:color w:val="auto"/>
        </w:rPr>
      </w:pPr>
    </w:p>
    <w:p>
      <w:pPr>
        <w:ind w:left="520" w:right="66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have not generated any revenue. We expect to incur continued losses for the foreseeable future and may never achieve or maintain profitability.</w:t>
      </w:r>
    </w:p>
    <w:p>
      <w:pPr>
        <w:spacing w:after="0" w:line="62"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tovorafenib (DAY101), which is currently in clinical development and has not completed a pivotal trial.</w:t>
      </w:r>
    </w:p>
    <w:p>
      <w:pPr>
        <w:spacing w:after="0" w:line="62" w:lineRule="exact"/>
        <w:rPr>
          <w:rFonts w:ascii="Arial" w:cs="Arial" w:eastAsia="Arial" w:hAnsi="Arial"/>
          <w:sz w:val="18"/>
          <w:szCs w:val="18"/>
          <w:color w:val="auto"/>
        </w:rPr>
      </w:pPr>
    </w:p>
    <w:p>
      <w:pPr>
        <w:ind w:left="520" w:right="18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62" w:lineRule="exact"/>
        <w:rPr>
          <w:rFonts w:ascii="Arial" w:cs="Arial" w:eastAsia="Arial" w:hAnsi="Arial"/>
          <w:sz w:val="18"/>
          <w:szCs w:val="18"/>
          <w:color w:val="auto"/>
        </w:rPr>
      </w:pPr>
    </w:p>
    <w:p>
      <w:pPr>
        <w:ind w:left="520" w:right="2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75" w:lineRule="exact"/>
        <w:rPr>
          <w:rFonts w:ascii="Arial" w:cs="Arial" w:eastAsia="Arial" w:hAnsi="Arial"/>
          <w:sz w:val="18"/>
          <w:szCs w:val="18"/>
          <w:color w:val="auto"/>
        </w:rPr>
      </w:pPr>
    </w:p>
    <w:p>
      <w:pPr>
        <w:ind w:left="520" w:right="20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w:t>
      </w:r>
    </w:p>
    <w:p>
      <w:pPr>
        <w:spacing w:after="0" w:line="75" w:lineRule="exact"/>
        <w:rPr>
          <w:rFonts w:ascii="Arial" w:cs="Arial" w:eastAsia="Arial" w:hAnsi="Arial"/>
          <w:sz w:val="18"/>
          <w:szCs w:val="18"/>
          <w:color w:val="auto"/>
        </w:rPr>
      </w:pPr>
    </w:p>
    <w:p>
      <w:pPr>
        <w:ind w:left="520" w:right="6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data from an investigator-initiated Phase 2 clinical trial in our regulatory filings and we do not control the trial operations or reporting of the results.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demonstrate safety and efficacy to our stakeholders, our reputation may be harmed and our business will suffer.</w:t>
      </w:r>
    </w:p>
    <w:p>
      <w:pPr>
        <w:spacing w:after="0" w:line="117"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and commercialization of pharmaceutical products are subject to extensive regulation, and we may not obtain regulatory approvals for tovorafenib (DAY101), pimasertib or any future product candidates, on a timely basis or at all.</w:t>
      </w:r>
    </w:p>
    <w:p>
      <w:pPr>
        <w:spacing w:after="0" w:line="62" w:lineRule="exact"/>
        <w:rPr>
          <w:rFonts w:ascii="Arial" w:cs="Arial" w:eastAsia="Arial" w:hAnsi="Arial"/>
          <w:sz w:val="18"/>
          <w:szCs w:val="18"/>
          <w:color w:val="auto"/>
        </w:rPr>
      </w:pPr>
    </w:p>
    <w:p>
      <w:pPr>
        <w:ind w:left="520" w:right="16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manufacture of our product candidates is complex. Our third-party manufacturers may encounter difficulties in production, which could delay or entirely halt their ability to supply our product candidates for clinical trials or, if approved, for commercial sale.</w:t>
      </w:r>
    </w:p>
    <w:p>
      <w:pPr>
        <w:spacing w:after="0" w:line="62"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our executive officers and key employees and to attract, retain and motivate qualified personnel and manage our human capital.</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need to grow the size and capabilities of our organization, and we may experience difficulties in managing this growth.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9" w:name="page50"/>
    <w:bookmarkEnd w:id="49"/>
    <w:p>
      <w:pPr>
        <w:ind w:left="520" w:right="100" w:hanging="512"/>
        <w:spacing w:after="0" w:line="259"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or other necessary rights for our products and technology, or if the scope of the patent protection obtained is not sufficiently broad or our rights under licensed patents are not sufficiently broad, our competitors could develop and commercialize products and technology similar or identical to ours, and our ability to successfully commercialize our products and technology may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We have a limited operating history, have not completed any clinical trials beyond Phase 1, have no products approved for commercial sale and have not generated any revenue, which may make it difficult for investors to evaluate our current business and likelihood of success and viability.</w:t>
      </w:r>
    </w:p>
    <w:p>
      <w:pPr>
        <w:spacing w:after="0" w:line="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commenced operations in 2018, have no products approved for commercial sale and have never generated any revenue. Investment in drug development is a highly speculative undertaking and involves a substantial degree of risk. To date,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w:t>
      </w:r>
    </w:p>
    <w:p>
      <w:pPr>
        <w:spacing w:after="0" w:line="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Since our inception, we have focused substantially all of our efforts and financial resources on the clinical development of our lead product candidate, tovorafenib (DAY101), initially for relapsed or progressive low-grade gliomas, or pLGGs, and our other current product candidate, pimasertib, an orally available small molecule inhibitor of MEK kinase, which we intend to use in combination with tovorafenib (DAY101) for the treatment of RAS- and RAF-dependent tumors. To date, we have financed our operations primarily through the sale and issuance of redeemable convertible preferred shares, convertible notes, and the completion of our initial public offering, or IPO, and follow-on public offerings of our common stock.</w:t>
      </w:r>
    </w:p>
    <w:p>
      <w:pPr>
        <w:spacing w:after="0" w:line="6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have not yet demonstrated an ability to successfully complete any clinical trials beyond Phase 1,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have not generated any revenue. We expect to incur continued losses for the foreseeable future and may never achieve or maintain profitability.</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have incurred significant net losses in each reporting period since our inception, have not generated any revenue to date and have financed our operations principally through private placements of our redeemable convertible preferred shares, our convertible notes, the completion of our IPO and follow-on offerings of our common stock. For the years ended December 31, 2022 and 2021, we reported a net loss of $142.2 million and $72.8 million, respectively. We had an accumulated deficit of $269.7 million as of December 31, 2022. We expect to incur increasing levels of operating losses for the foreseeable future, particularly as we advance tovorafenib (DAY101) and pimasertib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 and other product candidates, including our ongoing pivotal Phase 2 FIREFLY-1 trial for tovorafenib (DAY101), our ongoing pivotal Phase 3 FIREFLY-2 trial of tovorafenib (DAY101) as a potential frontline therapy in pLGG, our ongoing Phase 1b/2 FIRELIGHT-1 umbrella master trial of tovorafenib (DAY101) in adult RAS/RAF-altered solid tumors as a monotherapy and in combination with pimasertib, and development of and subsequent Investigational New Drug Applications, or INDs, for any future product candidates we may choose to pursue. In addition, if we obtain marketing approval for tovorafenib (DAY101), pimasertib, or another product candidate, we will incur significant sales, marketing and outsourced manufacturing expenses in connection with the commercialization of tovorafenib (DAY101), pimasertib, or such other product candidate. We have also incurred, and will continue to incur, additional costs associated with operating as a public company.</w:t>
      </w:r>
    </w:p>
    <w:p>
      <w:pPr>
        <w:spacing w:after="0" w:line="7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ind w:right="2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tovorafenib (DAY101), which is currently in clinical development and has not completed a pivotal trial.</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future success is highly dependent on our ability to timely complete successful clinical trials, obtain regulatory approval for, and then successfully commercialize, our product candidates. We are early in our development efforts and our lead product candidate, tovorafenib (DAY101), is currently in a pivotal Phase 2 clinical trial. Our other current product candidate, pimasertib, is in an earlier stage of development. We currently have no products that are approved for sale in any jurisdiction. There can be no assurance that tovorafenib (DAY101), pimasertib or any future product candidates we develop, if any, will achieve success in their clinical trials or obtain regulatory approval.</w:t>
      </w:r>
    </w:p>
    <w:p>
      <w:pPr>
        <w:spacing w:after="0" w:line="6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ability to generate product revenue, which we do not expect will occur in the near future, if ever, will depend heavily on the successful development and eventual commercialization of our lead product candidate, tovorafenib (DAY101). The success of tovorafenib (DAY101) will depend on several factors, including the following:</w:t>
      </w:r>
    </w:p>
    <w:p>
      <w:pPr>
        <w:spacing w:after="0" w:line="76" w:lineRule="exact"/>
        <w:rPr>
          <w:sz w:val="20"/>
          <w:szCs w:val="20"/>
          <w:color w:val="auto"/>
        </w:rPr>
      </w:pPr>
    </w:p>
    <w:p>
      <w:pPr>
        <w:ind w:left="520" w:right="58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and timely completion of current and future clinical trials resulting in attractive, competitive target product profiles, including our frontline pivotal Phase 3 FIREFLY-2 trial;</w:t>
      </w:r>
    </w:p>
    <w:p>
      <w:pPr>
        <w:spacing w:after="0" w:line="62"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our ongoing clinical trial for tovorafenib (DAY101) and Phase 1b/2 umbrella master trial of tovorafenib (DAY101) as a monotherapy and in combination with pimasertib meeting clinical endpoints;</w:t>
      </w:r>
    </w:p>
    <w:p>
      <w:pPr>
        <w:spacing w:after="0" w:line="62" w:lineRule="exact"/>
        <w:rPr>
          <w:rFonts w:ascii="Arial" w:cs="Arial" w:eastAsia="Arial" w:hAnsi="Arial"/>
          <w:sz w:val="18"/>
          <w:szCs w:val="18"/>
          <w:color w:val="auto"/>
        </w:rPr>
      </w:pPr>
    </w:p>
    <w:p>
      <w:pPr>
        <w:ind w:left="520" w:right="68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acceptance of NDAs by the U.S. Food and Drug Administration, or FDA, or other similar clinical trial applications from foreign regulatory authorities for our future clinical trials for our pipeline product candidates;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and successful enrollment of patients in, and completion of, clinical trials with favorable results;</w:t>
      </w:r>
    </w:p>
    <w:p>
      <w:pPr>
        <w:spacing w:after="0" w:line="117" w:lineRule="exact"/>
        <w:rPr>
          <w:rFonts w:ascii="Arial" w:cs="Arial" w:eastAsia="Arial" w:hAnsi="Arial"/>
          <w:sz w:val="18"/>
          <w:szCs w:val="18"/>
          <w:color w:val="auto"/>
        </w:rPr>
      </w:pPr>
    </w:p>
    <w:p>
      <w:pPr>
        <w:ind w:left="520" w:right="6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demonstration of safety, efficacy and acceptable risk-benefit profiles of our product candidates to the satisfaction of the FDA and foreign regulatory agencies and attractiveness of our product candidates to physicians, patients, advocates, payors and caregivers;</w:t>
      </w:r>
    </w:p>
    <w:p>
      <w:pPr>
        <w:spacing w:after="0" w:line="62"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or that of our collaborators, to develop and obtain clearance or approval of companion diagnostics, on a timely basis, or at all, and an adequate supply of these companion diagnostics and access to these companion diagnostics that outpaces demand;</w:t>
      </w:r>
    </w:p>
    <w:p>
      <w:pPr>
        <w:spacing w:after="0" w:line="38" w:lineRule="exact"/>
        <w:rPr>
          <w:rFonts w:ascii="Arial" w:cs="Arial" w:eastAsia="Arial" w:hAnsi="Arial"/>
          <w:sz w:val="17"/>
          <w:szCs w:val="17"/>
          <w:color w:val="auto"/>
        </w:rPr>
      </w:pPr>
    </w:p>
    <w:p>
      <w:pPr>
        <w:ind w:left="520" w:right="28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 including the completion of any required post-marketing studies or trials and available funding to perform any post-marketing commitments;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obtaining and maintaining patent, trade secret and other intellectual property protection and regulatory exclusivity for our product candidates;</w:t>
      </w:r>
    </w:p>
    <w:p>
      <w:pPr>
        <w:spacing w:after="0" w:line="128" w:lineRule="exact"/>
        <w:rPr>
          <w:rFonts w:ascii="Arial" w:cs="Arial" w:eastAsia="Arial" w:hAnsi="Arial"/>
          <w:sz w:val="17"/>
          <w:szCs w:val="17"/>
          <w:color w:val="auto"/>
        </w:rPr>
      </w:pPr>
    </w:p>
    <w:p>
      <w:pPr>
        <w:ind w:left="520" w:right="24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and ensuring a resilient, effective supply chain that produces supply that outpaces demand;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developing and implementing marketing and reimbursement strategies, as well as adequate demand forecasts for supply and sales planning;</w:t>
      </w:r>
    </w:p>
    <w:p>
      <w:pPr>
        <w:spacing w:after="0" w:line="128" w:lineRule="exact"/>
        <w:rPr>
          <w:rFonts w:ascii="Arial" w:cs="Arial" w:eastAsia="Arial" w:hAnsi="Arial"/>
          <w:sz w:val="17"/>
          <w:szCs w:val="17"/>
          <w:color w:val="auto"/>
        </w:rPr>
      </w:pPr>
    </w:p>
    <w:p>
      <w:pPr>
        <w:ind w:left="520" w:right="140" w:hanging="512"/>
        <w:spacing w:after="0" w:line="26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 in a market where promotional sales approaches are rapidly moving to digital platforms and rep access to major institutions remains uncertain;</w:t>
      </w:r>
    </w:p>
    <w:p>
      <w:pPr>
        <w:spacing w:after="0" w:line="75" w:lineRule="exact"/>
        <w:rPr>
          <w:rFonts w:ascii="Arial" w:cs="Arial" w:eastAsia="Arial" w:hAnsi="Arial"/>
          <w:sz w:val="18"/>
          <w:szCs w:val="18"/>
          <w:color w:val="auto"/>
        </w:rPr>
      </w:pPr>
    </w:p>
    <w:p>
      <w:pPr>
        <w:ind w:left="520" w:right="46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 underpinned by adequate health economic data and a meaningful value proposition;</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those that have not yet entered the market;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2" w:name="page53"/>
    <w:bookmarkEnd w:id="52"/>
    <w:p>
      <w:pPr>
        <w:ind w:left="520" w:right="480" w:hanging="512"/>
        <w:spacing w:after="0" w:line="308"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effectively competing with other companies in the pharmaceutical and biotechnology industries, which are characterized by rapidly advancing technologies, intense competition and a strong emphasis on proprietary and novel products and product candidates;</w:t>
      </w:r>
    </w:p>
    <w:p>
      <w:pPr>
        <w:spacing w:after="0" w:line="38" w:lineRule="exact"/>
        <w:rPr>
          <w:rFonts w:ascii="Arial" w:cs="Arial" w:eastAsia="Arial" w:hAnsi="Arial"/>
          <w:sz w:val="17"/>
          <w:szCs w:val="17"/>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obtaining and maintaining third-party payor coverage and adequate reimbursement in both public and private payor spaces across multiple countries;</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appropriate support from patient advocacy organizations;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effectively shaping the market in the early years following launch to help providers understand a new way of thinking about treating these patients;</w:t>
      </w:r>
    </w:p>
    <w:p>
      <w:pPr>
        <w:spacing w:after="0" w:line="140" w:lineRule="exact"/>
        <w:rPr>
          <w:rFonts w:ascii="Arial" w:cs="Arial" w:eastAsia="Arial" w:hAnsi="Arial"/>
          <w:sz w:val="16"/>
          <w:szCs w:val="16"/>
          <w:color w:val="auto"/>
        </w:rPr>
      </w:pPr>
    </w:p>
    <w:p>
      <w:pPr>
        <w:ind w:left="520" w:right="320" w:hanging="512"/>
        <w:spacing w:after="0" w:line="342"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addressing any delays in our ongoing and planned clinical trials resulting from factors related to any macroeconomic conditions, major natural disaster or significant political event, including inflation and changes in interest rates, the war in Ukraine and the ongoing COVID-19 pandemic;</w:t>
      </w:r>
    </w:p>
    <w:p>
      <w:pPr>
        <w:spacing w:after="0" w:line="15" w:lineRule="exact"/>
        <w:rPr>
          <w:rFonts w:ascii="Arial" w:cs="Arial" w:eastAsia="Arial" w:hAnsi="Arial"/>
          <w:sz w:val="16"/>
          <w:szCs w:val="16"/>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w:t>
      </w:r>
    </w:p>
    <w:p>
      <w:pPr>
        <w:spacing w:after="0" w:line="2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6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business depends entirely on the successful discovery or identification, development and commercialization of product candidates. We have no products approved for commercial sale and do not anticipate generating any revenue from product sales for the next 12 months, if ever. We do not expect to generate significant revenue unless and until we obtain marketing approval for, and begin to sell, tovorafenib (DAY101), pimasertib, or another product candidate. Our ability to generate revenue and achieve profitability depends on several factors, including, but not limited to, our ability to:</w:t>
      </w:r>
    </w:p>
    <w:p>
      <w:pPr>
        <w:spacing w:after="0" w:line="49" w:lineRule="exact"/>
        <w:rPr>
          <w:sz w:val="20"/>
          <w:szCs w:val="20"/>
          <w:color w:val="auto"/>
        </w:rPr>
      </w:pPr>
    </w:p>
    <w:p>
      <w:pPr>
        <w:ind w:left="520" w:right="10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complete a successful pivotal Phase 2 FIREFLY-1 trial with tovorafenib (DAY101) that achieves a competitive, clinically meaningful and generally well-tolerated target product profile;</w:t>
      </w:r>
    </w:p>
    <w:p>
      <w:pPr>
        <w:spacing w:after="0" w:line="62" w:lineRule="exact"/>
        <w:rPr>
          <w:rFonts w:ascii="Arial" w:cs="Arial" w:eastAsia="Arial" w:hAnsi="Arial"/>
          <w:sz w:val="18"/>
          <w:szCs w:val="18"/>
          <w:color w:val="auto"/>
        </w:rPr>
      </w:pPr>
    </w:p>
    <w:p>
      <w:pPr>
        <w:ind w:left="520" w:right="10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complete a successful pivotal Phase 3 FIREFLY-2 trial with tovorafenib (DAY101) that achieves a competitive, clinically meaningful and generally well-tolerated target product profile in front-line pLGG;</w:t>
      </w:r>
    </w:p>
    <w:p>
      <w:pPr>
        <w:spacing w:after="0" w:line="62" w:lineRule="exact"/>
        <w:rPr>
          <w:rFonts w:ascii="Arial" w:cs="Arial" w:eastAsia="Arial" w:hAnsi="Arial"/>
          <w:sz w:val="18"/>
          <w:szCs w:val="18"/>
          <w:color w:val="auto"/>
        </w:rPr>
      </w:pPr>
    </w:p>
    <w:p>
      <w:pPr>
        <w:ind w:left="520" w:right="68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complete a successful Phase 1b/2 FIRELIGHT-1 umbrella master trial of tovorafenib (DAY101) as a monotherapy and in combination with pimasertib in patients 12 years and older with tumors having activated RAF signaling;</w:t>
      </w:r>
    </w:p>
    <w:p>
      <w:pPr>
        <w:spacing w:after="0" w:line="62" w:lineRule="exact"/>
        <w:rPr>
          <w:rFonts w:ascii="Arial" w:cs="Arial" w:eastAsia="Arial" w:hAnsi="Arial"/>
          <w:sz w:val="18"/>
          <w:szCs w:val="18"/>
          <w:color w:val="auto"/>
        </w:rPr>
      </w:pPr>
    </w:p>
    <w:p>
      <w:pPr>
        <w:ind w:left="520" w:right="78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and other studies required to obtain U.S. and foreign marketing approval for tovorafenib (DAY101) as a treatment for patients with pLGGs;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and complete successful later-stage clinical trials that meet their clinical endpoints;</w:t>
      </w:r>
    </w:p>
    <w:p>
      <w:pPr>
        <w:spacing w:after="0" w:line="117" w:lineRule="exact"/>
        <w:rPr>
          <w:rFonts w:ascii="Arial" w:cs="Arial" w:eastAsia="Arial" w:hAnsi="Arial"/>
          <w:sz w:val="18"/>
          <w:szCs w:val="18"/>
          <w:color w:val="auto"/>
        </w:rPr>
      </w:pPr>
    </w:p>
    <w:p>
      <w:pPr>
        <w:ind w:left="520" w:right="68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favorable results from our clinical trials and apply for and obtain marketing approval for tovorafenib (DAY101) and pimasertib from applicable regulatory authorities, including NDAs, from the FDA, and maintaining such approvals;</w:t>
      </w:r>
    </w:p>
    <w:p>
      <w:pPr>
        <w:spacing w:after="0" w:line="62" w:lineRule="exact"/>
        <w:rPr>
          <w:rFonts w:ascii="Arial" w:cs="Arial" w:eastAsia="Arial" w:hAnsi="Arial"/>
          <w:sz w:val="18"/>
          <w:szCs w:val="18"/>
          <w:color w:val="auto"/>
        </w:rPr>
      </w:pPr>
    </w:p>
    <w:p>
      <w:pPr>
        <w:ind w:left="520" w:right="260" w:hanging="512"/>
        <w:spacing w:after="0" w:line="277"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licenses, collaborations or strategic partnerships that allow for the commercialization of our product candidates and/or may increase the value of our programs;</w:t>
      </w:r>
    </w:p>
    <w:p>
      <w:pPr>
        <w:spacing w:after="0" w:line="62" w:lineRule="exact"/>
        <w:rPr>
          <w:rFonts w:ascii="Arial" w:cs="Arial" w:eastAsia="Arial" w:hAnsi="Arial"/>
          <w:sz w:val="18"/>
          <w:szCs w:val="18"/>
          <w:color w:val="auto"/>
        </w:rPr>
      </w:pPr>
    </w:p>
    <w:p>
      <w:pPr>
        <w:ind w:left="520" w:right="520" w:hanging="512"/>
        <w:spacing w:after="0" w:line="308"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and maintain viable supply and manufacturing relationships with third parties that can provide adequate, in both amount and quality, products and services to support clinical development and meet the market demand for our product candidates, if approved;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left="520" w:right="2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commercialize tovorafenib (DAY101), pimasertib, and any future product candidates we may develop, if approved, by building a sales force or entering into collaborations with third parties;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satisfy any required post-marketing approval commitments to applicable regulatory authorities;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 continued acceptable safety profile following any marketing approval of our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assess and develop new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maintain patent and trade secret protection or regulatory exclusivity for our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an acceptable safety profile of our products, including tovorafenib (DAY101) and pimasertib;</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maintain, protect and defend our intellectual property portfolio;</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 any competing therapies and technological and market developments;</w:t>
      </w:r>
    </w:p>
    <w:p>
      <w:pPr>
        <w:spacing w:after="0" w:line="117" w:lineRule="exact"/>
        <w:rPr>
          <w:rFonts w:ascii="Arial" w:cs="Arial" w:eastAsia="Arial" w:hAnsi="Arial"/>
          <w:sz w:val="18"/>
          <w:szCs w:val="18"/>
          <w:color w:val="auto"/>
        </w:rPr>
      </w:pPr>
    </w:p>
    <w:p>
      <w:pPr>
        <w:ind w:left="520" w:right="22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achieve market acceptance of tovorafenib (DAY101) or pimasertib and our other successful product candidates, if any, with patients, the medical community and third-party payors, both in the United States and internationally;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To become and remain profitable, we must succeed in designing, developing and eventually commercializing products that generate significant revenue. This will require us to be successful in a range of challenging activities, including completing clinical trials for our product candidates, designing and/or acquiring additional product candidates, establishing arrangements with third parties for the manufacture of clinical supplies of our product candidates, obtaining marketing approval for our product candidates and manufacturing, retaining intellectual property or marketing exclusivity and marketing and selling any products for which we may obtain marketing approval, if any. We are in the earlier stages of most of these activities. We may never succeed in these activities and, even if we do, may never generate revenues that are significant enough to achieve profitability.</w:t>
      </w:r>
    </w:p>
    <w:p>
      <w:pPr>
        <w:spacing w:after="0" w:line="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duration of treatment that physicians believe is appropriate for our product, the speed of physician adoption,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payor decisions or treatment guidelines, we may not generate significant revenue from sales of such products, even if approved.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decide to or are required by the FDA or regulatory authorities in other jurisdictions to perform studies or clinical trials in addition to, those currently expected, or to modify ongoing or planned clinical trials, or if there are any delays in establishing appropriate manufacturing arrangements for, in initiating or completing our current and planned clinical trials for, or in the development of, any of our product candidates, our expenses could increase significantly and profitability could be further delayed.</w:t>
      </w:r>
    </w:p>
    <w:p>
      <w:pPr>
        <w:spacing w:after="0" w:line="7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54" w:name="page55"/>
    <w:bookmarkEnd w:id="54"/>
    <w:p>
      <w:pPr>
        <w:ind w:right="260"/>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tovorafenib (DAY101), pimasertib, and any future product candidates through clinical development. We expect increased expenses as we continue our research and development, initiate additional clinical trials, seek to expand our product pipeline, seek marketing approval for our lead programs and future product candidates, if any, and invest in our organization. In addition, if we obtain marketing approval for any of our product candidates, we expect to incur significant commercialization expenses related to product manufacturing, marketing, sales and distribution. Furthermore, we have incurred and will continue to incur additional costs associated with operating as a public company, such as acquiring and retaining experienced personnel, developing new information technology systems, and other costs associated with being a public company. Also, we expect to experience ongoing and additional costs related to preparing and filing patent applications, maintaining our intellectual property and potentially expanding our office facilities. Accordingly, we will need to obtain substantial additional funding in connection with our continuing operations.</w:t>
      </w:r>
    </w:p>
    <w:p>
      <w:pPr>
        <w:spacing w:after="0" w:line="7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 Our ability to raise capital may be adversely impacted by potential worsening global economic conditions and disruptions to and volatility in the credit and financial markets in the United States and worldwide resulting from inflation, changes in interest rates, geopolitical instability, including the war in Ukraine, the ongoing COVID-19 pandemic or otherwise.</w:t>
      </w:r>
    </w:p>
    <w:p>
      <w:pPr>
        <w:spacing w:after="0" w:line="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had $342.3 million in cash, cash equivalents and short-term investments as of December 31, 2022. We believe that our existing cash, cash equivalents and short-term investments, will enable us to fund our operating expenses, and capital expenditure requirements into 2025.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68"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progress, timing and results of preclinical studies and clinical trials for our current or any future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product candidates or technologies;</w:t>
      </w:r>
    </w:p>
    <w:p>
      <w:pPr>
        <w:spacing w:after="0" w:line="117" w:lineRule="exact"/>
        <w:rPr>
          <w:rFonts w:ascii="Arial" w:cs="Arial" w:eastAsia="Arial" w:hAnsi="Arial"/>
          <w:sz w:val="18"/>
          <w:szCs w:val="18"/>
          <w:color w:val="auto"/>
        </w:rPr>
      </w:pPr>
    </w:p>
    <w:p>
      <w:pPr>
        <w:ind w:left="520" w:right="10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development requirements of current or future product candidates that we may pursue, and other indications for our current product candidates that we may pursue;</w:t>
      </w:r>
    </w:p>
    <w:p>
      <w:pPr>
        <w:spacing w:after="0" w:line="62" w:lineRule="exact"/>
        <w:rPr>
          <w:rFonts w:ascii="Arial" w:cs="Arial" w:eastAsia="Arial" w:hAnsi="Arial"/>
          <w:sz w:val="18"/>
          <w:szCs w:val="18"/>
          <w:color w:val="auto"/>
        </w:rPr>
      </w:pPr>
    </w:p>
    <w:p>
      <w:pPr>
        <w:ind w:left="520" w:right="56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product candidates or the modification of ongoing or planned clinical trials, and any companion diagnostics we may pursue;</w:t>
      </w:r>
    </w:p>
    <w:p>
      <w:pPr>
        <w:spacing w:after="0" w:line="62" w:lineRule="exact"/>
        <w:rPr>
          <w:rFonts w:ascii="Arial" w:cs="Arial" w:eastAsia="Arial" w:hAnsi="Arial"/>
          <w:sz w:val="18"/>
          <w:szCs w:val="18"/>
          <w:color w:val="auto"/>
        </w:rPr>
      </w:pPr>
    </w:p>
    <w:p>
      <w:pPr>
        <w:ind w:left="520" w:right="64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62" w:lineRule="exact"/>
        <w:rPr>
          <w:rFonts w:ascii="Arial" w:cs="Arial" w:eastAsia="Arial" w:hAnsi="Arial"/>
          <w:sz w:val="18"/>
          <w:szCs w:val="18"/>
          <w:color w:val="auto"/>
        </w:rPr>
      </w:pPr>
    </w:p>
    <w:p>
      <w:pPr>
        <w:ind w:left="520" w:right="38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future product candidates;</w:t>
      </w:r>
    </w:p>
    <w:p>
      <w:pPr>
        <w:spacing w:after="0" w:line="62" w:lineRule="exact"/>
        <w:rPr>
          <w:rFonts w:ascii="Arial" w:cs="Arial" w:eastAsia="Arial" w:hAnsi="Arial"/>
          <w:sz w:val="18"/>
          <w:szCs w:val="18"/>
          <w:color w:val="auto"/>
        </w:rPr>
      </w:pPr>
    </w:p>
    <w:p>
      <w:pPr>
        <w:ind w:left="520" w:right="60" w:hanging="512"/>
        <w:spacing w:after="0" w:line="311"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the extent we pursue strategic collaborations, including collaborations to commercialize tovorafenib (DAY101), pimasertib, or any of our future pipeline product candidates, if any, our ability to establish and maintain collaborations on favorable terms, if at all, as well as the timing and amount of any milestone or royalty payments we are required to make or are eligible to receive under such collaborations or our current licenses;</w:t>
      </w:r>
    </w:p>
    <w:p>
      <w:pPr>
        <w:spacing w:after="0" w:line="40" w:lineRule="exact"/>
        <w:rPr>
          <w:rFonts w:ascii="Arial" w:cs="Arial" w:eastAsia="Arial" w:hAnsi="Arial"/>
          <w:sz w:val="16"/>
          <w:szCs w:val="16"/>
          <w:color w:val="auto"/>
        </w:rPr>
      </w:pPr>
    </w:p>
    <w:p>
      <w:pPr>
        <w:ind w:left="520" w:right="18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product candidates, including establishing sales, marketing, market access and distribution capabilities;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associated with completing any post-marketing studies or trials required by the FDA or other regulatory authorities;</w:t>
      </w:r>
    </w:p>
    <w:p>
      <w:pPr>
        <w:spacing w:after="0" w:line="117" w:lineRule="exact"/>
        <w:rPr>
          <w:rFonts w:ascii="Arial" w:cs="Arial" w:eastAsia="Arial" w:hAnsi="Arial"/>
          <w:sz w:val="18"/>
          <w:szCs w:val="18"/>
          <w:color w:val="auto"/>
        </w:rPr>
      </w:pPr>
    </w:p>
    <w:p>
      <w:pPr>
        <w:ind w:left="520" w:right="68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tovorafenib (DAY101), pimasertib or any of our future product candidates if any are approved, or any future pipeline product candidates that receive marketing approval;</w:t>
      </w:r>
    </w:p>
    <w:p>
      <w:pPr>
        <w:spacing w:after="0" w:line="62" w:lineRule="exact"/>
        <w:rPr>
          <w:rFonts w:ascii="Arial" w:cs="Arial" w:eastAsia="Arial" w:hAnsi="Arial"/>
          <w:sz w:val="18"/>
          <w:szCs w:val="18"/>
          <w:color w:val="auto"/>
        </w:rPr>
      </w:pPr>
    </w:p>
    <w:p>
      <w:pPr>
        <w:ind w:left="520" w:right="780" w:hanging="512"/>
        <w:spacing w:after="0" w:line="342"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spacing w:after="0" w:line="15" w:lineRule="exact"/>
        <w:rPr>
          <w:rFonts w:ascii="Arial" w:cs="Arial" w:eastAsia="Arial" w:hAnsi="Arial"/>
          <w:sz w:val="16"/>
          <w:szCs w:val="16"/>
          <w:color w:val="auto"/>
        </w:rPr>
      </w:pPr>
    </w:p>
    <w:p>
      <w:pPr>
        <w:ind w:left="520" w:right="38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w:t>
      </w:r>
    </w:p>
    <w:p>
      <w:pPr>
        <w:spacing w:after="0" w:line="6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will require additional capital to complete our planned clinical development programs for our current product candidates to obtain regulatory approval, and we anticipate needing to raise additional capital to complete the development of and commercialize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team’s attention from their day-to-day activities, which may adversely affect our business, including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w:t>
      </w:r>
    </w:p>
    <w:p>
      <w:pPr>
        <w:spacing w:after="0" w:line="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In June 2022, we entered into an equity distribution agreement with Piper Sandler &amp; Co. and JonesTrading Institutional Services LLC, as sales agents, relating to the issuance and sale of shares of our common stock for an aggregate offering price of up to $150.0 million under an at-the-market offering program, or 2022 ATM. To the extent that we raise additional capital through the sale of equity or convertible debt securities, including pursuant to our 2022 ATM,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inflation, changes in interest rates, geopolitical instability, including the war in Ukraine, the ongoing COVID-19 pandemic or otherwise.</w:t>
      </w:r>
    </w:p>
    <w:p>
      <w:pPr>
        <w:spacing w:after="0" w:line="7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Development and Commercialization of Our Product Candidates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risk of failure for our product candidates is high. It is impossible to predict when or if any of our product candidates will prove effective or safe in humans or will receive regulatory approval. To obtain the requisite regulatory approvals to market and sell any of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spacing w:after="0" w:line="8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addition, the results of preclinical studies and earlier clinical trials may not be predictive of the results of later-stage preclinical studies or clinical trials. We have limited clinical data for our product candidates. Product candidates in later stages of clinical trials may fail to show similar or desired safety and efficacy traits despite having progressed through preclinical and earlier stage clinical trials.</w:t>
      </w:r>
    </w:p>
    <w:p>
      <w:pPr>
        <w:spacing w:after="0" w:line="7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and adversely affected.</w:t>
      </w:r>
    </w:p>
    <w:p>
      <w:pPr>
        <w:spacing w:after="0" w:line="2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on data from an investigator-initiated Phase 2 clinical trial in our regulatory filings and we do not control the trial operations or reporting of the results.</w:t>
      </w:r>
    </w:p>
    <w:p>
      <w:pPr>
        <w:spacing w:after="0" w:line="6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pivotal Phase 2 FIREFLY-1 trial for our lead product candidate, tovorafenib (DAY101), is run as an investigator-initiated, multi-center trial in patients with relapsed/refractory pLGG that is being conducted by the Dana Farber Cancer Institute in collaboration with the Pacific Pediatric Neuro-Oncology Consortium, or PNOC. The last data reported from this trial was in January 2023. It is possible that additional data, when reported, will not demonstrate similar results. We have no control over the timing of such clinical data announcements. In addition, although we expect that our pivotal Phase 2 FIREFELY-1 trial in pLGG will provide a sufficient dataset to support approval based on preliminary discussions with regulatory agencies, we cannot assure you that the FDA will not require data from additional patients or additional follow-up data from existing patients to support approval.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7" w:name="page58"/>
    <w:bookmarkEnd w:id="57"/>
    <w:p>
      <w:pPr>
        <w:spacing w:after="0" w:line="288" w:lineRule="auto"/>
        <w:rPr>
          <w:sz w:val="20"/>
          <w:szCs w:val="20"/>
          <w:color w:val="auto"/>
        </w:rPr>
      </w:pPr>
      <w:r>
        <w:rPr>
          <w:rFonts w:ascii="Arial" w:cs="Arial" w:eastAsia="Arial" w:hAnsi="Arial"/>
          <w:sz w:val="16"/>
          <w:szCs w:val="16"/>
          <w:color w:val="auto"/>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While investigator-sponsored initiated trials could be useful to inform our own clinical development efforts, we do not control the data or timing of data releases for investigator-sponsored trials, and there is no guarantee that we will be able to use the data from these trials to form the basis for regulatory approval of our product candidates.</w:t>
      </w:r>
    </w:p>
    <w:p>
      <w:pPr>
        <w:spacing w:after="0" w:line="6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spacing w:after="0" w:line="28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adequately demonstrate the safety and efficacy of any of our product candidates, which would prevent or delay development, regulatory approval and commercialization.</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Before obtaining marketing approval from the FDA or comparable foreign regulatory authorities for the sale of our current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because our product candidates are in earlier stages of development, there is a high risk of failure and we may never succeed in developing marketable products.</w:t>
      </w:r>
    </w:p>
    <w:p>
      <w:pPr>
        <w:spacing w:after="0" w:line="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2"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product candidates in clinical trials to demonstrate safety and efficacy;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failure to demonstrate that the dose for a product candidate has been optimized;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product candidates in clinical trials to demonstrate important functional, quality, or patient-reported outcomes;</w:t>
      </w:r>
    </w:p>
    <w:p>
      <w:pPr>
        <w:spacing w:after="0" w:line="117"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competitive landscape preventing marketing authorization in one or several subsets studied in our programs, including in relapsed or front-line pLGG;</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17" w:lineRule="exact"/>
        <w:rPr>
          <w:rFonts w:ascii="Arial" w:cs="Arial" w:eastAsia="Arial" w:hAnsi="Arial"/>
          <w:sz w:val="18"/>
          <w:szCs w:val="18"/>
          <w:color w:val="auto"/>
        </w:rPr>
      </w:pPr>
    </w:p>
    <w:p>
      <w:pPr>
        <w:ind w:left="520" w:right="640" w:hanging="512"/>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research and/or drug development programs;</w:t>
      </w:r>
    </w:p>
    <w:p>
      <w:pPr>
        <w:spacing w:after="0" w:line="62"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p>
      <w:pPr>
        <w:ind w:left="520" w:hanging="512"/>
        <w:spacing w:after="0"/>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third-party contractors failing to comply with regulatory requirements or meet their contractual obligations to us in a timely manner, or at all;</w:t>
      </w:r>
    </w:p>
    <w:p>
      <w:pPr>
        <w:spacing w:after="0" w:line="128" w:lineRule="exact"/>
        <w:rPr>
          <w:rFonts w:ascii="Arial" w:cs="Arial" w:eastAsia="Arial" w:hAnsi="Arial"/>
          <w:sz w:val="17"/>
          <w:szCs w:val="17"/>
          <w:color w:val="auto"/>
        </w:rPr>
      </w:pPr>
    </w:p>
    <w:p>
      <w:pPr>
        <w:ind w:left="520" w:right="8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anticipated;</w:t>
      </w:r>
    </w:p>
    <w:p>
      <w:pPr>
        <w:spacing w:after="0" w:line="117"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receipt of feedback from regulatory authorities that would require us to include data from additional patients or longer term efficacy and safety data.</w:t>
      </w:r>
    </w:p>
    <w:p>
      <w:pPr>
        <w:spacing w:after="0" w:line="140"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6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product candidates are initially targeted towards the pediatric population, for which safety concerns may be particularly scrutinized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Research to Accelerate Cures and Equity (RACE) for Children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require us to abandon one or more clinical trials altogether, impact our ability to raise additional capital and delay or prevent our ability to obtain necessary regulatory approvals for any drug product candidate.</w:t>
      </w:r>
    </w:p>
    <w:p>
      <w:pPr>
        <w:spacing w:after="0" w:line="5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62"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17" w:lineRule="exact"/>
        <w:rPr>
          <w:rFonts w:ascii="Arial" w:cs="Arial" w:eastAsia="Arial" w:hAnsi="Arial"/>
          <w:sz w:val="18"/>
          <w:szCs w:val="18"/>
          <w:color w:val="auto"/>
        </w:rPr>
      </w:pPr>
    </w:p>
    <w:p>
      <w:pPr>
        <w:ind w:left="520" w:right="280" w:hanging="512"/>
        <w:spacing w:after="0" w:line="27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may have restricted duration expectations or guidance;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17" w:lineRule="exact"/>
        <w:rPr>
          <w:rFonts w:ascii="Arial" w:cs="Arial" w:eastAsia="Arial" w:hAnsi="Arial"/>
          <w:sz w:val="18"/>
          <w:szCs w:val="18"/>
          <w:color w:val="auto"/>
        </w:rPr>
      </w:pPr>
    </w:p>
    <w:p>
      <w:pPr>
        <w:ind w:left="520" w:right="140" w:hanging="512"/>
        <w:spacing w:after="0" w:line="27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civil or criminal investigations and litigation; or</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drug development costs will also increase if we experience delays in testing or obtaining marketing approvals. Also, delays in obtaining marketing approval may increase commercialization costs if the competitive environment becomes more intense prior to market entry. We do not know whether any of our preclinical studies or clinical trials will begin as planned, need to be restructured or be completed on schedule, if at all.</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9" w:name="page60"/>
    <w:bookmarkEnd w:id="59"/>
    <w:p>
      <w:pPr>
        <w:spacing w:after="0" w:line="291" w:lineRule="auto"/>
        <w:rPr>
          <w:sz w:val="20"/>
          <w:szCs w:val="20"/>
          <w:color w:val="auto"/>
        </w:rPr>
      </w:pPr>
      <w:r>
        <w:rPr>
          <w:rFonts w:ascii="Arial" w:cs="Arial" w:eastAsia="Arial" w:hAnsi="Arial"/>
          <w:sz w:val="16"/>
          <w:szCs w:val="16"/>
          <w:color w:val="auto"/>
        </w:rPr>
        <w:t>Further, we, the FDA or an institutional review board, or IRB, may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FDA finds deficiencies in our investigational NDAs or the conduct of these trials. Therefore, we cannot predict with any certainty the schedule for commencement and completion of future clinical trials. 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5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enrolling patients in our ongoing or planned clinical trials, our receipt of necessary regulatory approvals could be delayed or prevented.</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tovorafenib (DAY101)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regulatory approval or (iii) whether each specific BRAF mutation targeted will be included in the approved drug labeling. If our strategies for patient identification and enrollment prove unsuccessful, we may have difficulty enrolling or maintaining patients appropriate for our product candidates.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Further, if any of our competitors receive FDA approval for a product, it may limit our ability to enroll patients in our clinical trials if they decide to seek treatment with an approved product. For example, Novartis recently received approval for dabrafenib in combination with trametinib, which could in the future limit our ability to enroll patients in clinical trials for tovorafenib (DAY101). Patient enrollment is also affected by other factors, including:</w:t>
      </w:r>
    </w:p>
    <w:p>
      <w:pPr>
        <w:spacing w:after="0" w:line="66"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of appropriate competencies and experience;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incidence and prevalence of our target indications;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ind w:left="520" w:right="64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availability, expertise, and selection of contract research organizations, or CROs, to manage operations related to clinical trial enrollment;</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invasive procedures required to enroll patients and to obtain evidence of the product candidate’s performance during the clinical trial;</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eligibility criteria defined in the protocol for the trial in question;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we are subject to a partial or full clinical hold on any of our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reluctance of physicians or patient advocacy organizations to encourage patient participation in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inability to enroll and maintain a sufficient number of patients for our clinical trials would result in significant delays or may require us to abandon one or more clinical trials altogether. There may be competing trials, as well as the limited bandwidth of pediatric oncology institutions for running trials, which can lead to the prioritization of certain trials, resulting in delays in our clinical trials. In addition, parents may be reluctant to enroll their children in our clinical trials, or may decide to withdraw their children from our clinical trials to pursue other therapies.</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 candidates are currently under development, and may become commercially available in the future, for the treatment of conditions for which we may attempt to develop product candidates. In addition, our product candidates may need to compete with drugs physicians use off-label to treat the indications for which we seek approval. This may make it difficult for us to replace existing therapies with our product candidates.</w:t>
      </w:r>
    </w:p>
    <w:p>
      <w:pPr>
        <w:spacing w:after="0" w:line="6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spacing w:after="0" w:line="7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also compete with these organizations to recruit and retain qualified scientific, management and sales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right="60"/>
        <w:spacing w:after="0" w:line="248" w:lineRule="auto"/>
        <w:rPr>
          <w:sz w:val="20"/>
          <w:szCs w:val="20"/>
          <w:color w:val="auto"/>
        </w:rPr>
      </w:pPr>
      <w:r>
        <w:rPr>
          <w:rFonts w:ascii="Arial" w:cs="Arial" w:eastAsia="Arial" w:hAnsi="Arial"/>
          <w:sz w:val="18"/>
          <w:szCs w:val="18"/>
          <w:color w:val="auto"/>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by Genentech; dabrafenib, marketed as Tafinlar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by Novartis; and encorafenib, marketed as Braftovi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by Pfizer. Dabrafinib, in combination with trametinib, marketed as Mekinist® by Novartis, has been approved for the treatment of adult and pediatric patients ≥ 6 years of age with unresectable or metastatic solid tumors with BRAF V600E mutation who have progressed following prior treatment and have no satisfactory alternative treatment options. This includes BRAF V600E pLGG, a subset (10%-20%) of the greater RAF-altered pLGG clinical scope of the tovorafenib (DAY101) development program. Further, dabrafenib, in combination with trametinib, is being evaluated in a Novartis-sponsored randomized Phase 2 clinical trial in newly diagnosed patients with BRAF V600 mutant pLGG. Novartis has announced their plans to file a Supplemental New Drug Application based on data of this trial in early 2023.</w:t>
      </w:r>
    </w:p>
    <w:p>
      <w:pPr>
        <w:spacing w:after="0" w:line="94" w:lineRule="exact"/>
        <w:rPr>
          <w:sz w:val="20"/>
          <w:szCs w:val="20"/>
          <w:color w:val="auto"/>
        </w:rPr>
      </w:pPr>
    </w:p>
    <w:p>
      <w:pPr>
        <w:ind w:right="440"/>
        <w:spacing w:after="0" w:line="270" w:lineRule="auto"/>
        <w:rPr>
          <w:sz w:val="20"/>
          <w:szCs w:val="20"/>
          <w:color w:val="auto"/>
        </w:rPr>
      </w:pPr>
      <w:r>
        <w:rPr>
          <w:rFonts w:ascii="Arial" w:cs="Arial" w:eastAsia="Arial" w:hAnsi="Arial"/>
          <w:sz w:val="16"/>
          <w:szCs w:val="16"/>
          <w:color w:val="auto"/>
        </w:rPr>
        <w:t>Four MEK inhibitors have been approved by the FDA. Three have been approved for the treatment of tumors containing BRAF V600E or V600K mutations, including cobimetinib, marketed as Cotellic</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Genentech; trametinib, marketed as Mekinist</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Novartis; and binimetinib, marketed as Mektovi</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Pfizer. A fourth MEK inhibitor—selumetinib, marketed as Koselugo</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AstraZeneca—has been approved for the treatment of pediatric patients, two years of age and older, with neurofibromatosis type 1, or NF1, who have symptomatic, inoperable plexiform neurofibromas.</w:t>
      </w:r>
    </w:p>
    <w:p>
      <w:pPr>
        <w:spacing w:after="0" w:line="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BeiGene has two next-generation BRAF programs: Lifirafenib (BGB-283), which is currently in a Phase 1/2 trial in combination with mirdametinib, and BGB-3245 which is currently in a single agent in Phase 1 dose escalation study. Hanmi/Genentech are developing belvarafenib in combination with cobimetinib in a Phase 1b clinical trial. Fore Therapeutics (formerly NovellusDx) is developing the RAF dimer breaker PLX8394 in a Phase 1/2 trial in combination with cobicistat. Kinnate is developing KIN-2787 in a monotherapy Phase 1 clinical trial as well as in combination with the MEK inhibitor binimetinib in a Phase 1b clinical trial. Black Diamond Therapeutics have next-generation BRAF inhibitors in various stages of preclinical development. Jazz Pharmaceuticals and Redx have announced that the pan-RAF inhibitor JZP815 has entered clinical development in a Phase 1 trial. Erasca recently announced that it has entered into an exclusive worldwide license agreement with Novartis for naporafenib, a Phase 2 pivotal-ready pan-RAF inhibitor with a potential first-in-class and best-in-class profile in NRAS mutant melanoma and other RAS/MAPK pathway-driven tumors.</w:t>
      </w:r>
    </w:p>
    <w:p>
      <w:pPr>
        <w:spacing w:after="0" w:line="57"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With regard to the treatment of pLGG, some MEK inhibitors’ and some type I RAF inhibitors’ other targeted therapies are being studied in academic investigator-initiated clinical trials, and in some regions may be being used in an off-label manner. The off-label use of these agents may represent competition for tovorafenib (DAY101) when it enters the market.</w:t>
      </w:r>
    </w:p>
    <w:p>
      <w:pPr>
        <w:spacing w:after="0" w:line="7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w:t>
      </w:r>
    </w:p>
    <w:p>
      <w:pPr>
        <w:spacing w:after="0" w:line="7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Large pharmaceutical and biotechnology companies, in particular, have extensive experience in clinical testing, obtaining regulatory approvals,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w:t>
      </w:r>
    </w:p>
    <w:p>
      <w:pPr>
        <w:spacing w:after="0" w:line="58"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or could make our development more complicated.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ind w:right="40"/>
        <w:spacing w:after="0" w:line="293" w:lineRule="auto"/>
        <w:rPr>
          <w:sz w:val="20"/>
          <w:szCs w:val="20"/>
          <w:color w:val="auto"/>
        </w:rPr>
      </w:pPr>
      <w:r>
        <w:rPr>
          <w:rFonts w:ascii="Arial" w:cs="Arial" w:eastAsia="Arial" w:hAnsi="Arial"/>
          <w:sz w:val="16"/>
          <w:szCs w:val="16"/>
          <w:color w:val="auto"/>
        </w:rPr>
        <w:t>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7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Adverse side effects, other safety risks or aesthetic side effects associated with tovorafenib (DAY101), pimasertib or any future product candidates we may develop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4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is the case with pharmaceuticals generally, we have observed side effects and adverse events associated with our lead product candidate, tovorafenib (DAY101), and our other product candidates. These side effects included maculopapular rash, anemia, headache, elevation in blood creatinine phosphokinase (CPK), nausea, skin and hair discoloration and fatigue.</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8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Additionally, patients treated with our product candidates have undergone, or may also be undergoing, medical,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tovorafenib (DAY101), pimasertib or our other product candidates. If we elect or are required to delay, suspend or terminate any clinical trial, the commercial prospects of our product candidates will be harmed and our ability to generate product revenues from such product candidate will be delayed or eliminated. Serious adverse events, or SAEs, observed in clinical trials could hinder or prevent market acceptance of our product candidates or reduce the duration of time that physicians expect to use our product in particular patients. Any of these occurrences may significantly harm our business, prospects, financial condition and results of operations.</w:t>
      </w:r>
    </w:p>
    <w:p>
      <w:pPr>
        <w:spacing w:after="0" w:line="6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significantly harm our business, financial condition, results of operations and prospects significantly.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right="220"/>
        <w:spacing w:after="0" w:line="277" w:lineRule="auto"/>
        <w:rPr>
          <w:sz w:val="20"/>
          <w:szCs w:val="20"/>
          <w:color w:val="auto"/>
        </w:rPr>
      </w:pPr>
      <w:r>
        <w:rPr>
          <w:rFonts w:ascii="Arial" w:cs="Arial" w:eastAsia="Arial" w:hAnsi="Arial"/>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62"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approval of the drug;</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the drug is administered to patients;</w:t>
      </w:r>
    </w:p>
    <w:p>
      <w:pPr>
        <w:spacing w:after="0" w:line="117" w:lineRule="exact"/>
        <w:rPr>
          <w:rFonts w:ascii="Arial" w:cs="Arial" w:eastAsia="Arial" w:hAnsi="Arial"/>
          <w:sz w:val="18"/>
          <w:szCs w:val="18"/>
          <w:color w:val="auto"/>
        </w:rPr>
      </w:pPr>
    </w:p>
    <w:p>
      <w:pPr>
        <w:ind w:left="520" w:right="340" w:hanging="512"/>
        <w:spacing w:after="0" w:line="342"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15" w:lineRule="exact"/>
        <w:rPr>
          <w:rFonts w:ascii="Arial" w:cs="Arial" w:eastAsia="Arial" w:hAnsi="Arial"/>
          <w:sz w:val="16"/>
          <w:szCs w:val="16"/>
          <w:color w:val="auto"/>
        </w:rPr>
      </w:pPr>
    </w:p>
    <w:p>
      <w:pPr>
        <w:ind w:left="520" w:hanging="512"/>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be required to implement a REMS or create a medication guide outlining the risks of such side effects for distribution to patients;</w:t>
      </w:r>
    </w:p>
    <w:p>
      <w:pPr>
        <w:spacing w:after="0" w:line="128" w:lineRule="exact"/>
        <w:rPr>
          <w:rFonts w:ascii="Arial" w:cs="Arial" w:eastAsia="Arial" w:hAnsi="Arial"/>
          <w:sz w:val="17"/>
          <w:szCs w:val="17"/>
          <w:color w:val="auto"/>
        </w:rPr>
      </w:pPr>
    </w:p>
    <w:p>
      <w:pPr>
        <w:ind w:left="520" w:right="30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promotion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drug could become less competitive;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7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From time to time, we may publicly disclose preliminary, interim or topline data from our clinical trials, such as the initial interim data and the topline data analysis for the pivotal Phase 2 of our tovorafenib (DAY101) trial. These updates are based on a preliminary analysis of then-available data, and the results and related findings and conclusions are subject to change following a more comprehensive review of the data related to the particular study or trial.</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initial or topline results that we report may differ from future results of the same studies, or different conclusions or considerations may qualify such results, once additional data have been received and fully evaluated. Initial or topline data also remain subject to audit and verification procedures that may result in the final data being materially different from the preliminary data we previously published.</w:t>
      </w:r>
    </w:p>
    <w:p>
      <w:pPr>
        <w:spacing w:after="0" w:line="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market opportunities for any product candidates we develop, if approved, may be limited to certain smaller patient subsets and may be smaller than we estimate them to be.</w:t>
      </w:r>
    </w:p>
    <w:p>
      <w:pPr>
        <w:spacing w:after="0" w:line="6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plan to seek approval of tovorafenib (DAY101) as a treatment of both naïve and relapsed/progressive pLGG. There is no guarantee that our product candidates would be approved for either line of treatment, and prior to any such approvals we may have to conduct additional clinical trials that may be costly, time-consuming and subject to risk.</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projections of both the number of people who have the cancers we are targeting, as well as the subset of people with these cancers in a position to receive a particular line of therapy and who have the potential to benefit from treatment with our product candidates, are based on our beliefs and estimates. For example, pLGG is a rare disease, and as such, our projections of both the number of people who have this disease, as well as the subset of people with pLGG who have the potential to benefit from treatment with our product candidates, are based on estimates. These estimates have been derived from a variety of sources, including scientific literature, surveys of clinics, patient foundations or market research, and may prove to be incorrect. Further, new studies may change the estimated incidence or prevalence of the cancers that we are targeting. The potentially addressable patient population for our product candidates may be limited or may not be amenable to treatment with our product candidates. Consequently, even if our product candidates are approved,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 Even if we obtain significant market share for our products, if approved, if the potential target populations are small, we may never achieve profitability without obtaining regulatory approval for additional indications.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5" w:name="page66"/>
    <w:bookmarkEnd w:id="65"/>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Our clinical development activities are primarily focused on the development of targeted therapeutics for patients with genomically defined cancers, which is a rapidly evolving area of science, and the approach we are taking to discover and develop drugs is novel and may never lead to approved or marketable products.</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discovery and development of targeted therapeutics for patients with genomically 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In addition, even if our approach is successful in showing clinical benefit for RAF-driven cancers for our tovorafenib (DAY101) program, we may never successfully identify additional oncogenic alterations sensitive to tovorafenib (DAY101) in other MAPK-driven tumors. Therefore, we do not know if our approach of treating patients with genomically defined cancers will be successful, and if our approach is unsuccessful, our business will suffer.</w:t>
      </w:r>
    </w:p>
    <w:p>
      <w:pPr>
        <w:spacing w:after="0" w:line="2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or their families, healthcare payors and others in the medical community necessary for commercial success.</w:t>
      </w:r>
    </w:p>
    <w:p>
      <w:pPr>
        <w:spacing w:after="0" w:line="6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or their families, third-party payors and others in the medical community. The degree of market acceptance of any of our approved product candidates will depend on a number of factors, including:</w:t>
      </w:r>
    </w:p>
    <w:p>
      <w:pPr>
        <w:spacing w:after="0" w:line="76" w:lineRule="exact"/>
        <w:rPr>
          <w:sz w:val="20"/>
          <w:szCs w:val="20"/>
          <w:color w:val="auto"/>
        </w:rPr>
      </w:pPr>
    </w:p>
    <w:p>
      <w:pPr>
        <w:ind w:left="520" w:right="20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durability and safety profile as demonstrated in clinical trials compared to alternative treatments, in addition to functional, quality, or patient-reported outcomes;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17" w:lineRule="exact"/>
        <w:rPr>
          <w:rFonts w:ascii="Arial" w:cs="Arial" w:eastAsia="Arial" w:hAnsi="Arial"/>
          <w:sz w:val="18"/>
          <w:szCs w:val="18"/>
          <w:color w:val="auto"/>
        </w:rPr>
      </w:pPr>
    </w:p>
    <w:p>
      <w:pPr>
        <w:ind w:left="520" w:right="44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REMS, if any, which may not be required of alternative treatments and competitor products;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the cost/benefit ratios of each;</w:t>
      </w:r>
    </w:p>
    <w:p>
      <w:pPr>
        <w:spacing w:after="0" w:line="117" w:lineRule="exact"/>
        <w:rPr>
          <w:rFonts w:ascii="Arial" w:cs="Arial" w:eastAsia="Arial" w:hAnsi="Arial"/>
          <w:sz w:val="18"/>
          <w:szCs w:val="18"/>
          <w:color w:val="auto"/>
        </w:rPr>
      </w:pPr>
    </w:p>
    <w:p>
      <w:pPr>
        <w:ind w:left="520" w:right="12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 and timing of relevant formulary decision-making resulting in this coverage and reimbursement;</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 relation to competition;</w:t>
      </w:r>
    </w:p>
    <w:p>
      <w:pPr>
        <w:spacing w:after="0" w:line="117" w:lineRule="exact"/>
        <w:rPr>
          <w:rFonts w:ascii="Arial" w:cs="Arial" w:eastAsia="Arial" w:hAnsi="Arial"/>
          <w:sz w:val="18"/>
          <w:szCs w:val="18"/>
          <w:color w:val="auto"/>
        </w:rPr>
      </w:pPr>
    </w:p>
    <w:p>
      <w:pPr>
        <w:ind w:left="520" w:right="160" w:hanging="512"/>
        <w:spacing w:after="0" w:line="308"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willingness of the target patient population (which may include willingness of our pediatric patients’ parents) to try new therapies and undergo required diagnostic screening to determine treatment eligibility and of physicians to prescribe these therapies and diagnostic tests;</w:t>
      </w:r>
    </w:p>
    <w:p>
      <w:pPr>
        <w:spacing w:after="0" w:line="38" w:lineRule="exact"/>
        <w:rPr>
          <w:rFonts w:ascii="Arial" w:cs="Arial" w:eastAsia="Arial" w:hAnsi="Arial"/>
          <w:sz w:val="17"/>
          <w:szCs w:val="17"/>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sales, marketing efforts and market access;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66" w:name="page67"/>
    <w:bookmarkEnd w:id="66"/>
    <w:p>
      <w:pPr>
        <w:ind w:right="200"/>
        <w:spacing w:after="0" w:line="308" w:lineRule="auto"/>
        <w:rPr>
          <w:sz w:val="20"/>
          <w:szCs w:val="20"/>
          <w:color w:val="auto"/>
        </w:rPr>
      </w:pPr>
      <w:r>
        <w:rPr>
          <w:rFonts w:ascii="Arial" w:cs="Arial" w:eastAsia="Arial" w:hAnsi="Arial"/>
          <w:sz w:val="17"/>
          <w:szCs w:val="17"/>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25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The payor mix for pediatric products in the United States is a fragmented combination of state-specific Medicaid policies and a broad universe of private insurance companies. There is no consistent policy or leading payor to inform other price-setting entities. National payor policies are expected to be critical to our ability to achieve broad payment coverage.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6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w:t>
      </w:r>
    </w:p>
    <w:p>
      <w:pPr>
        <w:spacing w:after="0" w:line="5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plan to conduct expensive pharmaco-economic studies to demonstrate the medical necessity and cost-effectiveness of our products. Nonetheless, our product candidates may not be considered medically necessary or cost-effective. We cannot be sure that coverage and reimbursement will be available for any product that we commercialize and, if reimbursement is available, what the level of reimbursement will be.</w:t>
      </w:r>
    </w:p>
    <w:p>
      <w:pPr>
        <w:spacing w:after="0" w:line="8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right="40"/>
        <w:spacing w:after="0" w:line="288"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60" w:lineRule="exact"/>
        <w:rPr>
          <w:sz w:val="20"/>
          <w:szCs w:val="20"/>
          <w:color w:val="auto"/>
        </w:rPr>
      </w:pPr>
    </w:p>
    <w:p>
      <w:pPr>
        <w:ind w:right="60" w:firstLine="4"/>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development and commercialization of pharmaceutical products are subject to extensive regulation, and we may not obtain regulatory approvals for tovorafenib (DAY101), pimasertib or any future product candidates, on a timely basis or at all.</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tovorafenib (DAY101) and pimasertib,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right="60"/>
        <w:spacing w:after="0" w:line="259" w:lineRule="auto"/>
        <w:rPr>
          <w:sz w:val="20"/>
          <w:szCs w:val="20"/>
          <w:color w:val="auto"/>
        </w:rPr>
      </w:pPr>
      <w:r>
        <w:rPr>
          <w:rFonts w:ascii="Arial" w:cs="Arial" w:eastAsia="Arial" w:hAnsi="Arial"/>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7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pivotal Phase 2 FIREFLY-1 trial of tovorafenib (DAY101) may be sufficient to support FDA approval of an NDA for tovorafenib (DAY101), but the FDA may disagree with the sufficiency of our data and require additional clinical trials. Additionally, depending upon the results of the pivotal Phase 2 FIREFLY-1 trial of tovorafenib (DAY101), we may receive accelerated approval for tovorafenib (DAY101), which would require additional data and potentially a confirmatory trial to validate the clinical benefit of the drug. Despite the time and expense associated with preclinical studies and clinical trials, failure can occur at any stage. The results of preclinical and early clinical trials of tovorafenib (DAY101) or pimasertib or any other product candidate may not be predictive of the results of our later-stage clinical trials. Additionally, we have become aware of competitor clinical trials in front-line pLGG and we believe the FDA and other regulators may consider the design and results of these trials when evaluating our front-line program. For example, while we may believe certain results in patients, such as stable disease, suggest encouraging clinical activity, stable disease is not considered a response for regulatory purposes in an endpoint assessing overall response rate, or ORR.</w:t>
      </w:r>
    </w:p>
    <w:p>
      <w:pPr>
        <w:spacing w:after="0" w:line="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we may experience delays or rejections based upon additional government regulation from future legislation or administrative action, or changes in regulatory authority policy during the period of product development, clinical trials, and the review process. For example, in May 2022, the Oncology Center of Excellence within the FDA has recently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 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The FDA could delay, limit or deny approval of a product candidate for many reasons, including because the FDA may:</w:t>
      </w:r>
    </w:p>
    <w:p>
      <w:pPr>
        <w:spacing w:after="0" w:line="87"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deem our product candidate to be safe and effective;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 that the product candidate does not have an acceptable benefit-risk profile;</w:t>
      </w:r>
    </w:p>
    <w:p>
      <w:pPr>
        <w:spacing w:after="0" w:line="117" w:lineRule="exact"/>
        <w:rPr>
          <w:rFonts w:ascii="Arial" w:cs="Arial" w:eastAsia="Arial" w:hAnsi="Arial"/>
          <w:sz w:val="18"/>
          <w:szCs w:val="18"/>
          <w:color w:val="auto"/>
        </w:rPr>
      </w:pPr>
    </w:p>
    <w:p>
      <w:pPr>
        <w:ind w:left="520" w:right="460" w:hanging="512"/>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 in the case of an NDA seeking accelerated approval that the NDA does not provide evidence that the product candidate represents a meaningful advantage over available therapies;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determine that ORR as the primary endpoint, complemented by key secondary endpoints, is insufficient to reliably define clinical benefit;</w:t>
      </w:r>
    </w:p>
    <w:p>
      <w:pPr>
        <w:spacing w:after="0" w:line="128" w:lineRule="exact"/>
        <w:rPr>
          <w:rFonts w:ascii="Arial" w:cs="Arial" w:eastAsia="Arial" w:hAnsi="Arial"/>
          <w:sz w:val="17"/>
          <w:szCs w:val="17"/>
          <w:color w:val="auto"/>
        </w:rPr>
      </w:pPr>
    </w:p>
    <w:p>
      <w:pPr>
        <w:ind w:left="520" w:right="60" w:hanging="512"/>
        <w:spacing w:after="0" w:line="308"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9" w:name="page70"/>
    <w:bookmarkEnd w:id="69"/>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determine that adverse events experienced by participants in our clinical trials represent an unacceptable level of risk;</w:t>
      </w:r>
    </w:p>
    <w:p>
      <w:pPr>
        <w:spacing w:after="0" w:line="117" w:lineRule="exact"/>
        <w:rPr>
          <w:rFonts w:ascii="Arial" w:cs="Arial" w:eastAsia="Arial" w:hAnsi="Arial"/>
          <w:sz w:val="18"/>
          <w:szCs w:val="18"/>
          <w:color w:val="auto"/>
        </w:rPr>
      </w:pPr>
    </w:p>
    <w:p>
      <w:pPr>
        <w:ind w:left="520" w:right="300" w:hanging="512"/>
        <w:spacing w:after="0" w:line="277"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determine that the population studied in the clinical trial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520" w:right="220" w:hanging="512"/>
        <w:spacing w:after="0" w:line="277"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disagree regarding the formulation, labeling and/or the specifications;</w:t>
      </w:r>
    </w:p>
    <w:p>
      <w:pPr>
        <w:spacing w:after="0" w:line="117" w:lineRule="exact"/>
        <w:rPr>
          <w:rFonts w:ascii="Arial" w:cs="Arial" w:eastAsia="Arial" w:hAnsi="Arial"/>
          <w:sz w:val="18"/>
          <w:szCs w:val="18"/>
          <w:color w:val="auto"/>
        </w:rPr>
      </w:pPr>
    </w:p>
    <w:p>
      <w:pPr>
        <w:ind w:left="520" w:right="360" w:hanging="512"/>
        <w:spacing w:after="0" w:line="277"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approve the manufacturing processes associated with our product candidate or may determine that a manufacturing facility does not have an acceptable compliance status;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approval policies or adopt new regulations; or</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file a submission due to, among other reasons, the content or formatting of the submission.</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not obtained FDA approval for any product. This lack of experience may impede our ability to obtain FDA approval in a timely manner, if at all, for our clinical product candidates. Furthermore, even if we receive FDA approval, there is no assurance that we will receive similar approval from comparable regulatory authorities in foreign jurisdictions, which may limit our addressable market and could adversely affect our business, prospects, financial condition and results of operations.</w:t>
      </w:r>
    </w:p>
    <w:p>
      <w:pPr>
        <w:spacing w:after="0" w:line="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If we experience delays in obtaining approval or if we fail to obtain approval of tovorafenib (DAY101) or pimasertib, or our future product candidates, if any, our commercial prospects will be harmed and our ability to generate revenues will be materially impaired, which would adversely affect our business, prospects, financial condition and results of operations.</w:t>
      </w:r>
    </w:p>
    <w:p>
      <w:pPr>
        <w:spacing w:after="0" w:line="2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a surrogate endpoint that we believe is reasonably likely to predict clinical benefit.</w:t>
      </w:r>
    </w:p>
    <w:p>
      <w:pPr>
        <w:spacing w:after="0" w:line="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most cases, the FDA may require that the trial be designed, initiated, and/or fully enrolled prior to approval. 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70" w:lineRule="exact"/>
        <w:rPr>
          <w:sz w:val="20"/>
          <w:szCs w:val="20"/>
          <w:color w:val="auto"/>
        </w:rPr>
      </w:pPr>
    </w:p>
    <w:p>
      <w:pPr>
        <w:ind w:left="520" w:right="160" w:hanging="512"/>
        <w:spacing w:after="0" w:line="277"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trial or trials required to verify the predicted clinical benefit of our product candidate fail to verify such benefit or do not demonstrate sufficient clinical benefit to justify the risks associated with the drug;</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evidence demonstrates that our product candidate is not shown to be safe or effective under the conditions of use;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fail to conduct any required post-approval trial of our product candidate with due diligence; or</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relevant product candidate.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spacing w:after="0" w:line="290" w:lineRule="auto"/>
        <w:rPr>
          <w:sz w:val="20"/>
          <w:szCs w:val="20"/>
          <w:color w:val="auto"/>
        </w:rPr>
      </w:pPr>
      <w:r>
        <w:rPr>
          <w:rFonts w:ascii="Arial" w:cs="Arial" w:eastAsia="Arial" w:hAnsi="Arial"/>
          <w:sz w:val="16"/>
          <w:szCs w:val="16"/>
          <w:color w:val="auto"/>
        </w:rPr>
        <w:t>Recently, the accelerated approval pathway has come under scrutiny within the FDA and by Congress.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 In addition, in 2021, the Oncology Center of Excellence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 Furthermore, in addition, Congress is considering various proposals to potentially make changes to the accelerated approval pathway, including proposals to increase the likelihood of withdrawal of approval in such circumstances.</w:t>
      </w:r>
    </w:p>
    <w:p>
      <w:pPr>
        <w:spacing w:after="0" w:line="27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Even though we have received breakthrough therapy designation by the FDA for tovorafenib (DAY101) in treating pLGG, such designation may not lead to a faster development or regulatory review or approval process, and it does not increase the likelihood that tovorafenib (DAY101) will receive marketing approval.</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received breakthrough therapy designation by the FDA for tovorafenib (DAY101) in patients with advanced pLGG.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Although breakthrough therapy designation or access to any other expedited program may expedite the development or approval process, it does not change the standards for approval. Although we obtained Breakthrough Therapy designation for tovorafenib (DAY101) in advanced pLGG, we may not experience faster development timelines or achieve faster review or approval compared to conventional FDA procedures. For example, the time required to identify and resolve issues relating to manufacturing and controls, the acquisition of a sufficient supply of our product for clinical trial purposes or the need to conduct additional nonclinical or clinical studies may delay approval by the FDA, even if the product qualifies for Breakthrough Therapy designation or access to any other expedited program.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product.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obtained orphan drug designation in the United States and in the EU for use of tovorafenib (DAY101) in treating malignant glioma and glioma, respectively. We may seek orphan drug designation for tovorafenib (DAY101) in additional geographies or indications, or for pimasertib or any product candidates we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1" w:name="page72"/>
    <w:bookmarkEnd w:id="71"/>
    <w:p>
      <w:pPr>
        <w:ind w:right="220"/>
        <w:spacing w:after="0" w:line="254"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for the same indication during that time period. The applicable period is seven years in the United States and ten years in the EU. The EU exclusivity period can be reduced to six years if a drug no longer meets the criteria for orphan drug designation or if the drug is sufficiently profitable so that market exclusivity is no longer justified. Orphan drug exclusivity in the United States may be lost if the FDA determines that the request for designation was materially defective or if the manufacturer is unable to assure sufficient quantity of the drug to meet the needs of patients with the rare disease or condition.</w:t>
      </w:r>
    </w:p>
    <w:p>
      <w:pPr>
        <w:spacing w:after="0" w:line="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w:t>
      </w:r>
    </w:p>
    <w:p>
      <w:pPr>
        <w:spacing w:after="0" w:line="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cannot assure you that any future application for orphan drug designation with respect to any other product candidate will be granted. If we are unable to obtain orphan drug designation with respect to other product candidates in the United States or other jurisdictions, we will not be eligible to obtain the period of market exclusivity that could result from orphan drug designation or be afforded the financial incentives associated with orphan drug designation.</w:t>
      </w:r>
    </w:p>
    <w:p>
      <w:pPr>
        <w:spacing w:after="0" w:line="4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Moreover, a recent Eleventh Circuit decision in Catalyst Pharmaceuticals, Inc. vs. FDA regarding interpretation of the Orphan Drug Act exclusivity provisions as applied to drugs approved for orphan indications narrower than the drug’s orphan designation has the potential to significantly broaden the scope of orphan drug exclusivity for such products. Depending on how broadly the FDA applies the Catalyst decision, it could fundamentally change how companies rely on, or seek to work around, orphan drug exclusivity. Legislation has also been introduced that may reverse the Catalyst decision, but such legislation is still in early stages and has not been passed.</w:t>
      </w:r>
    </w:p>
    <w:p>
      <w:pPr>
        <w:spacing w:after="0" w:line="296"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We may seek a rare pediatric disease designation for one or more of our product candidates. Even if we were to obtain approval for our product candidates with the rare pediatric disease designation, the Rare Pediatric Disease Priority Review Voucher program may no longer be in effect at the time of such approval or we might not be able to capture the value of the Rare Pediatric Disease Priority Review Voucher program.</w:t>
      </w:r>
    </w:p>
    <w:p>
      <w:pPr>
        <w:spacing w:after="0" w:line="4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Tovorafenib (DAY101) was granted rare pediatric designation by the FDA in May 2021 for tovorafenib (DAY101) in the treatment of low-grade gliomas, or LGGs, harboring an activating RAF alteration that disproportionately affects children. We intend to submit the initial tovorafenib (DAY101) NDA as a rare pediatric designation marketing application which may or may not be designated as such by the FDA upon review.</w:t>
      </w:r>
    </w:p>
    <w:p>
      <w:pPr>
        <w:spacing w:after="0" w:line="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Congress authorized the FDA to award priority review vouchers to sponsors of certain rare pediatric disease product applications that meet the specified criteria. These vouchers are designed to encourage development of new drug and biological products for prevention and treatment of certain rare pediatric diseases.</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or realize any value if we receive and were to sell the voucher.</w:t>
      </w:r>
    </w:p>
    <w:p>
      <w:pPr>
        <w:spacing w:after="0" w:line="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 within the meaning of the Orphan Drug Act. The FDA may determine that an application for one or more of our product candidates does not meet the eligibility criteria for a priority review voucher upon approval.</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2" w:name="page73"/>
    <w:bookmarkEnd w:id="72"/>
    <w:p>
      <w:pPr>
        <w:ind w:right="100"/>
        <w:spacing w:after="0" w:line="257" w:lineRule="auto"/>
        <w:rPr>
          <w:sz w:val="20"/>
          <w:szCs w:val="20"/>
          <w:color w:val="auto"/>
        </w:rPr>
      </w:pPr>
      <w:r>
        <w:rPr>
          <w:rFonts w:ascii="Arial" w:cs="Arial" w:eastAsia="Arial" w:hAnsi="Arial"/>
          <w:sz w:val="18"/>
          <w:szCs w:val="18"/>
          <w:color w:val="auto"/>
        </w:rPr>
        <w:t>Moreover, while the opportunity to receive a priority review voucher was meant to expire for those companies that had not received a designation by September 30, 2020, the Rare Pediatric Disease Priority Review Voucher program was extended by Congress in December 2020. Under the current statutory sunset provisions, after September 30, 2024, the FDA may only award a voucher for an approved rare pediatric disease product application if the sponsor has rare pediatric disease designation for the drug, and that designation was granted by September 30, 2024. After September 30, 2026, the FDA may not award any rare pediatric disease priority review vouchers.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decide to pursue a Fast Track Designation by the FDA, it may not lead to a faster development or regulatory review or approval process.</w:t>
      </w:r>
    </w:p>
    <w:p>
      <w:pPr>
        <w:spacing w:after="0" w:line="14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86"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A companion diagnostic is a medical device, often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if required to develop a companion diagnostic, we may evaluate opportunities to develop, either by ourselves or with collaborators, companion diagnostic tests for our product candidates for certain indications.</w:t>
      </w:r>
    </w:p>
    <w:p>
      <w:pPr>
        <w:spacing w:after="0" w:line="7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requires that the companion diagnostic be approved before or concurrent with approval of the therapeutic product and before such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3" w:name="page74"/>
    <w:bookmarkEnd w:id="73"/>
    <w:p>
      <w:pPr>
        <w:spacing w:after="0" w:line="286" w:lineRule="auto"/>
        <w:rPr>
          <w:sz w:val="20"/>
          <w:szCs w:val="20"/>
          <w:color w:val="auto"/>
        </w:rPr>
      </w:pPr>
      <w:r>
        <w:rPr>
          <w:rFonts w:ascii="Arial" w:cs="Arial" w:eastAsia="Arial" w:hAnsi="Arial"/>
          <w:sz w:val="16"/>
          <w:szCs w:val="16"/>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how to explain it to patients, or dedicate staff to using it. Any failure to do so could materially harm our business, results of operations and financial condition.</w:t>
      </w:r>
    </w:p>
    <w:p>
      <w:pPr>
        <w:spacing w:after="0" w:line="2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 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7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w:t>
      </w:r>
    </w:p>
    <w:p>
      <w:pPr>
        <w:spacing w:after="0" w:line="7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4" w:name="page75"/>
    <w:bookmarkEnd w:id="74"/>
    <w:p>
      <w:pPr>
        <w:spacing w:after="0" w:line="311" w:lineRule="auto"/>
        <w:rPr>
          <w:sz w:val="20"/>
          <w:szCs w:val="20"/>
          <w:color w:val="auto"/>
        </w:rPr>
      </w:pPr>
      <w:r>
        <w:rPr>
          <w:rFonts w:ascii="Arial" w:cs="Arial" w:eastAsia="Arial" w:hAnsi="Arial"/>
          <w:sz w:val="16"/>
          <w:szCs w:val="16"/>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4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70"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75" w:name="page76"/>
    <w:bookmarkEnd w:id="75"/>
    <w:p>
      <w:pPr>
        <w:spacing w:after="0" w:line="375" w:lineRule="auto"/>
        <w:rPr>
          <w:sz w:val="20"/>
          <w:szCs w:val="20"/>
          <w:color w:val="auto"/>
        </w:rPr>
      </w:pPr>
      <w:r>
        <w:rPr>
          <w:rFonts w:ascii="Arial" w:cs="Arial" w:eastAsia="Arial" w:hAnsi="Arial"/>
          <w:sz w:val="15"/>
          <w:szCs w:val="15"/>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200" w:lineRule="exact"/>
        <w:rPr>
          <w:sz w:val="20"/>
          <w:szCs w:val="20"/>
          <w:color w:val="auto"/>
        </w:rPr>
      </w:pPr>
    </w:p>
    <w:p>
      <w:pPr>
        <w:spacing w:after="0" w:line="28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5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53" w:lineRule="exact"/>
        <w:rPr>
          <w:sz w:val="20"/>
          <w:szCs w:val="20"/>
          <w:color w:val="auto"/>
        </w:rPr>
      </w:pPr>
    </w:p>
    <w:p>
      <w:pPr>
        <w:ind w:left="520" w:right="80" w:hanging="512"/>
        <w:spacing w:after="0" w:line="259"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520" w:right="80" w:hanging="512"/>
        <w:spacing w:after="0" w:line="257"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79" w:lineRule="exact"/>
        <w:rPr>
          <w:rFonts w:ascii="Arial" w:cs="Arial" w:eastAsia="Arial" w:hAnsi="Arial"/>
          <w:sz w:val="18"/>
          <w:szCs w:val="18"/>
          <w:color w:val="auto"/>
        </w:rPr>
      </w:pPr>
    </w:p>
    <w:p>
      <w:pPr>
        <w:ind w:left="520" w:right="380" w:hanging="512"/>
        <w:spacing w:after="0" w:line="301" w:lineRule="auto"/>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49" w:lineRule="exact"/>
        <w:rPr>
          <w:rFonts w:ascii="Arial" w:cs="Arial" w:eastAsia="Arial" w:hAnsi="Arial"/>
          <w:sz w:val="16"/>
          <w:szCs w:val="16"/>
          <w:color w:val="auto"/>
        </w:rPr>
      </w:pPr>
    </w:p>
    <w:p>
      <w:pPr>
        <w:ind w:left="520" w:right="20" w:hanging="512"/>
        <w:spacing w:after="0" w:line="279"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their implementing regulations, imposes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6" w:name="page77"/>
    <w:bookmarkEnd w:id="76"/>
    <w:p>
      <w:pPr>
        <w:ind w:left="520" w:right="80" w:hanging="512"/>
        <w:spacing w:after="0" w:line="291"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transparency requirements under the Patient Protection and Affordable Care Act, as amended by the Health Care and Education Reconciliation Act of 2010, collectively referred to as the ACA, require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and their immediate family members. Beginning January 1, 2021, manufacturers are required to collect information regarding payments and transfers of value to physician assistants, nurse practitioners, clinical nurse specialists, anesthesiologist assistants, certified nurse anesthetists and certified nurse-midwives for reporting in the following year. The reported information is made available on a public website; and</w:t>
      </w:r>
    </w:p>
    <w:p>
      <w:pPr>
        <w:spacing w:after="0" w:line="58" w:lineRule="exact"/>
        <w:rPr>
          <w:rFonts w:ascii="Arial" w:cs="Arial" w:eastAsia="Arial" w:hAnsi="Arial"/>
          <w:sz w:val="16"/>
          <w:szCs w:val="16"/>
          <w:color w:val="auto"/>
        </w:rPr>
      </w:pPr>
    </w:p>
    <w:p>
      <w:pPr>
        <w:ind w:left="520" w:hanging="512"/>
        <w:spacing w:after="0" w:line="271"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Certain state and local laws require the registration of pharmaceutical sales representatives. Certain state and non-U.S. laws, many of which differ from each other in significant ways and often are not preempted by HIPAA, also govern the privacy and security of health information in some circumstances, thus complicating compliance efforts.</w:t>
      </w:r>
    </w:p>
    <w:p>
      <w:pPr>
        <w:spacing w:after="0" w:line="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30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decrease the prices we may obtain.</w:t>
      </w:r>
    </w:p>
    <w:p>
      <w:pPr>
        <w:spacing w:after="0" w:line="6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 fees and taxes on manufacturers of certain branded prescription drugs;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7" w:name="page78"/>
    <w:bookmarkEnd w:id="77"/>
    <w:p>
      <w:pPr>
        <w:ind w:left="520" w:right="140" w:hanging="512"/>
        <w:spacing w:after="0" w:line="263"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520" w:right="280" w:hanging="512"/>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62"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report financial arrangements with physicians, as defined by such law, and teaching hospitals;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There have been executive, judicial and Congressional challenges to repeal or replace certain aspects of the ACA, including measures taken during the former U.S. president’s administration. The Trump administration released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it has enacted laws that modify certain provisions of the ACA such as removing penalties, since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U.S. Supreme Court held oral arguments on the U.S. Court of Appeals for the Fifth Circuit’s decision that held that the individual mandate is unconstitutional. On February 10, 2021, Biden administration withdrew the federal government’s support for overturning the ACA. In June 2021, the U.S. Supreme Court remanded the case with instructions to dismiss for lack of standing. However, the U.S. Supreme Court did not decide the ultimate issue of the validity of the individual mandate. Thus, there may be other efforts to challenge the individual mandate or to challenge, repeal or replace the ACA. It is unclear how the U.S. Supreme Court ruling, other such litigation and the healthcare reform measures of the current presidential administration will impact the ACA and our business.</w:t>
      </w:r>
    </w:p>
    <w:p>
      <w:pPr>
        <w:spacing w:after="0" w:line="6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8" w:name="page79"/>
    <w:bookmarkEnd w:id="78"/>
    <w:p>
      <w:pPr>
        <w:spacing w:after="0" w:line="284"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former president of the United States used several means to propose or implement drug pricing reform, including through federal budget proposals, executive orders, and policy initiatives.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the U.S. Department of Health and Human Services, or HHS, to negotiate the selling price of certain drugs and biologics that CMS reimburses under Medicare Part B and Part D, although this will only apply to high-expenditure single-source drugs that have been approved for at least 7 years (11 years for biologics). The negotiated prices, which will first become effective in 2026, will be capped at a statutory ceiling price beginning in October 2023, penalize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 In addition, the Secretary of the HHS recently proposed testing three new models for pricing efficiency, including one that develops payment methods for drugs approved under accelerated approval, in consultation with the Food and Drug Administration, to encourage timely confirmatory trial completion and improve access to post-market safety and efficacy data with the goal of reducing Medicare spending on drugs that have no confirmed clinical benefit. Further,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particularly in light of the new presidential administration. Such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It is also possible that additional governmental action is taken in response to the ongoing COVID-19 pandemic.</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some countries, including Canada and certain member states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 In addition, the withdrawal of the United Kingdom, or UK, from its membership in the EU, often referred to as “Brexit,” could lead to further legal and regulatory uncertainty in the UK and may lead to the UK and EU adopting divergent laws and regulations, including those related to the pricing of prescription pharmaceuticals, as the UK determines which EU laws to replicate or replace. If the UK were to significantly alter its regulations affecting the pricing of prescription pharmaceuticals, we could face significant new costs. As a result, Brexit could impair our ability to transact business in the EU and the UK.</w:t>
      </w:r>
    </w:p>
    <w:p>
      <w:pPr>
        <w:spacing w:after="0" w:line="292"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and their party agents from paying, offering, authorizing payment or offering anything of value, directly or indirectly, to any foreign official, political party or candidate for the purpose of influencing any act or decision of such third-party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6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spacing w:after="0" w:line="87" w:lineRule="exact"/>
        <w:rPr>
          <w:sz w:val="20"/>
          <w:szCs w:val="20"/>
          <w:color w:val="auto"/>
        </w:rPr>
      </w:pPr>
    </w:p>
    <w:p>
      <w:pPr>
        <w:jc w:val="both"/>
        <w:ind w:right="500"/>
        <w:spacing w:after="0" w:line="279" w:lineRule="auto"/>
        <w:rPr>
          <w:sz w:val="20"/>
          <w:szCs w:val="20"/>
          <w:color w:val="auto"/>
        </w:rPr>
      </w:pPr>
      <w:r>
        <w:rPr>
          <w:rFonts w:ascii="Arial" w:cs="Arial" w:eastAsia="Arial" w:hAnsi="Arial"/>
          <w:sz w:val="17"/>
          <w:szCs w:val="17"/>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5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7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1" w:name="page82"/>
    <w:bookmarkEnd w:id="81"/>
    <w:p>
      <w:pPr>
        <w:ind w:right="60"/>
        <w:spacing w:after="0" w:line="277" w:lineRule="auto"/>
        <w:rPr>
          <w:sz w:val="20"/>
          <w:szCs w:val="20"/>
          <w:color w:val="auto"/>
        </w:rPr>
      </w:pPr>
      <w:r>
        <w:rPr>
          <w:rFonts w:ascii="Arial" w:cs="Arial" w:eastAsia="Arial" w:hAnsi="Arial"/>
          <w:sz w:val="18"/>
          <w:szCs w:val="18"/>
          <w:b w:val="1"/>
          <w:bCs w:val="1"/>
          <w:i w:val="1"/>
          <w:iCs w:val="1"/>
          <w:color w:val="auto"/>
        </w:rPr>
        <w:t>We are developing our current product candidates, and may continue to develop future product candidates, in combination with other therapies, which would expose us to additional risks.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developing our current product candidates in combination with one or more currently approved cancer therapies or therapies in development. Even if any of our current or future product candidates were to receive marketing approval or be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6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30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have never commercialized a product candidate as a company before and currently lack the comprehensive, fully staffed expertise, personnel and resources to successfully commercialize any products on our own or together with suitable collaborators.</w:t>
      </w:r>
    </w:p>
    <w:p>
      <w:pPr>
        <w:spacing w:after="0" w:line="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never commercialized a product candidate as a company. We may license certain rights with respect to our product candidates to collaborators and rely on the assistance and guidance of those collaborators. For product candidates for which we retain commercialization rights and marketing approval, we will have to develop our own sales, marketing, market access, commercial planning and supply organization or outsource these activities to a third-party.</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We are planning on finding collaborations to secure regulatory approvals and commercialize our products outside of the United States. We cannot assure that any collaboration(s) will result in short-term or long-term benefit to the company.</w:t>
      </w:r>
    </w:p>
    <w:p>
      <w:pPr>
        <w:spacing w:after="0" w:line="7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Factors that may affect our ability to commercialize our product candidates, if approved, on our own include recruiting and retaining adequate numbers of effective sales, marketing, and market access personnel, developing and producing adequate educational and marketing programs to increase public acceptance of our approved product candidates, ensuring regulatory compliance of our company, all communications and materials in the promotional domain,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4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do not have the ability to independently conduct all aspects of our clinical trials ourselves. As a result, we are dependent on third parties to conduct our ongoing and planned clinical trials of tovorafenib (DAY101) and pimasertib, and any preclinical studies and clinical trials of any future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tovorafenib (DAY101)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to comply with these regulations may require us to stop and/or repeat clinical trials, which would delay the marketing approval process.</w:t>
      </w:r>
    </w:p>
    <w:p>
      <w:pPr>
        <w:spacing w:after="0" w:line="6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There is no guarantee that any such CROs, clinical trial investigators or other third parties on which we rely will devote adequate time and resources to our development activities or perform as contractually required. In addition, these third parties may be subject to supply chain or inflationary pressures that limit their ability to achieve anticipated timelines or result a greater cost to us. For example, we are aware of a shortage of non-human primates available for preclinical studies and although that is not expected to impact our current business if we begin new product development programs we could be subject to longer development times or difficulty completing necessary research.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spacing w:after="0" w:line="285" w:lineRule="auto"/>
        <w:rPr>
          <w:sz w:val="20"/>
          <w:szCs w:val="20"/>
          <w:color w:val="auto"/>
        </w:rPr>
      </w:pPr>
      <w:r>
        <w:rPr>
          <w:rFonts w:ascii="Arial" w:cs="Arial" w:eastAsia="Arial" w:hAnsi="Arial"/>
          <w:sz w:val="16"/>
          <w:szCs w:val="16"/>
          <w:color w:val="auto"/>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spacing w:after="0" w:line="68"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tovorafenib (DAY101), pimasertib or any future product candidates and will not be able to, or may be delayed in our efforts to, successfully commercialize our products.</w:t>
      </w:r>
    </w:p>
    <w:p>
      <w:pPr>
        <w:spacing w:after="0" w:line="26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The manufacture of our product candidates is complex. Our third-party manufacturers may encounter difficulties in production, which could delay or entirely halt their ability to supply our product candidates for clinical trials or, if approved, for commercial sale.</w:t>
      </w:r>
    </w:p>
    <w:p>
      <w:pPr>
        <w:spacing w:after="0" w:line="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do not have any manufacturing facilities, and we currently contract with certain third-party manufacturers in China. We rely, and expect to continue to rely, on third parties for the manufacture of our product candidates for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For example, the extent to which the COVID-19 pandemic impacts our ability to procure sufficient supplies for the development of our product candidates will depend on the severity and duration of the spread of the virus and the actions undertaken to contain the COVID-19 virus or treat its effects. We cannot be sure if lock-down measures or restrictions will be implemented and what, if any, impact that may have on our facilities and operations in the region, including but not limited to a decrease or disruption of production, increased costs of production or other interruptions in our supply chain. 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4" w:name="page85"/>
    <w:bookmarkEnd w:id="84"/>
    <w:p>
      <w:pPr>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62"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reliance on the third party for product development, analytical testing, and data generation to support regulatory applications;</w:t>
      </w:r>
    </w:p>
    <w:p>
      <w:pPr>
        <w:spacing w:after="0" w:line="117" w:lineRule="exact"/>
        <w:rPr>
          <w:rFonts w:ascii="Arial" w:cs="Arial" w:eastAsia="Arial" w:hAnsi="Arial"/>
          <w:sz w:val="18"/>
          <w:szCs w:val="18"/>
          <w:color w:val="auto"/>
        </w:rPr>
      </w:pPr>
    </w:p>
    <w:p>
      <w:pPr>
        <w:ind w:left="520" w:right="20" w:hanging="512"/>
        <w:spacing w:after="0" w:line="263"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75"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deliver our drugs under specified storage conditions and in a timely manner.</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only limited supply arrangements in place with respect to our product candidates, and these arrangements do not extend to commercial supply. We acquire all key materials on a purchase order basis. As a result, we do not have long-term committed arrangements with respect to our product candidates and other materials. As a result, supply chain issues, such as those related to certain packaging material, may negatively impact our ability to package and deliver product candidates if not managed effectively.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7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8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5" w:name="page86"/>
    <w:bookmarkEnd w:id="85"/>
    <w:p>
      <w:pPr>
        <w:spacing w:after="0" w:line="254" w:lineRule="auto"/>
        <w:rPr>
          <w:sz w:val="20"/>
          <w:szCs w:val="20"/>
          <w:color w:val="auto"/>
        </w:rPr>
      </w:pPr>
      <w:r>
        <w:rPr>
          <w:rFonts w:ascii="Arial" w:cs="Arial" w:eastAsia="Arial" w:hAnsi="Arial"/>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apart from tovorafenib (DAY101) and may need to scale further to support future supply needs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COVID-19 pandemic. If our current third-party manufacturers cannot perform as agreed, we may be required to replace such manufacturers and we may be unable to replace them on a timely basis or at all.</w:t>
      </w:r>
    </w:p>
    <w:p>
      <w:pPr>
        <w:spacing w:after="0" w:line="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rely on a limited number of suppliers for raw materials and any disruptions arising from our sole suppliers could result in delays in our clinical trials or otherwise adversely affect our business and results of operations.</w:t>
      </w:r>
    </w:p>
    <w:p>
      <w:pPr>
        <w:spacing w:after="0" w:line="27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including inflation and changes in interest rates, natural disasters, fire, acts of terrorism, pandemics, including the COVID-19 pandemic, or other catastrophic events. Further, in the case of materials for which we have a sole supplier,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 which may adversely affect our business and results of operations.</w:t>
      </w:r>
    </w:p>
    <w:p>
      <w:pPr>
        <w:spacing w:after="0" w:line="2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6" w:name="page87"/>
    <w:bookmarkEnd w:id="86"/>
    <w:p>
      <w:pPr>
        <w:spacing w:after="0" w:line="279" w:lineRule="auto"/>
        <w:rPr>
          <w:sz w:val="20"/>
          <w:szCs w:val="20"/>
          <w:color w:val="auto"/>
        </w:rPr>
      </w:pPr>
      <w:r>
        <w:rPr>
          <w:rFonts w:ascii="Arial" w:cs="Arial" w:eastAsia="Arial" w:hAnsi="Arial"/>
          <w:sz w:val="17"/>
          <w:szCs w:val="17"/>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63" w:lineRule="exact"/>
        <w:rPr>
          <w:sz w:val="20"/>
          <w:szCs w:val="20"/>
          <w:color w:val="auto"/>
        </w:rPr>
      </w:pPr>
    </w:p>
    <w:p>
      <w:pPr>
        <w:ind w:left="520" w:right="260" w:hanging="512"/>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62" w:lineRule="exact"/>
        <w:rPr>
          <w:rFonts w:ascii="Arial" w:cs="Arial" w:eastAsia="Arial" w:hAnsi="Arial"/>
          <w:sz w:val="18"/>
          <w:szCs w:val="18"/>
          <w:color w:val="auto"/>
        </w:rPr>
      </w:pPr>
    </w:p>
    <w:p>
      <w:pPr>
        <w:ind w:left="520" w:hanging="512"/>
        <w:spacing w:after="0" w:line="259"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8" w:lineRule="exact"/>
        <w:rPr>
          <w:rFonts w:ascii="Arial" w:cs="Arial" w:eastAsia="Arial" w:hAnsi="Arial"/>
          <w:sz w:val="18"/>
          <w:szCs w:val="18"/>
          <w:color w:val="auto"/>
        </w:rPr>
      </w:pPr>
    </w:p>
    <w:p>
      <w:pPr>
        <w:ind w:left="520" w:right="180" w:hanging="512"/>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520" w:right="60" w:hanging="512"/>
        <w:spacing w:after="0" w:line="263"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520" w:right="180" w:hanging="512"/>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62" w:lineRule="exact"/>
        <w:rPr>
          <w:rFonts w:ascii="Arial" w:cs="Arial" w:eastAsia="Arial" w:hAnsi="Arial"/>
          <w:sz w:val="18"/>
          <w:szCs w:val="18"/>
          <w:color w:val="auto"/>
        </w:rPr>
      </w:pPr>
    </w:p>
    <w:p>
      <w:pPr>
        <w:ind w:left="520" w:right="340" w:hanging="512"/>
        <w:spacing w:after="0" w:line="311"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40" w:lineRule="exact"/>
        <w:rPr>
          <w:rFonts w:ascii="Arial" w:cs="Arial" w:eastAsia="Arial" w:hAnsi="Arial"/>
          <w:sz w:val="16"/>
          <w:szCs w:val="16"/>
          <w:color w:val="auto"/>
        </w:rPr>
      </w:pPr>
    </w:p>
    <w:p>
      <w:pPr>
        <w:ind w:left="520" w:right="80" w:hanging="512"/>
        <w:spacing w:after="0" w:line="342" w:lineRule="auto"/>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520" w:right="100" w:hanging="512"/>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and</w:t>
      </w:r>
    </w:p>
    <w:p>
      <w:pPr>
        <w:spacing w:after="0" w:line="128" w:lineRule="exact"/>
        <w:rPr>
          <w:rFonts w:ascii="Arial" w:cs="Arial" w:eastAsia="Arial" w:hAnsi="Arial"/>
          <w:sz w:val="17"/>
          <w:szCs w:val="17"/>
          <w:color w:val="auto"/>
        </w:rPr>
      </w:pPr>
    </w:p>
    <w:p>
      <w:pPr>
        <w:ind w:left="520" w:right="240" w:hanging="512"/>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Risks Related to Employee Matters and Our Operations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our executive officers and key employees and to attract, retain and motivate qualified personnel and manage our human capital.</w:t>
      </w:r>
    </w:p>
    <w:p>
      <w:pPr>
        <w:spacing w:after="0" w:line="6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Jeremy Bender, Ph.D., M.B.A., our Chief Executive Officer, Samuel Blackman, M.D., Ph.D., our Chief Medical Officer,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w:t>
      </w:r>
    </w:p>
    <w:p>
      <w:pPr>
        <w:spacing w:after="0" w:line="6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w:t>
      </w:r>
    </w:p>
    <w:p>
      <w:pPr>
        <w:spacing w:after="0" w:line="7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 We have adopted a greater level of flexibility in our recruiting practices to attract and hire candidates outside of the San Francisco Bay Area, which is intended to increase retention but could have a negative impact on employee engagement, resulting in greater employee turnover.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had 121 full-time employees as of December 31, 2022.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tovorafenib (DAY101), pimasertib,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tovorafenib (DAY101), pimasertib,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8" w:name="page89"/>
    <w:bookmarkEnd w:id="88"/>
    <w:p>
      <w:pPr>
        <w:ind w:right="180"/>
        <w:spacing w:after="0" w:line="263" w:lineRule="auto"/>
        <w:rPr>
          <w:sz w:val="20"/>
          <w:szCs w:val="20"/>
          <w:color w:val="auto"/>
        </w:rPr>
      </w:pPr>
      <w:r>
        <w:rPr>
          <w:rFonts w:ascii="Arial" w:cs="Arial" w:eastAsia="Arial" w:hAnsi="Arial"/>
          <w:sz w:val="18"/>
          <w:szCs w:val="18"/>
          <w:color w:val="auto"/>
        </w:rPr>
        <w:t>If we are not able to effectively manage growth and expand our organization, we may not be able to successfully implement the tasks necessary to further develop and commercialize tovorafenib (DAY101), pimasertib, our other pipeline product candidates or any future product candidates and, accordingly, may not achieve our research, development and commercialization goals.</w:t>
      </w:r>
    </w:p>
    <w:p>
      <w:pPr>
        <w:spacing w:after="0" w:line="29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5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304" w:lineRule="exact"/>
        <w:rPr>
          <w:sz w:val="20"/>
          <w:szCs w:val="20"/>
          <w:color w:val="auto"/>
        </w:rPr>
      </w:pPr>
    </w:p>
    <w:p>
      <w:pPr>
        <w:ind w:right="180"/>
        <w:spacing w:after="0" w:line="327" w:lineRule="auto"/>
        <w:rPr>
          <w:sz w:val="20"/>
          <w:szCs w:val="20"/>
          <w:color w:val="auto"/>
        </w:rPr>
      </w:pPr>
      <w:r>
        <w:rPr>
          <w:rFonts w:ascii="Arial" w:cs="Arial" w:eastAsia="Arial" w:hAnsi="Arial"/>
          <w:sz w:val="15"/>
          <w:szCs w:val="15"/>
          <w:b w:val="1"/>
          <w:bCs w:val="1"/>
          <w:i w:val="1"/>
          <w:iCs w:val="1"/>
          <w:color w:val="auto"/>
        </w:rPr>
        <w:t>If our security measures are compromised, or our information technology systems or those of our CROs, CMOs, vendors, contractors, consultants, or other third-party partners fail or suffer security breaches, cyber-attacks, loss or leakage of data and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p>
    <w:p>
      <w:pPr>
        <w:spacing w:after="0" w:line="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ordinary course of business, we may collect, process, store, and transmit proprietary, confidential, and sensitive information (including but not limited to intellectual property, trade secrets, proprietary business information, personal information, and protected health information, or PHI).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 parties with whom we work, as we rely on a number of third parties to operate our critical business systems and process confidential, proprietary, and sensitive information.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9" w:name="page90"/>
    <w:bookmarkEnd w:id="89"/>
    <w:p>
      <w:pPr>
        <w:ind w:right="60"/>
        <w:spacing w:after="0" w:line="290" w:lineRule="auto"/>
        <w:rPr>
          <w:sz w:val="20"/>
          <w:szCs w:val="20"/>
          <w:color w:val="auto"/>
        </w:rPr>
      </w:pPr>
      <w:r>
        <w:rPr>
          <w:rFonts w:ascii="Arial" w:cs="Arial" w:eastAsia="Arial" w:hAnsi="Arial"/>
          <w:sz w:val="16"/>
          <w:szCs w:val="16"/>
          <w:color w:val="auto"/>
        </w:rPr>
        <w:t>Despite the implementation of security measures, given the size, complexity, and increasing amounts of proprietary, sensitive, and confidential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w:t>
      </w:r>
    </w:p>
    <w:p>
      <w:pPr>
        <w:spacing w:after="0" w:line="5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The COVID-19 pandemic and the subsequent increase of “work from home” have generally increased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tovorafenib (DAY101), pimasertib, or any future product candidates could be delayed. Any breach, loss or compromise of proprietary, sensitive, or confidential information may also subject us to civil fines and penalties, including under HIPAA, and other relevant state and federal privacy laws in the United States. For example, the California Consumer Privacy Act of 2018, or the CCPA, as amended by the California Privacy Rights Act, or the CPRA, imposes a private right of action for security breaches that could lead to some form of remedy including regulatory scrutiny, fines, private right of action settlements, and other consequences.</w:t>
      </w:r>
    </w:p>
    <w:p>
      <w:pPr>
        <w:spacing w:after="0" w:line="68"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0" w:name="page91"/>
    <w:bookmarkEnd w:id="90"/>
    <w:p>
      <w:pPr>
        <w:spacing w:after="0" w:line="286" w:lineRule="auto"/>
        <w:rPr>
          <w:sz w:val="20"/>
          <w:szCs w:val="20"/>
          <w:color w:val="auto"/>
        </w:rPr>
      </w:pPr>
      <w:r>
        <w:rPr>
          <w:rFonts w:ascii="Arial" w:cs="Arial" w:eastAsia="Arial" w:hAnsi="Arial"/>
          <w:sz w:val="16"/>
          <w:szCs w:val="16"/>
          <w:color w:val="auto"/>
        </w:rPr>
        <w:t>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tovorafenib (DAY101), pimasertib,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required to comply with laws, rules and regulations that require us to maintain the security of personal information. We may have contractual and other legal obligations to notify relevant stakeholders of security breaches. Failure to prevent or mitigate cyber-attacks could result in the unauthorized access to sensitive, confidential, or proprietary information. Most jurisdictions have enacted laws requiring companies to notify individuals, regulatory authorities, and others of security breaches involving certain types of data. In addition, our agreements with CROs, CMOs, vendors, contractors, consultants, and other third-party partners may require us to notify them in the event of a security breach.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5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w:t>
      </w:r>
    </w:p>
    <w:p>
      <w:pPr>
        <w:spacing w:after="0" w:line="8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Litigation resulting from security breaches may adversely affect our business. 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w:t>
      </w:r>
    </w:p>
    <w:p>
      <w:pPr>
        <w:spacing w:after="0" w:line="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1" w:name="page92"/>
    <w:bookmarkEnd w:id="91"/>
    <w:p>
      <w:pPr>
        <w:ind w:right="220"/>
        <w:spacing w:after="0" w:line="340" w:lineRule="auto"/>
        <w:rPr>
          <w:sz w:val="20"/>
          <w:szCs w:val="20"/>
          <w:color w:val="auto"/>
        </w:rPr>
      </w:pPr>
      <w:r>
        <w:rPr>
          <w:rFonts w:ascii="Arial" w:cs="Arial" w:eastAsia="Arial" w:hAnsi="Arial"/>
          <w:sz w:val="15"/>
          <w:szCs w:val="15"/>
          <w:b w:val="1"/>
          <w:bCs w:val="1"/>
          <w:i w:val="1"/>
          <w:iCs w:val="1"/>
          <w:color w:val="auto"/>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2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and third parties who we work with are or may become subject to numerous domestic and foreign data protection laws and regulations (i.e., laws and regulations that address privacy and data security), the scope of which are changing, subject to differing applications and interpretations, and may be inconsistent among countries, or conflict with other rules.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the United States, numerous federal and state laws and regulations, including federal health information privacy and security laws, federal and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6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state of California recently enacted the CCPA, which creates new individual privacy rights for California consumers and places increased privacy and data security obligations on entities handling personal information of consumers or households. The CCPA, in effect since January 1, 2020, and most recently amended by the CPRA, is now in effect as of January 1, 2023 with enforcement beginning on July 1, 2023, subject to the regulations promulgated through a newly created enforcement agency called the California Privacy Protection Agency, or the CPPA. The CCPA gives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The CCPA and CPRA provide for civil penalties and a private right of action for data breaches that is expected to increase data breach litigation. The CCPA and CPRA may increase our compliance costs and potential liability. The CCPA has prompted several proposals for new federal and state-level privacy legislation, such as in Nevada, New Hampshire, Ohio, New York, Washington, Illinois and Nebraska, as well as in Virginia, which passed the Virginia Consumer Data Protection Act, or VCDPA (effective as of January 1, 2023), and Colorado, which enacted the Colorado Privacy Act, or CoPA, which is set to take effect on July 1, 2023. The VCDPA, CoPA and other such proposed legislation, if enacted, could increase our potential liability and compliance costs, and adversely affect our business.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92" w:name="page93"/>
    <w:bookmarkEnd w:id="92"/>
    <w:p>
      <w:pPr>
        <w:spacing w:after="0" w:line="268" w:lineRule="auto"/>
        <w:rPr>
          <w:sz w:val="20"/>
          <w:szCs w:val="20"/>
          <w:color w:val="auto"/>
        </w:rPr>
      </w:pPr>
      <w:r>
        <w:rPr>
          <w:rFonts w:ascii="Arial" w:cs="Arial" w:eastAsia="Arial" w:hAnsi="Arial"/>
          <w:sz w:val="17"/>
          <w:szCs w:val="17"/>
          <w:color w:val="auto"/>
        </w:rPr>
        <w:t>Foreign data protection laws, including Regulation 2016/679, known as the General Data Protection Regulation, or GDPR, may apply to personal information (including health-related data) obtained from individuals in the European Economic Area, or the EEA, and Switzerland. The GDPR, and its implementing legislation across the EU,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Additionally, the UK implemented the Data Protection Act effective in May 2018 and statutorily amended in 2019, that substantially implements the GDPR and contains provisions, including UK-specific derogations, for how GDPR is applied in the UK. Changes in these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3" w:name="page94"/>
    <w:bookmarkEnd w:id="93"/>
    <w:p>
      <w:pPr>
        <w:spacing w:after="0" w:line="283" w:lineRule="auto"/>
        <w:rPr>
          <w:sz w:val="20"/>
          <w:szCs w:val="20"/>
          <w:color w:val="auto"/>
        </w:rPr>
      </w:pPr>
      <w:r>
        <w:rPr>
          <w:rFonts w:ascii="Arial" w:cs="Arial" w:eastAsia="Arial" w:hAnsi="Arial"/>
          <w:sz w:val="16"/>
          <w:szCs w:val="16"/>
          <w:color w:val="auto"/>
        </w:rPr>
        <w:t>Further, European data protection laws generally prohibit the transfer of personal information to countries outside of the EEA, UK, and Switzerland, such as the United States, which are not considered by the European Commission to provide an adequate level of data protection. Switzerland has adopted similar restrictions. Although there are legal mechanisms to allow for the transfer of personal information from the EEA, UK,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For example, in July 2020, the Court of Justice of the European Union, or CJEU, invalidated the EU-U.S. Privacy Shield, which enabled the transfer of personal information from EU to the U.S. for companies that had self-certified to the Privacy Shield on the grounds that the EU-U.S. Privacy Shield failed to offer adequate protections to EU personal information transferred to the United States. While the CJEU did not invalidate the use of other data transfer mechanisms, such as the Standard Contractual Clauses, the decision has led to uncertainty regarding the use of such mechanisms for data transfers to the United States, and the CJEU made clear that reliance on Standard Contractual Clauses alone may not necessarily be sufficient in all circumstances. The European Data Protection Board, or EDPB, issued additional guidance regarding the CJEU’s decision on November 11, 2020 which imposes higher burdens on the use of data transfer mechanisms, such as the Standard Contractual Clauses, for cross-border data transfers. In June 2021, the European Commission adopted new Standard Contractual Clauses under the GDPR for transfers of personal data outside the EU to countries that the European Commission has not deemed to provide an adequate level of protection for such personal data. If we elect to rely on the new Standard Contractual Clauses for personal data transfers out of the EU, and in light of the EDPB recommendations, we may be required to expend significant resources to meet the obligations the new Standard Contractual Clauses impose; for example, we may be required to conduct transfer impact assessments for such cross-border data transfers and implement additional security measures. We will also have to spend resources to ensure that these new Standard Contractual Clauses continue to be incorporated into all contracts governing data processing and cross-border transfer. In addition, it is anticipated that the UK will finalize its new model clauses governing cross-border data transfers, and therefore we will have to spend additional time and resources seeking to comply with the UK’s unique requirements in this area. Due to potential legal challenges, there is uncertainty regarding whether the new EU Standard Contractual Clauses will remain a valid mechanism for transfers of personal information out of the EEA.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To comply with these requirements and as supervisory authorities continue to issue further guidance, we may need to implement additional safeguards to further enhance the security of data transferred out of Europe, we could suffer additional costs, complaints, or regulatory investigations or fines, and if we are otherwise unable to transfer personal information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2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further to the UK’s exit from the EU on January 31, 2020, the GDPR ceased to apply in the UK at the end of the transition period on December 31, 2020. However, as of January 1, 2021, the United Kingdom’s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EU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4" w:name="page95"/>
    <w:bookmarkEnd w:id="94"/>
    <w:p>
      <w:pPr>
        <w:ind w:right="40"/>
        <w:spacing w:after="0" w:line="279" w:lineRule="auto"/>
        <w:rPr>
          <w:sz w:val="20"/>
          <w:szCs w:val="20"/>
          <w:color w:val="auto"/>
        </w:rPr>
      </w:pPr>
      <w:r>
        <w:rPr>
          <w:rFonts w:ascii="Arial" w:cs="Arial" w:eastAsia="Arial" w:hAnsi="Arial"/>
          <w:sz w:val="17"/>
          <w:szCs w:val="17"/>
          <w:color w:val="auto"/>
        </w:rPr>
        <w:t>Other countries, including China, Brazil, Australia and Japan, for example, have adopted certain legal requirements for local storage and processing of data and cross-border transfers of personal information, any and all of which could increase the cost and complexity of conducting preclinical testing and clinical trials or delivering our future products, if any, and operating our business. These obligations may be interpreted and applied in a manner that is inconsistent from one jurisdiction to another and may conflict with other requirements or our practices.</w:t>
      </w:r>
    </w:p>
    <w:p>
      <w:pPr>
        <w:spacing w:after="0" w:line="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or may become subject to the terms of external and internal privacy and security policies, representations, certifications, publications related to privacy and security.</w:t>
      </w:r>
    </w:p>
    <w:p>
      <w:pPr>
        <w:spacing w:after="0" w:line="6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w:t>
      </w:r>
    </w:p>
    <w:p>
      <w:pPr>
        <w:spacing w:after="0" w:line="3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current operations are primarily located in the San Francisco Bay Area.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In addition, the long-term effects of climate change on general economic conditions and the pharmaceutical industry in particular are unclear, and may heighten or intensify existing risk of natural disasters. Loss of access to these facilities may result in increased costs, delays in the development of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5" w:name="page96"/>
    <w:bookmarkEnd w:id="95"/>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6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or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engaged, and will continue to engage, in strategic transactions that could impact our liquidity, increase our expenses and present significant distractions to our management.</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engaged in strategic transactions, for instance with affiliates of Takeda Pharmaceutical Company Limited, Viracta Therapeutics, Inc. and Merck KGaA, Darmstadt, Germany, and from time to time, we may consider further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69"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6" w:name="page97"/>
    <w:bookmarkEnd w:id="96"/>
    <w:p>
      <w:pPr>
        <w:ind w:left="520" w:right="520" w:hanging="512"/>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difficulty and cost in combining the operations, systems and personnel of any acquired businesses with our operations, systems and personnel;</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7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w:t>
      </w:r>
    </w:p>
    <w:p>
      <w:pPr>
        <w:spacing w:after="0" w:line="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twenty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7" w:name="page98"/>
    <w:bookmarkEnd w:id="97"/>
    <w:p>
      <w:pPr>
        <w:spacing w:after="0" w:line="254" w:lineRule="auto"/>
        <w:rPr>
          <w:sz w:val="20"/>
          <w:szCs w:val="20"/>
          <w:color w:val="auto"/>
        </w:rPr>
      </w:pPr>
      <w:r>
        <w:rPr>
          <w:rFonts w:ascii="Arial" w:cs="Arial" w:eastAsia="Arial" w:hAnsi="Arial"/>
          <w:sz w:val="18"/>
          <w:szCs w:val="18"/>
          <w:color w:val="auto"/>
        </w:rPr>
        <w:t>Moreover, our exclusive licenses may be subject to field restrictions and retained rights, which may adversely impact our competitive position. See “Management’s Discussion and Analysis of Financial Condition and Results of Operations—Significant Agreements.” Our licensed patent portfolio may not provide us with adequate and continuing patent protection sufficient to exclude others from commercializing products similar to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spacing w:after="0" w:line="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7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spacing w:after="0" w:line="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8" w:name="page99"/>
    <w:bookmarkEnd w:id="98"/>
    <w:p>
      <w:pPr>
        <w:ind w:right="60"/>
        <w:spacing w:after="0" w:line="290" w:lineRule="auto"/>
        <w:rPr>
          <w:sz w:val="20"/>
          <w:szCs w:val="20"/>
          <w:color w:val="auto"/>
        </w:rPr>
      </w:pPr>
      <w:r>
        <w:rPr>
          <w:rFonts w:ascii="Arial" w:cs="Arial" w:eastAsia="Arial" w:hAnsi="Arial"/>
          <w:sz w:val="16"/>
          <w:szCs w:val="16"/>
          <w:color w:val="auto"/>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our product candidates.</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7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5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other similar proceedings challenging our owned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7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Furthermore, the issuance of a patent does not give us the right to practice the patented invention. Third parties may have blocking patents that could prevent us from marketing our own patented product and practicing our own patented technology.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52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520" w:right="10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own or license;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520" w:right="58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17" w:lineRule="exact"/>
        <w:rPr>
          <w:rFonts w:ascii="Arial" w:cs="Arial" w:eastAsia="Arial" w:hAnsi="Arial"/>
          <w:sz w:val="18"/>
          <w:szCs w:val="18"/>
          <w:color w:val="auto"/>
        </w:rPr>
      </w:pPr>
    </w:p>
    <w:p>
      <w:pPr>
        <w:ind w:left="520" w:right="30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fail to adequately protect and police our trademarks and trade secrets; and</w:t>
      </w:r>
    </w:p>
    <w:p>
      <w:pPr>
        <w:spacing w:after="0" w:line="117"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33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inter partes review proceedings and post 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00" w:name="page101"/>
    <w:bookmarkEnd w:id="100"/>
    <w:p>
      <w:pPr>
        <w:ind w:right="20"/>
        <w:spacing w:after="0" w:line="286" w:lineRule="auto"/>
        <w:rPr>
          <w:sz w:val="20"/>
          <w:szCs w:val="20"/>
          <w:color w:val="auto"/>
        </w:rPr>
      </w:pPr>
      <w:r>
        <w:rPr>
          <w:rFonts w:ascii="Arial" w:cs="Arial" w:eastAsia="Arial" w:hAnsi="Arial"/>
          <w:sz w:val="16"/>
          <w:szCs w:val="16"/>
          <w:color w:val="auto"/>
        </w:rPr>
        <w:t>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w:t>
      </w:r>
    </w:p>
    <w:p>
      <w:pPr>
        <w:spacing w:after="0" w:line="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4"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7" w:lineRule="exact"/>
        <w:rPr>
          <w:rFonts w:ascii="Arial" w:cs="Arial" w:eastAsia="Arial" w:hAnsi="Arial"/>
          <w:sz w:val="18"/>
          <w:szCs w:val="18"/>
          <w:color w:val="auto"/>
        </w:rPr>
      </w:pPr>
    </w:p>
    <w:p>
      <w:pPr>
        <w:ind w:left="520" w:right="16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17" w:lineRule="exact"/>
        <w:rPr>
          <w:rFonts w:ascii="Arial" w:cs="Arial" w:eastAsia="Arial" w:hAnsi="Arial"/>
          <w:sz w:val="18"/>
          <w:szCs w:val="18"/>
          <w:color w:val="auto"/>
        </w:rPr>
      </w:pPr>
    </w:p>
    <w:p>
      <w:pPr>
        <w:ind w:left="520" w:right="160" w:hanging="512"/>
        <w:spacing w:after="0" w:line="277"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1" w:name="page102"/>
    <w:bookmarkEnd w:id="101"/>
    <w:p>
      <w:pPr>
        <w:spacing w:after="0" w:line="268" w:lineRule="auto"/>
        <w:rPr>
          <w:sz w:val="20"/>
          <w:szCs w:val="20"/>
          <w:color w:val="auto"/>
        </w:rPr>
      </w:pPr>
      <w:r>
        <w:rPr>
          <w:rFonts w:ascii="Arial" w:cs="Arial" w:eastAsia="Arial" w:hAnsi="Arial"/>
          <w:sz w:val="17"/>
          <w:szCs w:val="17"/>
          <w:color w:val="auto"/>
        </w:rPr>
        <w:t>Although no third party has asserted a claim of patent infringement against us as of December 31, 2022, others may hold proprietary rights that could prevent our product candidates from being marketed. It is possible that a third-party may assert a claim of patent infringement directed at any of our product candidates.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78"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2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Some of our current product candidates and research programs are licensed from third parties. If these license agreements are terminated or interpreted to narrow our rights, our ability to advance our current product candidates or develop new product candidates based on these technologies will be materially adversely affected.</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now depend on, at least in part, Viracta Therapeutics, Inc., Takeda Pharmaceutical Company Limited, Dana Farber Cancer Institute, Millennium Pharmaceuticals, Inc. and Merck KGaA, Darmstadt, Germany, and will continue to depend on Viracta Therapeutics, Inc., Takeda Pharmaceutical Company Limited, Dana Farber Cancer Institute, Millennium Pharmaceuticals, Inc. and Merck KGaA, Darmstadt, Germany and on licenses and sublicenses from other third parties, as well as potentially on other strategic relationships with third parties, for the research, development, manufacturing and commercialization of our current product candidates. If any of our licenses or relationships or any in-licenses on which our licenses are based are terminated or breached, we may:</w:t>
      </w:r>
    </w:p>
    <w:p>
      <w:pPr>
        <w:spacing w:after="0" w:line="84"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lose our rights to develop and market our current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lose patent or trade secret protection for our current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experience significant delays in the development or commercialization of our current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be able to obtain any other licenses on acceptable terms, if at all; or</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liability for damages.</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w:t>
      </w:r>
    </w:p>
    <w:p>
      <w:pPr>
        <w:spacing w:after="0" w:line="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we experience any of the foregoing, it could have a materially adverse effect on our business and could force us to cease operations which could cause you to lose all of your investment.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b w:val="1"/>
          <w:bCs w:val="1"/>
          <w:i w:val="1"/>
          <w:iCs w:val="1"/>
          <w:color w:val="auto"/>
        </w:rPr>
        <w:t>If we breach our license agreements, it could have a material adverse effect on our commercialization efforts for our product candidates.</w:t>
      </w:r>
    </w:p>
    <w:p>
      <w:pPr>
        <w:spacing w:after="0" w:line="1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If we breach any of the agreements under which we license the use, development and commercialization rights to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7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Our current lead product candidates are protected by, among other intellectual property rights, patents and patent applications we co-own and exclusively in-license from Viracta Therapeutics, Inc. (f/k/a Sunesis Pharmaceuticals, Inc.). Our current lead product candidates and pipeline and our anticipated near-term pipeline may include technologies, licensed from other third parties, including, for example, Merck KGaA, Darmstadt, Germany.</w:t>
      </w:r>
    </w:p>
    <w:p>
      <w:pPr>
        <w:spacing w:after="0" w:line="4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w:t>
      </w:r>
    </w:p>
    <w:p>
      <w:pPr>
        <w:spacing w:after="0" w:line="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62"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520" w:right="360" w:hanging="512"/>
        <w:spacing w:after="0" w:line="27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right to sublicense patent and other intellectual property rights to third parties under collaborative development relationships;</w:t>
      </w:r>
    </w:p>
    <w:p>
      <w:pPr>
        <w:spacing w:after="0" w:line="117" w:lineRule="exact"/>
        <w:rPr>
          <w:rFonts w:ascii="Arial" w:cs="Arial" w:eastAsia="Arial" w:hAnsi="Arial"/>
          <w:sz w:val="18"/>
          <w:szCs w:val="18"/>
          <w:color w:val="auto"/>
        </w:rPr>
      </w:pPr>
    </w:p>
    <w:p>
      <w:pPr>
        <w:ind w:left="520" w:right="340" w:hanging="512"/>
        <w:spacing w:after="0" w:line="27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17" w:lineRule="exact"/>
        <w:rPr>
          <w:rFonts w:ascii="Arial" w:cs="Arial" w:eastAsia="Arial" w:hAnsi="Arial"/>
          <w:sz w:val="18"/>
          <w:szCs w:val="18"/>
          <w:color w:val="auto"/>
        </w:rPr>
      </w:pPr>
    </w:p>
    <w:p>
      <w:pPr>
        <w:ind w:left="520" w:right="100" w:hanging="512"/>
        <w:spacing w:after="0" w:line="27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and the extent to which inventors are able to contest the assignment of their rights to our licensors.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or at all, we may be unable to successfully develop and commercialize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p>
    <w:p>
      <w:pPr>
        <w:spacing w:after="0" w:line="7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addition, the agreements under which we license intellectual property or technology from third parties, including our licenses with Viracta Therapeutics, Inc., Takeda Pharmaceutical Company Limited, Dana Farber Cancer Institute, Millennium Pharmaceuticals, Inc. and Merck KGaA, Darmstadt, Germany,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03" w:name="page104"/>
    <w:bookmarkEnd w:id="103"/>
    <w:p>
      <w:pPr>
        <w:ind w:right="20"/>
        <w:spacing w:after="0" w:line="257" w:lineRule="auto"/>
        <w:rPr>
          <w:sz w:val="20"/>
          <w:szCs w:val="20"/>
          <w:color w:val="auto"/>
        </w:rPr>
      </w:pPr>
      <w:r>
        <w:rPr>
          <w:rFonts w:ascii="Arial" w:cs="Arial" w:eastAsia="Arial" w:hAnsi="Arial"/>
          <w:sz w:val="18"/>
          <w:szCs w:val="18"/>
          <w:color w:val="auto"/>
        </w:rPr>
        <w:t>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8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95"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auto"/>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p>
    <w:p>
      <w:pPr>
        <w:spacing w:after="0" w:line="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w:t>
      </w:r>
    </w:p>
    <w:p>
      <w:pPr>
        <w:spacing w:after="0" w:line="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04" w:name="page105"/>
    <w:bookmarkEnd w:id="104"/>
    <w:p>
      <w:pPr>
        <w:ind w:right="700"/>
        <w:spacing w:after="0" w:line="375" w:lineRule="auto"/>
        <w:rPr>
          <w:sz w:val="20"/>
          <w:szCs w:val="20"/>
          <w:color w:val="auto"/>
        </w:rPr>
      </w:pPr>
      <w:r>
        <w:rPr>
          <w:rFonts w:ascii="Arial" w:cs="Arial" w:eastAsia="Arial" w:hAnsi="Arial"/>
          <w:sz w:val="15"/>
          <w:szCs w:val="15"/>
          <w:b w:val="1"/>
          <w:bCs w:val="1"/>
          <w:i w:val="1"/>
          <w:iCs w:val="1"/>
          <w:color w:val="auto"/>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p>
    <w:p>
      <w:pPr>
        <w:spacing w:after="0" w:line="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5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Third parties may also raise similar invalidity claims before the USPTO or patent offices abroad, even outside the context of litigation. Such mechanisms include re-examination, inter partes review proceedings, post grant review proceedings,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w:t>
      </w:r>
    </w:p>
    <w:p>
      <w:pPr>
        <w:spacing w:after="0" w:line="5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05" w:name="page106"/>
    <w:bookmarkEnd w:id="105"/>
    <w:p>
      <w:pPr>
        <w:ind w:right="280"/>
        <w:spacing w:after="0" w:line="277"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4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our product candidates to market.</w:t>
      </w:r>
    </w:p>
    <w:p>
      <w:pPr>
        <w:spacing w:after="0" w:line="2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and/or those of our licensors and the enforcement or defense of our issued patents and/or those of our licensors.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7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06" w:name="page107"/>
    <w:bookmarkEnd w:id="106"/>
    <w:p>
      <w:pPr>
        <w:ind w:right="20"/>
        <w:spacing w:after="0" w:line="272" w:lineRule="auto"/>
        <w:rPr>
          <w:sz w:val="20"/>
          <w:szCs w:val="20"/>
          <w:color w:val="auto"/>
        </w:rPr>
      </w:pPr>
      <w:r>
        <w:rPr>
          <w:rFonts w:ascii="Arial" w:cs="Arial" w:eastAsia="Arial" w:hAnsi="Arial"/>
          <w:sz w:val="17"/>
          <w:szCs w:val="17"/>
          <w:color w:val="auto"/>
        </w:rPr>
        <w:t>Because of a lower evidentiary standard in USPTO proceedings compared to the evidentiary standard in United States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w:t>
      </w:r>
    </w:p>
    <w:p>
      <w:pPr>
        <w:spacing w:after="0" w:line="2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7" w:name="page108"/>
    <w:bookmarkEnd w:id="107"/>
    <w:p>
      <w:pPr>
        <w:ind w:right="140"/>
        <w:spacing w:after="0" w:line="273"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8" w:name="page109"/>
    <w:bookmarkEnd w:id="108"/>
    <w:p>
      <w:pPr>
        <w:ind w:right="20"/>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rely in part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that we or our employees have wrongfully used or disclosed alleged confidential information or trade secrets.</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10" w:name="page111"/>
    <w:bookmarkEnd w:id="110"/>
    <w:p>
      <w:pPr>
        <w:ind w:right="5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w:t>
      </w:r>
    </w:p>
    <w:p>
      <w:pPr>
        <w:spacing w:after="0" w:line="7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Currently, our intellectual property protection includes patents and patent applications that we have in-licensed from Viracta Therapeutics, Inc., Takeda Pharmaceutical Company Limited, and Merck KGaA, Darmstadt, Germany.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“Management’s Discussion and Analysis of Financial Condition and Results of Operations—Significant Agreements.” Our licensed patent portfolio may not provide us with adequate and continuing patent protection sufficient to exclude others from commercializing products similar to our product candidates.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11" w:name="page112"/>
    <w:bookmarkEnd w:id="111"/>
    <w:p>
      <w:pPr>
        <w:ind w:right="400"/>
        <w:spacing w:after="0" w:line="263"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No earlier than June 1, 2023, European applications will soon have the option, upon grant of a patent, of becoming a Unitary Patent which will be subject to the jurisdiction of the Unitary Patent Court, or UPC.</w:t>
      </w:r>
    </w:p>
    <w:p>
      <w:pPr>
        <w:spacing w:after="0" w:line="6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This will be a significant change in European patent practice. As the UPC is a new court system, there is no precedent for the court, increasing the uncertainty of any litigation.</w:t>
      </w:r>
    </w:p>
    <w:p>
      <w:pPr>
        <w:spacing w:after="0" w:line="200" w:lineRule="exact"/>
        <w:rPr>
          <w:sz w:val="20"/>
          <w:szCs w:val="20"/>
          <w:color w:val="auto"/>
        </w:rPr>
      </w:pPr>
    </w:p>
    <w:p>
      <w:pPr>
        <w:spacing w:after="0" w:line="29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spacing w:after="0" w:line="7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timing and variations in the level of expense related to the current or future development of our programs;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timing and status of enrollment for our clinical trials;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potential future partners;</w:t>
      </w:r>
    </w:p>
    <w:p>
      <w:pPr>
        <w:spacing w:after="0" w:line="117" w:lineRule="exact"/>
        <w:rPr>
          <w:rFonts w:ascii="Arial" w:cs="Arial" w:eastAsia="Arial" w:hAnsi="Arial"/>
          <w:sz w:val="18"/>
          <w:szCs w:val="18"/>
          <w:color w:val="auto"/>
        </w:rPr>
      </w:pPr>
    </w:p>
    <w:p>
      <w:pPr>
        <w:ind w:left="520" w:right="24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62"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intellectual property infringement, misappropriation or violation lawsuit or opposition, interference or cancellation proceeding in which we may become involved;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520" w:right="6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any product candidate we may develop receive regulatory approval, the timing and terms of such approval and market acceptance and demand for such product candidates;</w:t>
      </w:r>
    </w:p>
    <w:p>
      <w:pPr>
        <w:spacing w:after="0" w:line="62" w:lineRule="exact"/>
        <w:rPr>
          <w:rFonts w:ascii="Arial" w:cs="Arial" w:eastAsia="Arial" w:hAnsi="Arial"/>
          <w:sz w:val="18"/>
          <w:szCs w:val="18"/>
          <w:color w:val="auto"/>
        </w:rPr>
      </w:pPr>
    </w:p>
    <w:p>
      <w:pPr>
        <w:ind w:left="520" w:right="4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and cost to establish a sales, marketing and distribution infrastructure to commercialize any products for which we may obtain marketing approval and intend to commercialize on our own or jointly with future collaborators;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developments affecting current or future product candidates or those of our competitors;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of expense or gain associated with the change in value of the success payments and contingent consideration;</w:t>
      </w:r>
    </w:p>
    <w:p>
      <w:pPr>
        <w:spacing w:after="0" w:line="117" w:lineRule="exact"/>
        <w:rPr>
          <w:rFonts w:ascii="Arial" w:cs="Arial" w:eastAsia="Arial" w:hAnsi="Arial"/>
          <w:sz w:val="18"/>
          <w:szCs w:val="18"/>
          <w:color w:val="auto"/>
        </w:rPr>
      </w:pPr>
    </w:p>
    <w:p>
      <w:pPr>
        <w:ind w:left="520" w:right="40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such as due to rising interest rates, inflation, the war in Ukraine and the recent COVID-19 pandemic; and</w:t>
      </w:r>
    </w:p>
    <w:p>
      <w:pPr>
        <w:spacing w:after="0" w:line="62" w:lineRule="exact"/>
        <w:rPr>
          <w:rFonts w:ascii="Arial" w:cs="Arial" w:eastAsia="Arial" w:hAnsi="Arial"/>
          <w:sz w:val="18"/>
          <w:szCs w:val="18"/>
          <w:color w:val="auto"/>
        </w:rPr>
      </w:pPr>
    </w:p>
    <w:p>
      <w:pPr>
        <w:ind w:left="520" w:right="60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development activities, such as additional program in-licensing, which could result in up-front payments or increased development expenses.</w:t>
      </w:r>
    </w:p>
    <w:p>
      <w:pPr>
        <w:spacing w:after="0" w:line="6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i w:val="1"/>
          <w:iCs w:val="1"/>
          <w:color w:val="auto"/>
        </w:rPr>
        <w:t>The market price of our common stock is likely to be highly volatile, which could result in substantial losses for purchasers of our common stock.</w:t>
      </w:r>
    </w:p>
    <w:p>
      <w:pPr>
        <w:spacing w:after="0" w:line="14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w:t>
      </w:r>
    </w:p>
    <w:p>
      <w:pPr>
        <w:spacing w:after="0" w:line="41"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results of preclinical studies or clinical trials by us or those of our competitors or by existing or future collaborators or licensing partners;</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and enrollment status of our clinical trials;</w:t>
      </w:r>
    </w:p>
    <w:p>
      <w:pPr>
        <w:spacing w:after="0" w:line="117"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 including variations in the level of expense related to the development of our programs or funding support by us or by existing or future collaborators or licensing partners;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 especially changes in laws or regulations applicable to our business;</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introductions and announcements of new product candidates by us, our future collaboration partners, or our competitors, and the timing of these introductions or announcements;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140" w:lineRule="exact"/>
        <w:rPr>
          <w:rFonts w:ascii="Arial" w:cs="Arial" w:eastAsia="Arial" w:hAnsi="Arial"/>
          <w:sz w:val="16"/>
          <w:szCs w:val="16"/>
          <w:color w:val="auto"/>
        </w:rPr>
      </w:pPr>
    </w:p>
    <w:p>
      <w:pPr>
        <w:ind w:left="520" w:right="100" w:hanging="512"/>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or product candidates;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announced or completed significant acquisitions, strategic collaborations, joint ventures or capital commitments by us or our competitors;</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and proprietary rights;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520" w:right="620" w:hanging="512"/>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 price and fluctuations of trading volume of our common stock;</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interest rate increases on the overall stock market and the market for biopharmaceutical company stocks;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shares of our common stock by us, insiders or our stockholders;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14" w:name="page115"/>
    <w:bookmarkEnd w:id="114"/>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natural disasters, terrorist acts, acts of war and other calamities;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including rising interest rates and inflation, many of which are beyond our control; and</w:t>
      </w:r>
    </w:p>
    <w:p>
      <w:pPr>
        <w:spacing w:after="0" w:line="128" w:lineRule="exact"/>
        <w:rPr>
          <w:rFonts w:ascii="Arial" w:cs="Arial" w:eastAsia="Arial" w:hAnsi="Arial"/>
          <w:sz w:val="17"/>
          <w:szCs w:val="17"/>
          <w:color w:val="auto"/>
        </w:rPr>
      </w:pPr>
    </w:p>
    <w:p>
      <w:pPr>
        <w:ind w:left="520" w:right="640" w:hanging="512"/>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global pandemics, such as the COVID-19 pandemic, or war, incidents of terrorism or responses to these events, including those related to the war in Ukraine.</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including as a result of the COVID-19 pandemic, increase in inflation and changes in interest rates, and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8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2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holders of an aggregate of 73,458,176 shares of our outstanding common stock as of December 31, 2022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w:t>
      </w:r>
    </w:p>
    <w:p>
      <w:pPr>
        <w:spacing w:after="0" w:line="79"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spacing w:after="0" w:line="5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15" w:name="page116"/>
    <w:bookmarkEnd w:id="115"/>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Based on the beneficial ownership of our common stock as of December 31, 2022, our executive officers, directors, holders of 5% or more of our capital stock and their respective affiliates beneficially owned 34%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p>
    <w:p>
      <w:pPr>
        <w:spacing w:after="0" w:line="2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the Sarbanes-Oxley Act, (ii) reduced disclosure obligations regarding executive compensation in our periodic reports and proxy statements and (iii) exemptions from the requirements of holding nonbinding advisory stockholder votes on executive compensation and stockholder approval of any golden parachute payments not approved previously.</w:t>
      </w:r>
    </w:p>
    <w:p>
      <w:pPr>
        <w:spacing w:after="0" w:line="6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We could be an emerging growth company for up to five fiscal years following the completion of the IPO;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certain circumstances could cause us to lose that status earlier, including if we are deemed to be a “large accelerated filer,” which occurs when the market value of our common stock that is held by non-affiliates equals or exceeds $700 million, if we have total annual gross revenue of $1.235 billion or more, or if we issue more than $1.0 billion in non-convertible debt during any three-year period before that time. As of December 31, 2023, we will lose our status as an emerging growth company and will no longer be able to take advantage of the exemptions from various reporting requirements, beginning with our annual report for the fiscal year ending December 31, 2023, to be filed in 2024.</w:t>
      </w:r>
    </w:p>
    <w:p>
      <w:pPr>
        <w:spacing w:after="0" w:line="70"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6" w:name="page117"/>
    <w:bookmarkEnd w:id="116"/>
    <w:p>
      <w:pPr>
        <w:ind w:right="40"/>
        <w:spacing w:after="0" w:line="289" w:lineRule="auto"/>
        <w:rPr>
          <w:sz w:val="20"/>
          <w:szCs w:val="20"/>
          <w:color w:val="auto"/>
        </w:rPr>
      </w:pPr>
      <w:r>
        <w:rPr>
          <w:rFonts w:ascii="Arial" w:cs="Arial" w:eastAsia="Arial" w:hAnsi="Arial"/>
          <w:sz w:val="16"/>
          <w:szCs w:val="16"/>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the same exemptions from certain disclosure requirements, including not being required to comply with the auditor attestation requirements of Section 404 of the Sarbanes-Oxley Act, reduced disclosure obligations regarding executive compensation and the option to present only the two most recent fiscal years of audited financial statements in our Annual Report on Form 10-K.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62"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Our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57"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520" w:right="160" w:hanging="512"/>
        <w:spacing w:after="0" w:line="277"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17" w:name="page118"/>
    <w:bookmarkEnd w:id="117"/>
    <w:p>
      <w:pPr>
        <w:ind w:right="120"/>
        <w:spacing w:after="0" w:line="263" w:lineRule="auto"/>
        <w:rPr>
          <w:sz w:val="20"/>
          <w:szCs w:val="20"/>
          <w:color w:val="auto"/>
        </w:rPr>
      </w:pPr>
      <w:r>
        <w:rPr>
          <w:rFonts w:ascii="Arial" w:cs="Arial" w:eastAsia="Arial" w:hAnsi="Arial"/>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8" w:name="page119"/>
    <w:bookmarkEnd w:id="118"/>
    <w:p>
      <w:pPr>
        <w:ind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company, our common stock price and trading volume could decline.</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Select Market,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Section 404 of the Sarbanes-Oxley Act, our management is required to report upon the effectiveness of our internal control over financial reporting beginning with this Annual Report on Form 10-K for the year ended December 31, 2022. When we lose our status as an “emerging growth company” and become an “accelerated filer” or a “large accelerated filer,”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9" w:name="page120"/>
    <w:bookmarkEnd w:id="119"/>
    <w:p>
      <w:pPr>
        <w:ind w:right="100"/>
        <w:spacing w:after="0" w:line="272" w:lineRule="auto"/>
        <w:rPr>
          <w:sz w:val="20"/>
          <w:szCs w:val="20"/>
          <w:color w:val="auto"/>
        </w:rPr>
      </w:pPr>
      <w:r>
        <w:rPr>
          <w:rFonts w:ascii="Arial" w:cs="Arial" w:eastAsia="Arial" w:hAnsi="Arial"/>
          <w:sz w:val="17"/>
          <w:szCs w:val="17"/>
          <w:color w:val="auto"/>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the Nasdaq Global Select Market, or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62"/>
        <w:spacing w:after="0" w:line="259" w:lineRule="auto"/>
        <w:rPr>
          <w:sz w:val="20"/>
          <w:szCs w:val="20"/>
          <w:color w:val="auto"/>
        </w:rPr>
      </w:pPr>
      <w:r>
        <w:rPr>
          <w:rFonts w:ascii="Arial" w:cs="Arial" w:eastAsia="Arial" w:hAnsi="Arial"/>
          <w:sz w:val="18"/>
          <w:szCs w:val="18"/>
          <w:color w:val="auto"/>
        </w:rPr>
        <w:t>Our principal executive office is located in Brisbane, California, where we lease approximately 12,000 square feet of office space. The lease expires in December 2024. There is no option to extend the lease term nor is there an option to terminate the lease prior to its expiration. We believe these facilities are sufficient to meet our ongoing needs and that, if we require additional space, we will be able to obtain additional facilities on commercially reasonable terms.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is not subject to any material legal proceedings, and to the best of its knowledge, no material legal proceedings are currently pending or threatened.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61" w:right="55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We became a public company on May 26, 2021. Our Common Stock is listed for trading on the NASDAQ Capital Market under the symbol “DAWN.”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As of March 1, 2023, there were approximately 36 stockholders of record of our common stock based on information provided by our transfer agent.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300" w:firstLine="509"/>
        <w:spacing w:after="0" w:line="301" w:lineRule="auto"/>
        <w:rPr>
          <w:sz w:val="20"/>
          <w:szCs w:val="20"/>
          <w:color w:val="auto"/>
        </w:rPr>
      </w:pPr>
      <w:r>
        <w:rPr>
          <w:rFonts w:ascii="Arial" w:cs="Arial" w:eastAsia="Arial" w:hAnsi="Arial"/>
          <w:sz w:val="16"/>
          <w:szCs w:val="16"/>
          <w:color w:val="auto"/>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The information required by this item will be included in an amendment to this Annual Report on Form 10-K or incorporated by reference from our definitive proxy statement to be filed pursuant to Regulation 14A within 120 days of the end of the fiscal year covered by this Annual Report on Form 10-K.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33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On June 1, 2021, we completed our IPO and sold 11,500,000 shares of common stock at an IPO price of $16.00 per share. The offer and sale of all of the shares in the IPO were registered under the Securities Act pursuant to registration statements on Form S-1 (File No. 333-255754), which was declared effective by the SEC on May 26, 2021. No additional shares were registered.</w:t>
      </w:r>
    </w:p>
    <w:p>
      <w:pPr>
        <w:spacing w:after="0" w:line="292"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We received net proceeds from the IPO of approximately $167.0 million, after deducting underwriting discounts and commissions of approximately $12.9 million and estimated offering expenses of approximately $4.1 million. J.P. Morgan Securities LLC, Cowen and Company, LLC and Piper Sandler &amp; Co.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49"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the prospectus filed with the SEC pursuant to Rule 424(b)(4) under the Securities Act on May 27, 2021.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right="20" w:firstLine="569"/>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 For the comparison of the financial results for the fiscal years ended December 31, 2021 and 2020, see Item 7, Management’s Discussion and Analysis of Financial Condition and Results of Operations, in our Annual Report on Form 10-K for the fiscal year ended December 31, 2021, filed with the SEC on March 7, 2022. As used in this report, unless the context suggests otherwise, “we,” “us,” “our,” “the Company” or “Day One” refer to Day One Biopharmaceuticals, Inc.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Day One was founded to address a critical unmet need: children with cancer are being left behind in a cancer drug development revolution.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spacing w:after="0" w:line="4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We are a clinical-stage biopharmaceutical company dedicated to developing and commercializing targeted therapies for patients of all ages with life threatening diseases. Initially, we have focused our clinical development efforts on pediatric patients living with cancer, a vulnerable population that has been underserved in the recent revolution in targeted therapeutics and immuno-oncology.</w:t>
      </w:r>
    </w:p>
    <w:p>
      <w:pPr>
        <w:spacing w:after="0" w:line="76"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Our lead product candidate, tovorafenib (DAY101), is an oral, brain-penetrant, highly-selective type II pan-rapidly accelerated fibrosarcoma, or pan-RAF, kinase inhibitor. Tovorafenib (DAY101) has been studied in over 325 patients and has been shown to be generally well-tolerated as a monotherapy. Tovorafenib (DAY101) has demonstrated encouraging anti-tumor activity in pediatric and adult populations with specific genetic alterations that result in the over-activation of the RAS/mitogen-activated protein kinase, or MAPK, pathway leading to uncontrolled cell growth.</w:t>
      </w:r>
    </w:p>
    <w:p>
      <w:pPr>
        <w:spacing w:after="0" w:line="63"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Tovorafenib (DAY101) has been granted Breakthrough Therapy designation by the FDA in August 2020 for the treatment of pLGG based on initial results from a Phase 1 trial which showed evidence of rapid anti-tumor activity and durable responses in pLGG patients. Pediatric low-grade glioma is the most common brain tumor diagnosed in children for which there is no standard of care and for which there are no approved therapies for the majority of patients. We received Orphan Drug designation for the treatment of malignant glioma from the FDA in September 2020 and from the EU Commission for the treatment of glioma in May 2021. Additionally, the FDA granted Rare Pediatric Disease designation to tovorafenib (DAY101) for treatment of low-grade gliomas, or LGGs, harboring an activating RAF alteration in July 2021.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24" w:name="page125"/>
    <w:bookmarkEnd w:id="124"/>
    <w:p>
      <w:pPr>
        <w:ind w:firstLine="562"/>
        <w:spacing w:after="0" w:line="286" w:lineRule="auto"/>
        <w:rPr>
          <w:sz w:val="20"/>
          <w:szCs w:val="20"/>
          <w:color w:val="auto"/>
        </w:rPr>
      </w:pPr>
      <w:r>
        <w:rPr>
          <w:rFonts w:ascii="Arial" w:cs="Arial" w:eastAsia="Arial" w:hAnsi="Arial"/>
          <w:sz w:val="16"/>
          <w:szCs w:val="16"/>
          <w:color w:val="auto"/>
        </w:rPr>
        <w:t>We have initiated and fully enrolled a pivotal Phase 2 trial, or FIREFLY-1, of tovorafenib (DAY101) as a monotherapy for pediatric patients with relapsed or progressive low-grade glioma harboring an activating BRAF alteration. The first patient was dosed in FIREFLY-1 in May 2021 and we completed enrollment in the registrational arm in May 2022. The FIREFLY-1 trial has also been expanded to: (a) include two additional study arms to enable expanded access for eligible patients now that the primary cohort has completed enrollment, and (b) evaluate the preliminary efficacy of tovorafenib (DAY101) in patients aged six months to 25 years with a relapsed or progressive extracranial solid tumor with an activating RAF fusion. We reported initial data from an interim analysis from the FIREFLY-1 trial in June 2022 and top-line data for all patients in January 2023. Topline data from January 2023 demonstrated an overall response rate, or ORR, of 64% in the 69 Response Assessment for Neuro-Oncology, or RANO, evaluable patients, comprising of 3 confirmed complete responses, or CR, and 41 partial responses, or PR (31 confirmed partial responses and 10 unconfirmed partial response, or uPR). We observed an additional 19 patients with stable disease, or SD, resulting in a clinical benefit rate of 91% (CR+ PR/uPR+ SD). Safety data, based on 77 treated patients, indicated monotherapy tovorafenib to be generally well-tolerated. We believe tumor reduction or stabilization is clinically meaningful for pLGG patients, as both are perceived as beneficial given the lack of approved therapies for the majority of patients. We anticipate presenting additional data from the FIREFLY-1 trial at an upcoming medical meeting in the second quarter of 2023, and reviewing key portions of the data from the study with the FDA at a pre-New Drug Application, or NDA, meeting in advance of our planned submission of an NDA in the first half of 2023.</w:t>
      </w:r>
    </w:p>
    <w:p>
      <w:pPr>
        <w:spacing w:after="0" w:line="66" w:lineRule="exact"/>
        <w:rPr>
          <w:sz w:val="20"/>
          <w:szCs w:val="20"/>
          <w:color w:val="auto"/>
        </w:rPr>
      </w:pPr>
    </w:p>
    <w:p>
      <w:pPr>
        <w:ind w:right="320" w:firstLine="562"/>
        <w:spacing w:after="0" w:line="277" w:lineRule="auto"/>
        <w:rPr>
          <w:sz w:val="20"/>
          <w:szCs w:val="20"/>
          <w:color w:val="auto"/>
        </w:rPr>
      </w:pPr>
      <w:r>
        <w:rPr>
          <w:rFonts w:ascii="Arial" w:cs="Arial" w:eastAsia="Arial" w:hAnsi="Arial"/>
          <w:sz w:val="18"/>
          <w:szCs w:val="18"/>
          <w:color w:val="auto"/>
        </w:rPr>
        <w:t>We have initiated a pivotal Phase 3 trial, or FIREFLY-2, of tovorafenib (DAY101) as a frontline therapy in pLGG in the second quarter of 2022, with the first site having been initiated in June 2022. The first patient was dosed in FIREFLY-2 in March 2023.</w:t>
      </w:r>
    </w:p>
    <w:p>
      <w:pPr>
        <w:spacing w:after="0" w:line="62" w:lineRule="exact"/>
        <w:rPr>
          <w:sz w:val="20"/>
          <w:szCs w:val="20"/>
          <w:color w:val="auto"/>
        </w:rPr>
      </w:pPr>
    </w:p>
    <w:p>
      <w:pPr>
        <w:ind w:right="80" w:firstLine="562"/>
        <w:spacing w:after="0" w:line="279" w:lineRule="auto"/>
        <w:rPr>
          <w:sz w:val="20"/>
          <w:szCs w:val="20"/>
          <w:color w:val="auto"/>
        </w:rPr>
      </w:pPr>
      <w:r>
        <w:rPr>
          <w:rFonts w:ascii="Arial" w:cs="Arial" w:eastAsia="Arial" w:hAnsi="Arial"/>
          <w:sz w:val="17"/>
          <w:szCs w:val="17"/>
          <w:color w:val="auto"/>
        </w:rPr>
        <w:t>Our second product candidate, pimasertib, is an oral, highly-selective small molecule inhibitor of mitogen-activated protein kinase kinases 1 and 2, or MEK, a well-characterized key signaling node in the MAPK pathway. Pimasertib has been studied in more than 10 Phase 1/2 clinical trials in over 850 patients with various tumor types, both as monotherapy and in combination with standard of care therapies. Published preclinical studies indicated that pimasertib has higher central nervous system, or CNS, penetration than other MEK inhibitors.</w:t>
      </w:r>
    </w:p>
    <w:p>
      <w:pPr>
        <w:spacing w:after="0" w:line="63" w:lineRule="exact"/>
        <w:rPr>
          <w:sz w:val="20"/>
          <w:szCs w:val="20"/>
          <w:color w:val="auto"/>
        </w:rPr>
      </w:pPr>
    </w:p>
    <w:p>
      <w:pPr>
        <w:ind w:right="60" w:firstLine="562"/>
        <w:spacing w:after="0" w:line="272" w:lineRule="auto"/>
        <w:rPr>
          <w:sz w:val="20"/>
          <w:szCs w:val="20"/>
          <w:color w:val="auto"/>
        </w:rPr>
      </w:pPr>
      <w:r>
        <w:rPr>
          <w:rFonts w:ascii="Arial" w:cs="Arial" w:eastAsia="Arial" w:hAnsi="Arial"/>
          <w:sz w:val="17"/>
          <w:szCs w:val="17"/>
          <w:color w:val="auto"/>
        </w:rPr>
        <w:t>We have initiated an open-label, multicenter, Phase 1b/2a umbrella master trial, or FIRELIGHT-1, of tovorafenib monotherapy or combination therapy, which consists of two substudies. Substudy 1 is a Phase 2 trial of tovorafenib (DAY101) as monotherapy in patients 12 years and older with RAF– altered tumors; the first patient was dosed in November 2021. Substudy 2 is a Phase 1b/2 combination trial of tovorafenib (DAY101) and pimasertib in patients 12 years and older with various MAPK-altered solid tumors; the first patient was dosed in May 2022. Simultaneous inhibition of both RAF and MEK has been shown to lead to synergistic antitumor activity in preclinical models. This combination may demonstrate enhanced anti-tumor activity in a variety of adult solid tumors driven by MAPK alterations, including NRAS mutant melanoma and lung cancers, tumors driven by Class II BRAF alterations, tumors with BRAF wild-type fusions, and tumors driven by KRAS alterations.</w:t>
      </w:r>
    </w:p>
    <w:p>
      <w:pPr>
        <w:spacing w:after="0" w:line="69"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worldwide rights to tovorafenib (DAY101) and to pimasertib for all therapeutic areas subject to certain milestone and royalty payments.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5" w:name="page126"/>
    <w:bookmarkEnd w:id="125"/>
    <w:p>
      <w:pPr>
        <w:ind w:left="520"/>
        <w:spacing w:after="0"/>
        <w:rPr>
          <w:sz w:val="20"/>
          <w:szCs w:val="20"/>
          <w:color w:val="auto"/>
        </w:rPr>
      </w:pPr>
      <w:r>
        <w:rPr>
          <w:rFonts w:ascii="Arial" w:cs="Arial" w:eastAsia="Arial" w:hAnsi="Arial"/>
          <w:sz w:val="18"/>
          <w:szCs w:val="18"/>
          <w:color w:val="auto"/>
        </w:rPr>
        <w:t>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83185</wp:posOffset>
            </wp:positionV>
            <wp:extent cx="5349240" cy="29832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4924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Since our inception in November 2018,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preparing for commercial launch; and providing general and administrative support for these operations. We do not have any products approved for commercial sale and have not generated any revenues from product sales or any other source and have incurred net losses since commencement of our operations. For the years ended December 31, 2022 and 2021, we reported a net loss of $142.2 million and $72.8 million, respectively. We had an accumulated deficit of $269.7 million and $127.5 million as of December 31, 2022 and 2021, respectively. We expect a significant increase in expenses and substantial losses for the foreseeable future as we continue our development of, and seek regulatory approvals for our product candidates, commercialize any approved products, and seek to expand our product pipeline and invest in our organization. In addition, we expect to continue to incur additional costs associated with operating as a public company, including significant legal, audit, accounting, regulatory, tax-related, director and officer insurance, investor relations and other expenses that we did not incur as a private company.</w:t>
      </w:r>
    </w:p>
    <w:p>
      <w:pPr>
        <w:spacing w:after="0" w:line="182"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To date, we have funded our operations through the sale of our redeemable convertible preferred shares, convertible notes and common stock in our initial public offering and subsequent public offering.</w:t>
      </w:r>
    </w:p>
    <w:p>
      <w:pPr>
        <w:spacing w:after="0" w:line="170"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Cash and cash equivalents and short-term investments totaled $342.3 million as of December 31, 2022. Based on our current operating plan, management believes we have sufficient capital resources to fund anticipated operations into 2025. Because of the numerous risks and uncertainties associated with product development, we may never achieve profitability, and unless and until then, we will need to continue to raise additional capital. There are no assurances that we will be successful in obtaining an adequate level of financing to support our business plans.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6" w:name="page127"/>
    <w:bookmarkEnd w:id="126"/>
    <w:p>
      <w:pPr>
        <w:ind w:right="180" w:firstLine="509"/>
        <w:spacing w:after="0" w:line="301" w:lineRule="auto"/>
        <w:rPr>
          <w:sz w:val="20"/>
          <w:szCs w:val="20"/>
          <w:color w:val="auto"/>
        </w:rPr>
      </w:pPr>
      <w:r>
        <w:rPr>
          <w:rFonts w:ascii="Arial" w:cs="Arial" w:eastAsia="Arial" w:hAnsi="Arial"/>
          <w:sz w:val="16"/>
          <w:szCs w:val="16"/>
          <w:color w:val="auto"/>
        </w:rPr>
        <w:t>We do not own or operate, and currently have no plans to establish, any manufacturing facilities. We rely, and expect to continue to rely, on third parties for the manufacture of our product candidates for clinical testing, as well as for commercial manufacturing if any of our product candidates obtain marketing approval. As we advance our product candidates through development, we will explore adding backup suppliers for the Active Pharmaceutical Ingredients, or API, drug product, packaging and formulation for each of our product candidates to protect against any potential supply disruptions.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full impact of the ongoing COVID-19 pandemic remains highly uncertain and subject to change. There are many uncertainties around the COVID-19 pandemic and future developments, which are unpredictable, may result in a material, negative impact to our operations and financial condition. We have experienced and expect to continue to experience volatility in services rendered from our third-party service providers as local governments respond to resurgences and the emergence of new strains, each of which may result in the prolonged reinstitution, extension or enhancement of protective measures. With respect to manufacturing and supply, we do not anticipate disruptions to our drug supply chain, and we cannot be sure if lock-down measures or restrictions will be implemented and what, if any, impact that may have on our facilities and operations.</w:t>
      </w:r>
    </w:p>
    <w:p>
      <w:pPr>
        <w:spacing w:after="0" w:line="3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management team continues to actively monitor this evolving health crisis and its effects on our financial condition, liquidity, operations, key vendors and workforce.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Reduction Act</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On August 16, 2022, President Biden signed into law the Inflation Reduction Act of 2022, which includes an Alternative Minimum Tax based on the Adjusted Financial Statement Income of Applicable Corporations. Based on our initial evaluation, we do not believe the Inflation Reduction Act will have a material impact on our income tax provision and cash taxes. We continue to monitor the changes in tax laws and regulations to evaluate their potential impact on our business.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asset agreement</w:t>
      </w:r>
    </w:p>
    <w:p>
      <w:pPr>
        <w:spacing w:after="0" w:line="1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On December 16, 2019, DOT Therapeutics-1, Inc., or DOT-1, our subsidiary, entered into an asset purchase agreement, or the Takeda Asset Agreement, with Millennium Pharmaceuticals, Inc., a related party and an affiliate of Takeda Pharmaceutical Company Limited, or Takeda. Pursuant to the Takeda Asset Agreement, DOT-1 purchased certain technology rights and know-how related to TAK-580 (which is now tovorafenib (DAY101)) that provides a new approach for treating patients with primary brain tumors or brain metastases of solid tumors. DOT-1 also received clinical inventory supplies to use in our research and development activities of such RAF-inhibitor and an assigned investigator clinical trial agreement. Takeda also assigned to DOT-1 its exclusive license agreement, or the Viracta License Agreement, with Viracta Therapeutics, Inc. (f/k/a Sunesis Pharmaceuticals, Inc.), or Viracta. Takeda also granted DOT-1 a worldwide, sublicensable exclusive license under specified patents and know-how and non-exclusive license under other patents and know-how generated by Takeda under the Takeda Asset Agreement. DOT-1 also granted Takeda a grant back license, as defined in the Takeda Asset Agreement, which is terminable either automatically or by DOT-1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7" w:name="page128"/>
    <w:bookmarkEnd w:id="127"/>
    <w:p>
      <w:pPr>
        <w:ind w:firstLine="509"/>
        <w:spacing w:after="0" w:line="296" w:lineRule="auto"/>
        <w:rPr>
          <w:sz w:val="20"/>
          <w:szCs w:val="20"/>
          <w:color w:val="auto"/>
        </w:rPr>
      </w:pPr>
      <w:r>
        <w:rPr>
          <w:rFonts w:ascii="Arial" w:cs="Arial" w:eastAsia="Arial" w:hAnsi="Arial"/>
          <w:sz w:val="16"/>
          <w:szCs w:val="16"/>
          <w:color w:val="auto"/>
        </w:rPr>
        <w:t>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 issued shares in the Series A financing of DOT-1. Based on the terms of the Millennium Stock Exchange Agreement, Takeda exchanged the 9,857,143 shares of Series A redeemable convertible preferred stock of DOT-1 for 6,470,382 shares of our common stock upon the effectiveness of the Conversion, on May 26, 2021.</w:t>
      </w:r>
    </w:p>
    <w:p>
      <w:pPr>
        <w:spacing w:after="0" w:line="53"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term of the Takeda Asset Agreement will expire on a country-by-country basis upon expiration of all assigned patent rights and all licensed patent rights in such country. Takeda may terminate the Takeda Asset Agreement prior to our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303"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Effective December 31, 2021, DOT-1 was merged with and into our company, with our company being the surviving corporation and assuming DOT-1’s obligations under the Takeda Assets Purchase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Viracta license agreement</w:t>
      </w:r>
    </w:p>
    <w:p>
      <w:pPr>
        <w:spacing w:after="0" w:line="117"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p>
    <w:p>
      <w:pPr>
        <w:spacing w:after="0" w:line="76"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DOT-1 paid $2.0 million upfront in cash to Viracta, which was recorded as research and development expenses in 2019. DOT-1 made a milestone payment of $3.0 million to Viracta in February 2021, which was recorded as research and development expense when the milestone was achieved in April 2021. DOT-1 is also required to make additional milestone payments of up to $54.0 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sells such priority review voucher to a third party or uses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No other milestones, except as discussed above, were achieved and due as of December 31, 2022.</w:t>
      </w:r>
    </w:p>
    <w:p>
      <w:pPr>
        <w:spacing w:after="0" w:line="282"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The term of the Viracta License Agreement will expire on a licensed product-by-licensed product and country-by-country basis upon the expiration of the Company’s obligation to pay royalties to Viracta with respect to such product in such country. DOT-1 has the right to terminate the Viracta License Agreement with respect to any or all of the licensed products at will upon a specified notice period.</w:t>
      </w:r>
    </w:p>
    <w:p>
      <w:pPr>
        <w:spacing w:after="0" w:line="292"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Effective December 31, 2021, DOT-1 was merged with and into our company, with our company being the surviving corporation and assuming DOT-1’s obligations under Viracta License Agreement.</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License agreement with Merck KGaA, Darmstadt, Germany</w:t>
      </w:r>
    </w:p>
    <w:p>
      <w:pPr>
        <w:spacing w:after="0" w:line="117"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On February 10, 2021, DOT Therapeutics-2, Inc., or DOT-2, our subsidiary, entered into a license agreement, or the MRKDG License Agreement, with Merck KGaA, Darmstadt, Germany, a pharmaceutical corporation located in Darmstadt, Germany. Under the MRKDG License Agreement, Merck KGaA, Darmstadt, Germany granted to us an exclusive worldwide license, with the right to grant sublicenses through multiple tiers, under specified patent rights and know-how for us to research, develop, manufacture and commercialize products containing and comprising the pimasertib and MSC2015103B compounds. We also received clinical inventory supplies to use in its research and development activities.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w:t>
      </w:r>
    </w:p>
    <w:p>
      <w:pPr>
        <w:spacing w:after="0" w:line="58"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Under the MRKDG License Agreement, we have obligations to use commercially reasonable efforts to develop and commercialize at least two licensed products in at least two specified major market countries by the year 2029.</w:t>
      </w:r>
    </w:p>
    <w:p>
      <w:pPr>
        <w:spacing w:after="0" w:line="278"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In consideration for the rights granted under the MRKDG License Agreement and clinical supplies, we made an upfront payment of $8.0 million, which was recorded as research and development expenses, as the technology does not have an alternative future use and supplies are used for research activities. Additionally, we made a milestone payment of $2.5 million, which was recorded as research and development expenses due to the nature of the license agreement and the milestone event relating to the first dosing of a patient in a first clinical trial of a product containing pimasertib, in the year ended December 31, 2022. We may also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spacing w:after="0" w:line="58" w:lineRule="exact"/>
        <w:rPr>
          <w:sz w:val="20"/>
          <w:szCs w:val="20"/>
          <w:color w:val="auto"/>
        </w:rPr>
      </w:pPr>
    </w:p>
    <w:p>
      <w:pPr>
        <w:ind w:right="380" w:firstLine="509"/>
        <w:spacing w:after="0" w:line="311" w:lineRule="auto"/>
        <w:rPr>
          <w:sz w:val="20"/>
          <w:szCs w:val="20"/>
          <w:color w:val="auto"/>
        </w:rPr>
      </w:pPr>
      <w:r>
        <w:rPr>
          <w:rFonts w:ascii="Arial" w:cs="Arial" w:eastAsia="Arial" w:hAnsi="Arial"/>
          <w:sz w:val="16"/>
          <w:szCs w:val="16"/>
          <w:color w:val="auto"/>
        </w:rPr>
        <w:t>The term of the MRKDG License Agreement will expire on a licensed product-by-licensed product and country-by-country basis upon the expiration of our obligation to pay royalties to the licensor with respect to such licensed product in such country and will expire in its entirety upon the expiration of all of our payment obligations with respect to all licensed products and all countries under the MRKDG License Agreement.</w:t>
      </w:r>
    </w:p>
    <w:p>
      <w:pPr>
        <w:spacing w:after="0" w:line="41"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Effective December 31, 2021, DOT-2 was merged with and into our company, with our company being the surviving corporation and assuming DOT-2’s obligations under the MRKDG License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auto"/>
        </w:rPr>
        <w:t>Research and development expenses consist primarily of external and internal expenses incurred for our research activities, including our discovery and in-licensing undertakings, and the development of our lead product candidate, tovorafenib (DAY101) and our second product candidate, pimasertib.</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External expenses include:</w:t>
      </w:r>
    </w:p>
    <w:p>
      <w:pPr>
        <w:spacing w:after="0" w:line="117" w:lineRule="exact"/>
        <w:rPr>
          <w:sz w:val="20"/>
          <w:szCs w:val="20"/>
          <w:color w:val="auto"/>
        </w:rPr>
      </w:pPr>
    </w:p>
    <w:p>
      <w:pPr>
        <w:ind w:left="1140" w:hanging="369"/>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associated with acquiring technology and intellectual property licenses that have no alternative future uses;</w:t>
      </w:r>
    </w:p>
    <w:p>
      <w:pPr>
        <w:spacing w:after="0" w:line="117" w:lineRule="exact"/>
        <w:rPr>
          <w:rFonts w:ascii="Arial" w:cs="Arial" w:eastAsia="Arial" w:hAnsi="Arial"/>
          <w:sz w:val="18"/>
          <w:szCs w:val="18"/>
          <w:color w:val="auto"/>
        </w:rPr>
      </w:pPr>
    </w:p>
    <w:p>
      <w:pPr>
        <w:ind w:left="1140" w:hanging="369"/>
        <w:spacing w:after="0" w:line="277"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incurred under agreements with third-party contract research organizations, or CROs, contract manufacturing organizations, or CMOs, and other third parties that conduct clinical trials on our behalf; and</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costs associated with our research and development programs, including laboratory materials and supplies.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9" w:name="page130"/>
    <w:bookmarkEnd w:id="129"/>
    <w:p>
      <w:pPr>
        <w:ind w:left="520"/>
        <w:spacing w:after="0"/>
        <w:rPr>
          <w:sz w:val="20"/>
          <w:szCs w:val="20"/>
          <w:color w:val="auto"/>
        </w:rPr>
      </w:pPr>
      <w:r>
        <w:rPr>
          <w:rFonts w:ascii="Arial" w:cs="Arial" w:eastAsia="Arial" w:hAnsi="Arial"/>
          <w:sz w:val="18"/>
          <w:szCs w:val="18"/>
          <w:color w:val="auto"/>
        </w:rPr>
        <w:t>Internal expenses include:</w:t>
      </w:r>
    </w:p>
    <w:p>
      <w:pPr>
        <w:spacing w:after="0" w:line="117" w:lineRule="exact"/>
        <w:rPr>
          <w:sz w:val="20"/>
          <w:szCs w:val="20"/>
          <w:color w:val="auto"/>
        </w:rPr>
      </w:pPr>
    </w:p>
    <w:p>
      <w:pPr>
        <w:ind w:left="1140" w:right="260" w:hanging="369"/>
        <w:spacing w:after="0" w:line="277"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employee-related costs, including salaries, benefits and share-based compensation expense, for our research and development personnel; and</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facilities and other overhead expenses, including expenses for rent and facilities maintenance, and amortization.</w:t>
      </w:r>
    </w:p>
    <w:p>
      <w:pPr>
        <w:spacing w:after="0" w:line="225"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We expense research and development expenses as incurred. We track external costs by program, which currently consist of expenses for our tovorafenib (DAY101) program and our pimasertib program. We do not track indirect costs on a program specific basis because these costs are deployed across multiple programs and, as such, are not separately classified.</w:t>
      </w:r>
    </w:p>
    <w:p>
      <w:pPr>
        <w:spacing w:after="0" w:line="184"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Research and development activities are central to our business model. We expect that our research and development expenses will increase substantially for the foreseeable future as we continue to implement our business strategy, advance tovorafenib (DAY101) and pimasertib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spacing w:after="0" w:line="171"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We cannot reasonably determine the duration and costs to complete future clinical trials of tovorafenib (DAY101), pimasertib or any other product candidate we may develop or acquire, or to what extent we will generate revenue from the commercialization and sale of any of our product candidates. The successful development and commercialization of our product candidates, as well as our ability to obtain the necessary regulatory and marketing approvals are highly uncertain. This is due to numerous risks and uncertainties associated with developing new drugs, many of which are outside of our control, including:</w:t>
      </w:r>
    </w:p>
    <w:p>
      <w:pPr>
        <w:spacing w:after="0" w:line="80" w:lineRule="exact"/>
        <w:rPr>
          <w:sz w:val="20"/>
          <w:szCs w:val="20"/>
          <w:color w:val="auto"/>
        </w:rPr>
      </w:pPr>
    </w:p>
    <w:p>
      <w:pPr>
        <w:ind w:left="1140" w:right="240" w:hanging="369"/>
        <w:spacing w:after="0" w:line="277"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preclinical development activities, as well as of any future clinical trials of our product candidates, and other research and development activities we may conduct;</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uncertainties in clinical trial design;</w:t>
      </w:r>
    </w:p>
    <w:p>
      <w:pPr>
        <w:spacing w:after="0" w:line="117" w:lineRule="exact"/>
        <w:rPr>
          <w:rFonts w:ascii="Arial" w:cs="Arial" w:eastAsia="Arial" w:hAnsi="Arial"/>
          <w:sz w:val="18"/>
          <w:szCs w:val="18"/>
          <w:color w:val="auto"/>
        </w:rPr>
      </w:pPr>
    </w:p>
    <w:p>
      <w:pPr>
        <w:ind w:left="1140" w:hanging="369"/>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140" w:hanging="369"/>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17" w:lineRule="exact"/>
        <w:rPr>
          <w:rFonts w:ascii="Arial" w:cs="Arial" w:eastAsia="Arial" w:hAnsi="Arial"/>
          <w:sz w:val="18"/>
          <w:szCs w:val="18"/>
          <w:color w:val="auto"/>
        </w:rPr>
      </w:pPr>
    </w:p>
    <w:p>
      <w:pPr>
        <w:ind w:left="1140" w:hanging="369"/>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140" w:hanging="369"/>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140" w:hanging="369"/>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140" w:hanging="369"/>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140" w:hanging="369"/>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drop-out or discontinuation rates of patients, particularly in light of the COVID-19 pandemic environment;</w:t>
      </w:r>
    </w:p>
    <w:p>
      <w:pPr>
        <w:spacing w:after="0" w:line="117" w:lineRule="exact"/>
        <w:rPr>
          <w:rFonts w:ascii="Arial" w:cs="Arial" w:eastAsia="Arial" w:hAnsi="Arial"/>
          <w:sz w:val="18"/>
          <w:szCs w:val="18"/>
          <w:color w:val="auto"/>
        </w:rPr>
      </w:pPr>
    </w:p>
    <w:p>
      <w:pPr>
        <w:ind w:left="1140" w:hanging="369"/>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safety and efficacy profiles of our product candidates;</w:t>
      </w:r>
    </w:p>
    <w:p>
      <w:pPr>
        <w:spacing w:after="0" w:line="117" w:lineRule="exact"/>
        <w:rPr>
          <w:rFonts w:ascii="Arial" w:cs="Arial" w:eastAsia="Arial" w:hAnsi="Arial"/>
          <w:sz w:val="18"/>
          <w:szCs w:val="18"/>
          <w:color w:val="auto"/>
        </w:rPr>
      </w:pPr>
    </w:p>
    <w:p>
      <w:pPr>
        <w:ind w:left="1140" w:hanging="369"/>
        <w:spacing w:after="0" w:line="263"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receipt and terms of any approvals from applicable regulatory authorities, including the FDA, European Medicines Agency, Health Canada or other regulatory agencies of the investigational NDAs, clinical trial applications or other regulatory filings for tovorafenib (DAY101) and future product candidates;</w:t>
      </w:r>
    </w:p>
    <w:p>
      <w:pPr>
        <w:spacing w:after="0" w:line="75" w:lineRule="exact"/>
        <w:rPr>
          <w:rFonts w:ascii="Arial" w:cs="Arial" w:eastAsia="Arial" w:hAnsi="Arial"/>
          <w:sz w:val="18"/>
          <w:szCs w:val="18"/>
          <w:color w:val="auto"/>
        </w:rPr>
      </w:pPr>
    </w:p>
    <w:p>
      <w:pPr>
        <w:ind w:left="1140" w:hanging="369"/>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17" w:lineRule="exact"/>
        <w:rPr>
          <w:rFonts w:ascii="Arial" w:cs="Arial" w:eastAsia="Arial" w:hAnsi="Arial"/>
          <w:sz w:val="18"/>
          <w:szCs w:val="18"/>
          <w:color w:val="auto"/>
        </w:rPr>
      </w:pPr>
    </w:p>
    <w:p>
      <w:pPr>
        <w:ind w:left="1140" w:right="140" w:hanging="369"/>
        <w:spacing w:after="0" w:line="277" w:lineRule="auto"/>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0" w:name="page131"/>
    <w:bookmarkEnd w:id="130"/>
    <w:p>
      <w:pPr>
        <w:ind w:left="1140" w:right="820" w:hanging="369"/>
        <w:spacing w:after="0" w:line="277"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retention and expansion of a workforce of experienced scientists and others to continue research and development of our product candidates;</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any marketing approvals.</w:t>
      </w:r>
    </w:p>
    <w:p>
      <w:pPr>
        <w:spacing w:after="0" w:line="117" w:lineRule="exact"/>
        <w:rPr>
          <w:rFonts w:ascii="Arial" w:cs="Arial" w:eastAsia="Arial" w:hAnsi="Arial"/>
          <w:sz w:val="18"/>
          <w:szCs w:val="18"/>
          <w:color w:val="auto"/>
        </w:rPr>
      </w:pPr>
    </w:p>
    <w:p>
      <w:pPr>
        <w:ind w:left="1140" w:hanging="369"/>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17" w:lineRule="exact"/>
        <w:rPr>
          <w:rFonts w:ascii="Arial" w:cs="Arial" w:eastAsia="Arial" w:hAnsi="Arial"/>
          <w:sz w:val="18"/>
          <w:szCs w:val="18"/>
          <w:color w:val="auto"/>
        </w:rPr>
      </w:pPr>
    </w:p>
    <w:p>
      <w:pPr>
        <w:ind w:left="1140" w:right="100" w:hanging="369"/>
        <w:spacing w:after="0" w:line="277" w:lineRule="auto"/>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the third parties with whom we work, including due to the ongoing COVID-19 pandemic; and</w:t>
      </w:r>
    </w:p>
    <w:p>
      <w:pPr>
        <w:spacing w:after="0" w:line="62" w:lineRule="exact"/>
        <w:rPr>
          <w:rFonts w:ascii="Arial" w:cs="Arial" w:eastAsia="Arial" w:hAnsi="Arial"/>
          <w:sz w:val="18"/>
          <w:szCs w:val="18"/>
          <w:color w:val="auto"/>
        </w:rPr>
      </w:pPr>
    </w:p>
    <w:p>
      <w:pPr>
        <w:ind w:left="1140" w:hanging="369"/>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extent to which we establish additional strategic collaborations or other arrangements.</w:t>
      </w:r>
    </w:p>
    <w:p>
      <w:pPr>
        <w:spacing w:after="0" w:line="22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 change in estimates of any of these factors could mean a significant change in the costs and timing associated with the development of our current and future product candidates. For example, if the FDA or another regulatory authority were to require us to conduct clinical trials beyond those that we currently anticipate will be required for the completion of clinical development of a product candidate, or if we experience significant delays in our ongoing and planned clinical trials due to patient enrollment or other reasons, we could be required to expend significant additional financial resources and time on the completion of clinical development.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General and administrative expenses consist primarily of personnel-related costs, legal and professional service costs, insurance costs and facility-related costs. Personnel-related costs include salaries, bonuses, benefits, share-based compensation, travel expenses and other related costs, for personnel in our executive, finance, corporate, business development, and administrative functions. Legal and professional service expenses include legal fees related to intellectual property and corporate matters; professional fees for accounting, auditing, tax, human resources, business development, and other consulting services; and travel expenses and facilities-related expenses.</w:t>
      </w:r>
    </w:p>
    <w:p>
      <w:pPr>
        <w:spacing w:after="0" w:line="188" w:lineRule="exact"/>
        <w:rPr>
          <w:sz w:val="20"/>
          <w:szCs w:val="20"/>
          <w:color w:val="auto"/>
        </w:rPr>
      </w:pPr>
    </w:p>
    <w:p>
      <w:pPr>
        <w:ind w:right="320" w:firstLine="509"/>
        <w:spacing w:after="0" w:line="296" w:lineRule="auto"/>
        <w:rPr>
          <w:sz w:val="20"/>
          <w:szCs w:val="20"/>
          <w:color w:val="auto"/>
        </w:rPr>
      </w:pPr>
      <w:r>
        <w:rPr>
          <w:rFonts w:ascii="Arial" w:cs="Arial" w:eastAsia="Arial" w:hAnsi="Arial"/>
          <w:sz w:val="16"/>
          <w:szCs w:val="16"/>
          <w:color w:val="auto"/>
        </w:rPr>
        <w:t>We expect that our general and administrative expenses will increase substantially for the foreseeable future as we anticipate an increase in our personnel headcount to support expansion of research and development efforts for our product candidates, increase our team and resources dedicated to commercial market preparation, as well as to support our operations generally. We also expect an increase in expenses associated with being a public company, including costs related to compliance with the requirements of the Nasdaq Global Select Market, or Nasdaq, and the Securities and Exchange Commission, or SEC; additional director and officer insurance costs; and investor and public relations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redeemable convertible noncontrolling interest</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Net loss attributable to redeemable convertible noncontrolling interest represented a portion of the net loss that is not allocated to us in our subsidiary, DOT-1. On May 26, 2021, in connection with the terms of the Millennium Stock Exchange Agreement, Takeda exchanged its shares in DOT-1 for shares of our common stock. At that time, the redeemable convertible noncontrolling interest was extinguished, and DOT-1 became our wholly owned subsidiary.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of redeemable noncontrolling interest shares – deemed dividend</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For the year ended December 31, 2021, as a result of an exchange of shares by Takeda, we recognized an extinguishment loss of approximately $100.0 million to additional paid-in-capital, which was calculated as a difference between the fair value of common stock issued to Takeda in the conversion and the carrying value of redeemable noncontrolling interest at the conversion date. The all-stock, non-cash exchange was treated as a deemed dividend in the calculation of net loss attributable to common stockholders and net loss per share.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 ended December 31,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2022 and 2021:</w:t>
      </w:r>
    </w:p>
    <w:p>
      <w:pPr>
        <w:spacing w:after="0" w:line="12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7"/>
        </w:trPr>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85,618</w:t>
            </w:r>
          </w:p>
        </w:tc>
        <w:tc>
          <w:tcPr>
            <w:tcW w:w="2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43,584</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42,034</w:t>
            </w:r>
          </w:p>
        </w:tc>
        <w:tc>
          <w:tcPr>
            <w:tcW w:w="1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96.4 %</w:t>
            </w:r>
          </w:p>
        </w:tc>
        <w:tc>
          <w:tcPr>
            <w:tcW w:w="0" w:type="dxa"/>
            <w:vAlign w:val="bottom"/>
          </w:tcPr>
          <w:p>
            <w:pPr>
              <w:spacing w:after="0"/>
              <w:rPr>
                <w:sz w:val="1"/>
                <w:szCs w:val="1"/>
                <w:color w:val="auto"/>
              </w:rPr>
            </w:pPr>
          </w:p>
        </w:tc>
      </w:tr>
      <w:tr>
        <w:trPr>
          <w:trHeight w:val="242"/>
        </w:trPr>
        <w:tc>
          <w:tcPr>
            <w:tcW w:w="55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61,291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29,159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32,132</w:t>
            </w:r>
          </w:p>
        </w:tc>
        <w:tc>
          <w:tcPr>
            <w:tcW w:w="14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110.2 %</w:t>
            </w:r>
          </w:p>
        </w:tc>
        <w:tc>
          <w:tcPr>
            <w:tcW w:w="0" w:type="dxa"/>
            <w:vAlign w:val="bottom"/>
          </w:tcPr>
          <w:p>
            <w:pPr>
              <w:spacing w:after="0"/>
              <w:rPr>
                <w:sz w:val="1"/>
                <w:szCs w:val="1"/>
                <w:color w:val="auto"/>
              </w:rPr>
            </w:pPr>
          </w:p>
        </w:tc>
      </w:tr>
      <w:tr>
        <w:trPr>
          <w:trHeight w:val="27"/>
        </w:trPr>
        <w:tc>
          <w:tcPr>
            <w:tcW w:w="5580" w:type="dxa"/>
            <w:vAlign w:val="bottom"/>
            <w:vMerge w:val="restart"/>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146,909</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72,743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74,166</w:t>
            </w:r>
          </w:p>
        </w:tc>
        <w:tc>
          <w:tcPr>
            <w:tcW w:w="1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(146,909</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(72,743</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(74,166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4,746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4,742</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(18 )</w:t>
            </w:r>
          </w:p>
        </w:tc>
        <w:tc>
          <w:tcPr>
            <w:tcW w:w="360" w:type="dxa"/>
            <w:vAlign w:val="bottom"/>
          </w:tcPr>
          <w:p>
            <w:pPr>
              <w:spacing w:after="0"/>
              <w:rPr>
                <w:sz w:val="21"/>
                <w:szCs w:val="21"/>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(15 )</w:t>
            </w:r>
          </w:p>
        </w:tc>
        <w:tc>
          <w:tcPr>
            <w:tcW w:w="160" w:type="dxa"/>
            <w:vAlign w:val="bottom"/>
          </w:tcPr>
          <w:p>
            <w:pPr>
              <w:spacing w:after="0"/>
              <w:rPr>
                <w:sz w:val="21"/>
                <w:szCs w:val="21"/>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(3 )</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7"/>
        </w:trPr>
        <w:tc>
          <w:tcPr>
            <w:tcW w:w="5580" w:type="dxa"/>
            <w:vAlign w:val="bottom"/>
            <w:vMerge w:val="restart"/>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(142,181 )</w:t>
            </w:r>
          </w:p>
        </w:tc>
        <w:tc>
          <w:tcPr>
            <w:tcW w:w="360" w:type="dxa"/>
            <w:vAlign w:val="bottom"/>
          </w:tcPr>
          <w:p>
            <w:pPr>
              <w:spacing w:after="0"/>
              <w:rPr>
                <w:sz w:val="20"/>
                <w:szCs w:val="20"/>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(72,754 )</w:t>
            </w:r>
          </w:p>
        </w:tc>
        <w:tc>
          <w:tcPr>
            <w:tcW w:w="160" w:type="dxa"/>
            <w:vAlign w:val="bottom"/>
          </w:tcPr>
          <w:p>
            <w:pPr>
              <w:spacing w:after="0"/>
              <w:rPr>
                <w:sz w:val="20"/>
                <w:szCs w:val="20"/>
                <w:color w:val="auto"/>
              </w:rPr>
            </w:pPr>
          </w:p>
        </w:tc>
        <w:tc>
          <w:tcPr>
            <w:tcW w:w="1060" w:type="dxa"/>
            <w:vAlign w:val="bottom"/>
            <w:gridSpan w:val="2"/>
          </w:tcPr>
          <w:p>
            <w:pPr>
              <w:jc w:val="right"/>
              <w:ind w:right="1"/>
              <w:spacing w:after="0"/>
              <w:rPr>
                <w:sz w:val="20"/>
                <w:szCs w:val="20"/>
                <w:color w:val="auto"/>
              </w:rPr>
            </w:pPr>
            <w:r>
              <w:rPr>
                <w:rFonts w:ascii="Arial" w:cs="Arial" w:eastAsia="Arial" w:hAnsi="Arial"/>
                <w:sz w:val="18"/>
                <w:szCs w:val="18"/>
                <w:color w:val="auto"/>
              </w:rPr>
              <w:t>(69,427 )</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xml:space="preserve">95.4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21"/>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redeemable convertible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(2,109 )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580" w:type="dxa"/>
            <w:vAlign w:val="bottom"/>
          </w:tcPr>
          <w:p>
            <w:pPr>
              <w:spacing w:after="0"/>
              <w:rPr>
                <w:sz w:val="20"/>
                <w:szCs w:val="20"/>
                <w:color w:val="auto"/>
              </w:rPr>
            </w:pPr>
            <w:r>
              <w:rPr>
                <w:rFonts w:ascii="Arial" w:cs="Arial" w:eastAsia="Arial" w:hAnsi="Arial"/>
                <w:sz w:val="18"/>
                <w:szCs w:val="18"/>
                <w:color w:val="auto"/>
              </w:rPr>
              <w:t>Exchange of redeemable noncontrolling interest</w:t>
            </w:r>
          </w:p>
        </w:tc>
        <w:tc>
          <w:tcPr>
            <w:tcW w:w="260" w:type="dxa"/>
            <w:vAlign w:val="bottom"/>
          </w:tcPr>
          <w:p>
            <w:pPr>
              <w:spacing w:after="0"/>
              <w:rPr>
                <w:sz w:val="18"/>
                <w:szCs w:val="18"/>
                <w:color w:val="auto"/>
              </w:rPr>
            </w:pPr>
          </w:p>
        </w:tc>
        <w:tc>
          <w:tcPr>
            <w:tcW w:w="1080" w:type="dxa"/>
            <w:vAlign w:val="bottom"/>
            <w:gridSpan w:val="2"/>
            <w:vMerge w:val="restart"/>
          </w:tcPr>
          <w:p>
            <w:pPr>
              <w:jc w:val="right"/>
              <w:ind w:right="14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(99,994 )</w:t>
            </w:r>
          </w:p>
        </w:tc>
        <w:tc>
          <w:tcPr>
            <w:tcW w:w="1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99,994</w:t>
            </w:r>
          </w:p>
        </w:tc>
        <w:tc>
          <w:tcPr>
            <w:tcW w:w="1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shares – deemed dividend</w:t>
            </w:r>
          </w:p>
        </w:tc>
        <w:tc>
          <w:tcPr>
            <w:tcW w:w="2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Loss attributable to common stockholders/members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(142,181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(170,639</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28,458</w:t>
            </w:r>
          </w:p>
        </w:tc>
        <w:tc>
          <w:tcPr>
            <w:tcW w:w="1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-1722120</wp:posOffset>
            </wp:positionV>
            <wp:extent cx="6772275" cy="9601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72275" cy="96012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-179705</wp:posOffset>
            </wp:positionV>
            <wp:extent cx="6772275" cy="1803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72275" cy="18034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increased $42.0 million, from $43.6 million for the year ended December 31, 2021, to $85.6 million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2022. In the year ended December 31, 2022, as compared to December 31, 2021, third-party expenses increased by $29.0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due primarily to an increase in clinical trial, manufacturing and other product development expenses, personnel related expenses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$18.1 million resulting from additional headcount and share-based compensation, and upfront and milestone expenses decreased by $8.5 million due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timing of milestone payments.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external and internal research and development expenses for the years ended December 31, 2022 and 2021:</w:t>
      </w:r>
    </w:p>
    <w:p>
      <w:pPr>
        <w:spacing w:after="0" w:line="159"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240" w:type="dxa"/>
        <w:tblCellMar>
          <w:top w:w="0" w:type="dxa"/>
          <w:left w:w="0" w:type="dxa"/>
          <w:bottom w:w="0" w:type="dxa"/>
          <w:right w:w="0" w:type="dxa"/>
        </w:tblCellMar>
      </w:tblPr>
      <w:tr>
        <w:trPr>
          <w:trHeight w:val="169"/>
        </w:trPr>
        <w:tc>
          <w:tcPr>
            <w:tcW w:w="736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76"/>
              </w:rPr>
              <w:t>thousands)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External costs:</w:t>
            </w:r>
          </w:p>
        </w:tc>
        <w:tc>
          <w:tcPr>
            <w:tcW w:w="9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Third-party CRO, CMO and other third-party clinical trial costs (1)</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50,175</w:t>
            </w:r>
          </w:p>
        </w:tc>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21,181</w:t>
            </w:r>
          </w:p>
        </w:tc>
        <w:tc>
          <w:tcPr>
            <w:tcW w:w="100" w:type="dxa"/>
            <w:vAlign w:val="bottom"/>
          </w:tcPr>
          <w:p>
            <w:pPr>
              <w:spacing w:after="0"/>
              <w:rPr>
                <w:sz w:val="20"/>
                <w:szCs w:val="20"/>
                <w:color w:val="auto"/>
              </w:rPr>
            </w:pP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Milestone payment related to the MRKDG License Agreement</w:t>
            </w:r>
          </w:p>
        </w:tc>
        <w:tc>
          <w:tcPr>
            <w:tcW w:w="9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Upfront payment related to the MRKDG License Agreement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0"/>
                <w:szCs w:val="20"/>
                <w:color w:val="auto"/>
              </w:rPr>
            </w:pP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Milestone payment related to the Viracta License Agreement</w:t>
            </w:r>
          </w:p>
        </w:tc>
        <w:tc>
          <w:tcPr>
            <w:tcW w:w="9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Other research and development costs, including laboratory materials and supplies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3,598</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0"/>
                <w:szCs w:val="20"/>
                <w:color w:val="auto"/>
              </w:rPr>
            </w:pP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Internal costs:</w:t>
            </w:r>
          </w:p>
        </w:tc>
        <w:tc>
          <w:tcPr>
            <w:tcW w:w="9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Employee related expenses</w:t>
            </w: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29,345</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11,160</w:t>
            </w:r>
          </w:p>
        </w:tc>
        <w:tc>
          <w:tcPr>
            <w:tcW w:w="100" w:type="dxa"/>
            <w:vAlign w:val="bottom"/>
          </w:tcPr>
          <w:p>
            <w:pPr>
              <w:spacing w:after="0"/>
              <w:rPr>
                <w:sz w:val="20"/>
                <w:szCs w:val="20"/>
                <w:color w:val="auto"/>
              </w:rPr>
            </w:pPr>
          </w:p>
        </w:tc>
      </w:tr>
      <w:tr>
        <w:trPr>
          <w:trHeight w:val="277"/>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96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85,618</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43,584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7" w:lineRule="exact"/>
        <w:rPr>
          <w:sz w:val="20"/>
          <w:szCs w:val="20"/>
          <w:color w:val="auto"/>
        </w:rPr>
      </w:pPr>
    </w:p>
    <w:p>
      <w:pPr>
        <w:ind w:left="480" w:right="260" w:hanging="472"/>
        <w:spacing w:after="0" w:line="263" w:lineRule="auto"/>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Third-party CRO, CMO and other clinical trial costs for the tovorafenib (DAY 101) program and the pimasertib program were $43.2 million and $6.9 million, respectively, for year ended December 31, 2022, compared to $19.8 million and $1.4 million, respectively, for the year ended December 31, 2021.</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469"/>
        <w:spacing w:after="0" w:line="259" w:lineRule="auto"/>
        <w:rPr>
          <w:sz w:val="20"/>
          <w:szCs w:val="20"/>
          <w:color w:val="auto"/>
        </w:rPr>
      </w:pPr>
      <w:r>
        <w:rPr>
          <w:rFonts w:ascii="Arial" w:cs="Arial" w:eastAsia="Arial" w:hAnsi="Arial"/>
          <w:sz w:val="18"/>
          <w:szCs w:val="18"/>
          <w:color w:val="auto"/>
        </w:rPr>
        <w:t>General and administrative expenses increased $32.1 million, from $29.2 million for the year ended December 31, 2021 to $61.3 million for the year ended December 31, 2022. The increase in general and administrative expenses was primarily due to $17.1 million in employee compensation costs driven by headcount growth, $10.6 million in professional services, legal and insurance driven by the build out of commercial capabilities and continued expansion of business operations and $4.4 million in facilities costs and other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 redeemable noncontrolling interest shares – deemed dividend</w:t>
      </w:r>
    </w:p>
    <w:p>
      <w:pPr>
        <w:spacing w:after="0" w:line="117" w:lineRule="exact"/>
        <w:rPr>
          <w:sz w:val="20"/>
          <w:szCs w:val="20"/>
          <w:color w:val="auto"/>
        </w:rPr>
      </w:pPr>
    </w:p>
    <w:p>
      <w:pPr>
        <w:ind w:right="100" w:firstLine="464"/>
        <w:spacing w:after="0" w:line="255" w:lineRule="auto"/>
        <w:rPr>
          <w:sz w:val="20"/>
          <w:szCs w:val="20"/>
          <w:color w:val="auto"/>
        </w:rPr>
      </w:pPr>
      <w:r>
        <w:rPr>
          <w:rFonts w:ascii="Arial" w:cs="Arial" w:eastAsia="Arial" w:hAnsi="Arial"/>
          <w:sz w:val="18"/>
          <w:szCs w:val="18"/>
          <w:color w:val="auto"/>
        </w:rPr>
        <w:t>In May 2021, we exchanged Takeda’s redeemable noncontrolling interest shares in DOT-1 for shares of common stock of Day One Biopharmaceuticals, Inc., which resulted in accounting for the transaction as a deemed dividend. As such, we recognized a $100.0 million non-cash extinguishment loss to additional paid-in capital, which was calculated as a difference between the fair value of common stock issued to Takeda in the Conversion and the carrying value of the redeemable noncontrolling interest at the conversion date. This was disclosed below net loss on the consolidated statements of operations as a deemed dividend and included in the net loss per share calculation for the year ended December 31, 2021. There was no such loss recognized during the year ended December 31, 2022.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In June 2022, we entered into an equity distribution agreement with Piper Sandler &amp; Co. and JonesTrading Institutional Services LLC, as sales agents, relating to the issuance and sale of shares of our common stock having an aggregate offering price of up to $150.0 million from time to time, or the 2022 ATM. The issuance and sale of these shares by us pursuant to the 2022 ATM were deemed an “at-the-market” offering under the Securities Act. As of December 31, 2022, we have not sold any shares of our common stock under the 2022 ATM.</w:t>
      </w:r>
    </w:p>
    <w:p>
      <w:pPr>
        <w:spacing w:after="0" w:line="63"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In June 2022, we completed a follow-on offering and issued and sold 11,500,000 shares of common stock (including the exercise by the underwriters of their option to purchase an additional 1,500,000 shares of common stock) at a price to the public of $15.00 per share for net proceeds of approximately $161.6 million, after deducting underwriting discounts, commissions and offering costs.</w:t>
      </w:r>
    </w:p>
    <w:p>
      <w:pPr>
        <w:spacing w:after="0" w:line="76"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 June 2021, we completed our IPO and sold an aggregate of 11,500,000 shares of common stock at a price to the public of $16.00 per share, which included 1,500,000 shares issued upon the full exercise by the underwriters in May 2021 of their option to purchase additional shares of common stock. We received aggregate net proceeds from the IPO of $167.0 million, after deducting underwriting discounts, commissions, and offering costs of $17.0 million. Prior to our IPO, we had funded our operations through the sale of our redeemable convertible preferred shares and convertible notes. We had previously raised approximately $192.0 million in gross proceeds from the sale and issuance of our Series A and Series B redeemable convertible preferred shares and convertible notes.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2022, we had an accumulated deficit of $269.7 million and $342.3 million in cash, cash equivalents and short-term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believe our cash, cash equivalents and short-term investments will be sufficient to satisfy our cash requirements over the next 12 months and into 2025.</w:t>
      </w:r>
    </w:p>
    <w:p>
      <w:pPr>
        <w:spacing w:after="0" w:line="126" w:lineRule="exact"/>
        <w:rPr>
          <w:sz w:val="20"/>
          <w:szCs w:val="20"/>
          <w:color w:val="auto"/>
        </w:rPr>
      </w:pPr>
    </w:p>
    <w:p>
      <w:pPr>
        <w:ind w:right="180" w:firstLine="469"/>
        <w:spacing w:after="0" w:line="279" w:lineRule="auto"/>
        <w:rPr>
          <w:sz w:val="20"/>
          <w:szCs w:val="20"/>
          <w:color w:val="auto"/>
        </w:rPr>
      </w:pPr>
      <w:r>
        <w:rPr>
          <w:rFonts w:ascii="Arial" w:cs="Arial" w:eastAsia="Arial" w:hAnsi="Arial"/>
          <w:sz w:val="17"/>
          <w:szCs w:val="17"/>
          <w:color w:val="auto"/>
        </w:rPr>
        <w:t>Our primary use of cash is to fund operating expenses, which consist primarily of research and development expenditures including our license, clinical trial and laboratory costs as well as to a lesser extent, general and administrative expenditures including our salary and consulting expenses. Cash used to fund operating expenses is impacted by the timing of when we pay these expenses, as reflected in the change in our outstanding accounts payable and accrued expenses. Our material cash requirements include the following contractual and other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1040" w:firstLine="469"/>
        <w:spacing w:after="0" w:line="277" w:lineRule="auto"/>
        <w:rPr>
          <w:sz w:val="20"/>
          <w:szCs w:val="20"/>
          <w:color w:val="auto"/>
        </w:rPr>
      </w:pPr>
      <w:r>
        <w:rPr>
          <w:rFonts w:ascii="Arial" w:cs="Arial" w:eastAsia="Arial" w:hAnsi="Arial"/>
          <w:sz w:val="18"/>
          <w:szCs w:val="18"/>
          <w:color w:val="auto"/>
        </w:rPr>
        <w:t>We have an operating lease obligation for office space. As of December 31, 2022, the Company had fixed lease payment obligations of approximately $0.9 million, with approximately $0.5 million payable within 12 months.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i w:val="1"/>
          <w:iCs w:val="1"/>
          <w:color w:val="auto"/>
        </w:rPr>
        <w:t>Contract Research Organizations and Contract Manufacturing Organizations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have entered into contracts in the normal course of business with CROs, CMOs,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December 31, 2022, there were no amounts accrued related to termination and cancellation charges as these are not probable.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ind w:right="20" w:firstLine="469"/>
        <w:spacing w:after="0" w:line="296" w:lineRule="auto"/>
        <w:rPr>
          <w:sz w:val="20"/>
          <w:szCs w:val="20"/>
          <w:color w:val="auto"/>
        </w:rPr>
      </w:pPr>
      <w:r>
        <w:rPr>
          <w:rFonts w:ascii="Arial" w:cs="Arial" w:eastAsia="Arial" w:hAnsi="Arial"/>
          <w:sz w:val="16"/>
          <w:szCs w:val="16"/>
          <w:color w:val="auto"/>
        </w:rPr>
        <w:t>We have entered into licensing agreements, which require us to pay milestones contingent upon meeting of specific events. We made milestones payment of $2.5 million related to the first dosing of a patient in a first clinical trial of a product containing pimasertib in the year ended December 31, 2022 and $3.0 million related to the Viracta License Agreement in the year ended December 31, 2021. We are required to pay royalties on sales of products developed under these agreements. All our products are in development as of December 31, 2022 and no such royalties are due. As of December 31, 2022, we do not have any contingent payment obligations since the amount, timing and likelihood of such payments are not known.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sources and uses of cash for the periods presented:</w:t>
      </w:r>
    </w:p>
    <w:p>
      <w:pPr>
        <w:spacing w:after="0" w:line="136"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2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(109,874</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(48,539</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0"/>
                <w:szCs w:val="20"/>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(255,074 )</w:t>
            </w: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(8,000 )</w:t>
            </w:r>
          </w:p>
        </w:tc>
      </w:tr>
      <w:tr>
        <w:trPr>
          <w:trHeight w:val="24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165,901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297,120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2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(199,047 )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240,581</w:t>
            </w:r>
          </w:p>
        </w:tc>
        <w:tc>
          <w:tcPr>
            <w:tcW w:w="8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-187960</wp:posOffset>
            </wp:positionV>
            <wp:extent cx="51435"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used in operating activities for the year ended December 31, 2022 was $109.9 million, consisting of our net loss of $142.2 million, changes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$6.6 million in net operating assets and liabilities and by non-cash charges of $25.7 million, which is primarily comprised of share-based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of $27.2 million. Changes in operating assets and liabilities were primarily related to an increase in accrued expenses and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 liabilities of $9.2 million. This was partially offset by a decrease of accounts payable of $1.5 million, an increase to operating lease liabilities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$0.3 million, an increase to deposits and other long-term assets of $0.3 million, and an increase to prepaid expenses and other current assets of $0.5 million.</w:t>
      </w:r>
    </w:p>
    <w:p>
      <w:pPr>
        <w:spacing w:after="0" w:line="126"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Net cash used in operating activities for the year ended December 31, 2021 was $48.5 million, consisting of our net loss of $72.8 million, partially offset by $2.7 million in net operating assets and liabilities and by non-cash charges of $21.5 million. Changes in operating assets and liabilities were primarily related to an increase in prepaid expenses and other current assets of $3.7 million, which includes $3.0 million prepayment of the Viracta license milestone, partially offset by an increase in accrued expenses and other current liabilities of $5.1 million, and an increase in accounts payable of $1.5 million. Our non-cash charges primarily consisted of $13.3 million in share-based compensation expense and $0.2 million in non-cash lease expense. We also paid $8.0 million related to the MRKDG License Agreement, which was recognized as research and development expenses and presented in investing activities in our consolidated statements of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00" w:firstLine="469"/>
        <w:spacing w:after="0" w:line="263" w:lineRule="auto"/>
        <w:rPr>
          <w:sz w:val="20"/>
          <w:szCs w:val="20"/>
          <w:color w:val="auto"/>
        </w:rPr>
      </w:pPr>
      <w:r>
        <w:rPr>
          <w:rFonts w:ascii="Arial" w:cs="Arial" w:eastAsia="Arial" w:hAnsi="Arial"/>
          <w:sz w:val="18"/>
          <w:szCs w:val="18"/>
          <w:color w:val="auto"/>
        </w:rPr>
        <w:t>Net cash used in invested activities for the year ended December 31, 2022 was $255.1 million attributable to the purchase of short-term investments and property and equipment expenditures of $0.4 million. This was partially offset by the proceeds from the maturity of short-term investments of $0.1 million.</w:t>
      </w:r>
    </w:p>
    <w:p>
      <w:pPr>
        <w:spacing w:after="0" w:line="76" w:lineRule="exact"/>
        <w:rPr>
          <w:sz w:val="20"/>
          <w:szCs w:val="20"/>
          <w:color w:val="auto"/>
        </w:rPr>
      </w:pPr>
    </w:p>
    <w:p>
      <w:pPr>
        <w:ind w:right="40" w:firstLine="469"/>
        <w:spacing w:after="0" w:line="277" w:lineRule="auto"/>
        <w:rPr>
          <w:sz w:val="20"/>
          <w:szCs w:val="20"/>
          <w:color w:val="auto"/>
        </w:rPr>
      </w:pPr>
      <w:r>
        <w:rPr>
          <w:rFonts w:ascii="Arial" w:cs="Arial" w:eastAsia="Arial" w:hAnsi="Arial"/>
          <w:sz w:val="18"/>
          <w:szCs w:val="18"/>
          <w:color w:val="auto"/>
        </w:rPr>
        <w:t>Net cash used in investing activities for the year ended December 31, 2021 was $8.0 million, attributable to the payment under the MRKDG License Agreement.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40" w:firstLine="464"/>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2022 was $165.9 million, primarily attributable to the net proceeds from the issuance of common stock in connection with our follow-on offering of common stock. Additionally, there was $4.3 million of net cash provided by financing activities related to proceeds from the issuance of common stock upon stock option exercises and purchases made under our 2021 Employee Stock Purchase Plan.</w:t>
      </w:r>
    </w:p>
    <w:p>
      <w:pPr>
        <w:spacing w:after="0" w:line="79" w:lineRule="exact"/>
        <w:rPr>
          <w:sz w:val="20"/>
          <w:szCs w:val="20"/>
          <w:color w:val="auto"/>
        </w:rPr>
      </w:pPr>
    </w:p>
    <w:p>
      <w:pPr>
        <w:ind w:right="100" w:firstLine="464"/>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2021 was $297.1 million, attributable to $167.0 million related to the net proceeds from the issuance of common stock in connection with the IPO, and $129.8 million related to the net proceeds from the sale and issuance of Series B redeemable convertible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Since our inception, we have incurred significant operating losses. We expect to continue to incur significant expenses and increasing operating losses for the foreseeable future in connection with our ongoing activities.</w:t>
      </w:r>
    </w:p>
    <w:p>
      <w:pPr>
        <w:spacing w:after="0" w:line="170"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We believe our existing cash, cash equivalents and short-term investments will enable us to fund our operating expenses and capital expenditure requirements into 2025. We have based this estimate on assumptions that may prove to be imprecise, and we could use our available capital resources sooner than we currently expect.</w:t>
      </w:r>
    </w:p>
    <w:p>
      <w:pPr>
        <w:spacing w:after="0" w:line="18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As a result of anticipated expenditures, we will need to obtain substantial additional financing in connection with our continuing operations. Until such time, if ever, as we cannot generate substantial revenue from product sales,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78"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8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76" w:lineRule="exact"/>
        <w:rPr>
          <w:sz w:val="20"/>
          <w:szCs w:val="20"/>
          <w:color w:val="auto"/>
        </w:rPr>
      </w:pPr>
    </w:p>
    <w:p>
      <w:pPr>
        <w:ind w:firstLine="469"/>
        <w:spacing w:after="0" w:line="301" w:lineRule="auto"/>
        <w:rPr>
          <w:sz w:val="20"/>
          <w:szCs w:val="20"/>
          <w:color w:val="auto"/>
        </w:rPr>
      </w:pPr>
      <w:r>
        <w:rPr>
          <w:rFonts w:ascii="Arial" w:cs="Arial" w:eastAsia="Arial" w:hAnsi="Arial"/>
          <w:sz w:val="16"/>
          <w:szCs w:val="16"/>
          <w:color w:val="auto"/>
        </w:rPr>
        <w:t>Our ability to raise additional funds may be adversely impacted by potential worsening global economic conditions, including inflation and changing interest rates, and disruptions to and volatility in the credit and financial markets in the United States and worldwide resulting from the ongoing COVID-19 pandemic or otherwise. Because of the numerous risks and uncertainties associated with product development, we cannot predict the timing or amount of increased expenses and cannot assure you that we will ever be profitable or generate positive cash flow from operating activities.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40" w:firstLine="469"/>
        <w:spacing w:after="0" w:line="263" w:lineRule="auto"/>
        <w:rPr>
          <w:sz w:val="20"/>
          <w:szCs w:val="20"/>
          <w:color w:val="auto"/>
        </w:rPr>
      </w:pPr>
      <w:r>
        <w:rPr>
          <w:rFonts w:ascii="Arial" w:cs="Arial" w:eastAsia="Arial" w:hAnsi="Arial"/>
          <w:sz w:val="18"/>
          <w:szCs w:val="18"/>
          <w:color w:val="auto"/>
        </w:rPr>
        <w:t>We did not during the periods presented, and we do not currently have, any off-balance sheet arrangements, as defined in the rules and regulations of the SEC other than our indemnification agreements as described in Note 6 of our consolidated financial statements included elsewhere in this Annual Report on Form 10-K.</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20" w:firstLine="464"/>
        <w:spacing w:after="0" w:line="271"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generally accepted accounting principles in the United States, or GAAP. The preparation of consolidated financial statements in conformity with GAAP requires management to make estimates and assumptions that affect the reported amounts of assets, liabilities and disclosure of contingent assets and liabilities at the date of the consolidated financial statements and the reported amounts of expenses during the reporting period.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70" w:lineRule="exact"/>
        <w:rPr>
          <w:sz w:val="20"/>
          <w:szCs w:val="20"/>
          <w:color w:val="auto"/>
        </w:rPr>
      </w:pPr>
    </w:p>
    <w:p>
      <w:pPr>
        <w:ind w:right="60" w:firstLine="469"/>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appearing within Item 8 of this Annual Report, we believe that the following accounting policies are those most critical to the judgments and estimates used in the preparation of our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research and development expenses</w:t>
      </w:r>
    </w:p>
    <w:p>
      <w:pPr>
        <w:spacing w:after="0" w:line="117" w:lineRule="exact"/>
        <w:rPr>
          <w:sz w:val="20"/>
          <w:szCs w:val="20"/>
          <w:color w:val="auto"/>
        </w:rPr>
      </w:pPr>
    </w:p>
    <w:p>
      <w:pPr>
        <w:ind w:firstLine="469"/>
        <w:spacing w:after="0" w:line="301" w:lineRule="auto"/>
        <w:rPr>
          <w:sz w:val="20"/>
          <w:szCs w:val="20"/>
          <w:color w:val="auto"/>
        </w:rPr>
      </w:pPr>
      <w:r>
        <w:rPr>
          <w:rFonts w:ascii="Arial" w:cs="Arial" w:eastAsia="Arial" w:hAnsi="Arial"/>
          <w:sz w:val="16"/>
          <w:szCs w:val="16"/>
          <w:color w:val="auto"/>
        </w:rPr>
        <w:t>We record accrued liabilities for estimated costs of our research and development activities conducted by third-party service providers, which include the conduct of preclinical and clinical studies and contract manufacturing activities. We record the estimated costs of research and development activities based upon the estimated amount of services provided but not yet invoiced. We accrue for these costs based on factors such as estimates of the work completed and in accordance with agreements established with our third-party service providers under the service agreements.</w:t>
      </w:r>
    </w:p>
    <w:p>
      <w:pPr>
        <w:spacing w:after="0" w:line="49" w:lineRule="exact"/>
        <w:rPr>
          <w:sz w:val="20"/>
          <w:szCs w:val="20"/>
          <w:color w:val="auto"/>
        </w:rPr>
      </w:pPr>
    </w:p>
    <w:p>
      <w:pPr>
        <w:ind w:right="60" w:firstLine="469"/>
        <w:spacing w:after="0" w:line="269" w:lineRule="auto"/>
        <w:rPr>
          <w:sz w:val="20"/>
          <w:szCs w:val="20"/>
          <w:color w:val="auto"/>
        </w:rPr>
      </w:pPr>
      <w:r>
        <w:rPr>
          <w:rFonts w:ascii="Arial" w:cs="Arial" w:eastAsia="Arial" w:hAnsi="Arial"/>
          <w:sz w:val="17"/>
          <w:szCs w:val="17"/>
          <w:color w:val="auto"/>
        </w:rPr>
        <w:t>We make payments in connection with clinical trials under contracts with CMOs and CROs that support conducting and managing our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We accrue costs for clinical trial activities performed by CROs based upon the estimated amount of work completed on each trial. For clinical trial expenses, the significant factors used in estimating accruals include the number of patients enrolled, the activities to be performed for each patient, the number of active clinical sites and the duration for which the patients will be enrolled in the trial. We monitor patient enrollment levels and related activities to the extent possible through internal reviews, correspondence with CROs and review of contractual terms. We base our estimates on the best information available at the time. In accruing service fees of CMOs, we estimate the time period over which services will be performed and the level of effort to be expended in each period. Clinical supplies inventories that have no alternative use are recorded to research and development expense as ownership for these supplies passes to us.</w:t>
      </w:r>
    </w:p>
    <w:p>
      <w:pPr>
        <w:spacing w:after="0" w:line="77" w:lineRule="exact"/>
        <w:rPr>
          <w:sz w:val="20"/>
          <w:szCs w:val="20"/>
          <w:color w:val="auto"/>
        </w:rPr>
      </w:pPr>
    </w:p>
    <w:p>
      <w:pPr>
        <w:ind w:right="40" w:firstLine="469"/>
        <w:spacing w:after="0" w:line="279" w:lineRule="auto"/>
        <w:rPr>
          <w:sz w:val="20"/>
          <w:szCs w:val="20"/>
          <w:color w:val="auto"/>
        </w:rPr>
      </w:pPr>
      <w:r>
        <w:rPr>
          <w:rFonts w:ascii="Arial" w:cs="Arial" w:eastAsia="Arial" w:hAnsi="Arial"/>
          <w:sz w:val="17"/>
          <w:szCs w:val="17"/>
          <w:color w:val="auto"/>
        </w:rPr>
        <w:t>If we do not identify costs that have begun to be incurred or if we under- or over-estimate the level of services performed or the costs of these services, actual expenses could differ from our estimates. To date, we have not experienced any material differences between accrued costs and actual costs incurred. However, due to the nature of estimates, we cannot assure that we will not make changes to our estimates in the future as we become aware of additional information about the status or conduct of our clinical trials and other research activities.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60" w:firstLine="464"/>
        <w:spacing w:after="0" w:line="269" w:lineRule="auto"/>
        <w:rPr>
          <w:sz w:val="20"/>
          <w:szCs w:val="20"/>
          <w:color w:val="auto"/>
        </w:rPr>
      </w:pPr>
      <w:r>
        <w:rPr>
          <w:rFonts w:ascii="Arial" w:cs="Arial" w:eastAsia="Arial" w:hAnsi="Arial"/>
          <w:sz w:val="17"/>
          <w:szCs w:val="17"/>
          <w:color w:val="auto"/>
        </w:rPr>
        <w:t>Prior to our IPO, we recognized share-based compensation expense based on the estimated fair value of all share-based awards, incentive shares and restricted share awards, on the date of grant using the option-pricing model. The option-pricing model requires the input of subjective assumptions, including the fair value of the underlying common shares, the expected term of the award, the expected volatility, risk-free interest rates and the dividend yield. In determining the fair value of common shares, the methodologies used to estimate the enterprise value were performed using methodologies, approaches and assumptions consistent with the American Institute of Certified Public Accountants Accounting and Valuation Guide, Valuation of Privately-Held-Company Equity Securities Issued as Compensation. The participation threshold amounts were determined by the board of directors at the time of grant. The expected life of the awards granted during the period was determined based on an expected time to the liquidation event. We applied the risk-free interest rate based on the U.S. Treasury yield in effect at the time of the grant consistent with the life of the award. The expected volatility was based on a peer group in the industry in which we did business consistent with the expected time to liquidity. The dividend yield was set at zero as the underlying security did not and was not expected to pay a dividend.</w:t>
      </w:r>
    </w:p>
    <w:p>
      <w:pPr>
        <w:spacing w:after="0" w:line="293" w:lineRule="exact"/>
        <w:rPr>
          <w:sz w:val="20"/>
          <w:szCs w:val="20"/>
          <w:color w:val="auto"/>
        </w:rPr>
      </w:pPr>
    </w:p>
    <w:p>
      <w:pPr>
        <w:ind w:right="100" w:firstLine="469"/>
        <w:spacing w:after="0" w:line="277" w:lineRule="auto"/>
        <w:rPr>
          <w:sz w:val="20"/>
          <w:szCs w:val="20"/>
          <w:color w:val="auto"/>
        </w:rPr>
      </w:pPr>
      <w:r>
        <w:rPr>
          <w:rFonts w:ascii="Arial" w:cs="Arial" w:eastAsia="Arial" w:hAnsi="Arial"/>
          <w:sz w:val="18"/>
          <w:szCs w:val="18"/>
          <w:color w:val="auto"/>
        </w:rPr>
        <w:t>Subsequent to closing of the IPO, we use the Black-Scholes valuation model to estimate the fair value of options granted, intrinsic value to estimate the fair value of restricted stock awards, and fair value of our common stock at the grant date for restricted stock units.</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Black-Scholes option-pricing model, used to estimate fair value of stock options awards, requires the use of the following assumptions:</w:t>
      </w:r>
    </w:p>
    <w:p>
      <w:pPr>
        <w:spacing w:after="0" w:line="129"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closing price on the Nasdaq market at the grant date.</w:t>
      </w:r>
    </w:p>
    <w:p>
      <w:pPr>
        <w:spacing w:after="0" w:line="333" w:lineRule="exact"/>
        <w:rPr>
          <w:rFonts w:ascii="Arial" w:cs="Arial" w:eastAsia="Arial" w:hAnsi="Arial"/>
          <w:sz w:val="18"/>
          <w:szCs w:val="18"/>
          <w:color w:val="auto"/>
        </w:rPr>
      </w:pPr>
    </w:p>
    <w:p>
      <w:pPr>
        <w:ind w:left="1020" w:hanging="503"/>
        <w:spacing w:after="0" w:line="255"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share-based awards are expected to be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is calculated using the simplified method, as the weighted-average vesting term of the award and the award’s contract period. We utilize this method due to lack of historical exercise data and the plain-vanilla nature of our service condition share-based awards. For our performance condition stock option awards, we calculate the expected term by taking into consideration the option’s contractual life, the timing of when milestones are expected to be achieved and the expected exercise period by a holder from the vesting date until the contractual term.</w:t>
      </w:r>
    </w:p>
    <w:p>
      <w:pPr>
        <w:spacing w:after="0" w:line="300" w:lineRule="exact"/>
        <w:rPr>
          <w:rFonts w:ascii="Arial" w:cs="Arial" w:eastAsia="Arial" w:hAnsi="Arial"/>
          <w:sz w:val="18"/>
          <w:szCs w:val="18"/>
          <w:color w:val="auto"/>
        </w:rPr>
      </w:pPr>
    </w:p>
    <w:p>
      <w:pPr>
        <w:ind w:left="1020" w:right="40" w:hanging="503"/>
        <w:spacing w:after="0" w:line="25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do not have sufficient trading history for our common stock, the expected volatility is estimated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historical volatilities of common stock of comparable publicly traded biopharmaceutical companies over a period equal to the expected term of the stock option grants. The comparable biopharmaceutical companies are chosen based on their size, stage in the life cycle or area of specialty. We will continue to apply this process until sufficient historical information regarding the volatility of the common stock price becomes available.</w:t>
      </w:r>
    </w:p>
    <w:p>
      <w:pPr>
        <w:spacing w:after="0" w:line="295"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 at the time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to the expected term of the awards.</w:t>
      </w:r>
    </w:p>
    <w:p>
      <w:pPr>
        <w:spacing w:after="0" w:line="278"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never paid dividends on the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the expected dividend yield used is zero.</w:t>
      </w:r>
    </w:p>
    <w:p>
      <w:pPr>
        <w:spacing w:after="0" w:line="278" w:lineRule="exact"/>
        <w:rPr>
          <w:sz w:val="20"/>
          <w:szCs w:val="20"/>
          <w:color w:val="auto"/>
        </w:rPr>
      </w:pPr>
    </w:p>
    <w:p>
      <w:pPr>
        <w:ind w:right="440" w:firstLine="469"/>
        <w:spacing w:after="0" w:line="308" w:lineRule="auto"/>
        <w:rPr>
          <w:sz w:val="20"/>
          <w:szCs w:val="20"/>
          <w:color w:val="auto"/>
        </w:rPr>
      </w:pPr>
      <w:r>
        <w:rPr>
          <w:rFonts w:ascii="Arial" w:cs="Arial" w:eastAsia="Arial" w:hAnsi="Arial"/>
          <w:sz w:val="17"/>
          <w:szCs w:val="17"/>
          <w:color w:val="auto"/>
        </w:rPr>
        <w:t>We recognize forfeitures by reducing the expense in the same period the forfeitures occur. We recognize share-based compensation expense for awards with performance conditions when it is probable that the condition will be met, and the award will vest.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7" w:name="page138"/>
    <w:bookmarkEnd w:id="137"/>
    <w:p>
      <w:pPr>
        <w:ind w:firstLine="464"/>
        <w:spacing w:after="0" w:line="263" w:lineRule="auto"/>
        <w:rPr>
          <w:sz w:val="20"/>
          <w:szCs w:val="20"/>
          <w:color w:val="auto"/>
        </w:rPr>
      </w:pPr>
      <w:r>
        <w:rPr>
          <w:rFonts w:ascii="Arial" w:cs="Arial" w:eastAsia="Arial" w:hAnsi="Arial"/>
          <w:sz w:val="18"/>
          <w:szCs w:val="18"/>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share-based compensation expense could have been materially different.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20" w:firstLine="469"/>
        <w:spacing w:after="0" w:line="277" w:lineRule="auto"/>
        <w:rPr>
          <w:sz w:val="20"/>
          <w:szCs w:val="20"/>
          <w:color w:val="auto"/>
        </w:rPr>
      </w:pPr>
      <w:r>
        <w:rPr>
          <w:rFonts w:ascii="Arial" w:cs="Arial" w:eastAsia="Arial" w:hAnsi="Arial"/>
          <w:sz w:val="18"/>
          <w:szCs w:val="18"/>
          <w:color w:val="auto"/>
        </w:rPr>
        <w:t>Refer to Note 2 of the Notes to our Consolidated Financial Statements included elsewhere in this Annual Report on Form 10-K for a summary of recently issued and adopted accounting pronouncements.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60" w:firstLine="469"/>
        <w:spacing w:after="0" w:line="272" w:lineRule="auto"/>
        <w:rPr>
          <w:sz w:val="20"/>
          <w:szCs w:val="20"/>
          <w:color w:val="auto"/>
        </w:rPr>
      </w:pPr>
      <w:r>
        <w:rPr>
          <w:rFonts w:ascii="Arial" w:cs="Arial" w:eastAsia="Arial" w:hAnsi="Arial"/>
          <w:sz w:val="17"/>
          <w:szCs w:val="17"/>
          <w:color w:val="auto"/>
        </w:rPr>
        <w:t>As an emerging growth company, or EGC, under the Jumpstart Our Business Startups Act of 2012, or JOBS Act, we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of December 31, 2023, we will lose our status as an emerging growth company and will no longer be able to take advantage of the exemptions from various reporting requirements beginning with our annual report for the fiscal year ending December 31, 2023 to be filed in 2024.</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in the consolidated financial statements and notes thereto beginning at page F-1 of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469"/>
        <w:spacing w:after="0" w:line="253" w:lineRule="auto"/>
        <w:rPr>
          <w:sz w:val="20"/>
          <w:szCs w:val="20"/>
          <w:color w:val="auto"/>
        </w:rPr>
      </w:pPr>
      <w:r>
        <w:rPr>
          <w:rFonts w:ascii="Arial" w:cs="Arial" w:eastAsia="Arial" w:hAnsi="Arial"/>
          <w:sz w:val="18"/>
          <w:szCs w:val="18"/>
          <w:color w:val="auto"/>
        </w:rPr>
        <w:t>As of December 31, 2022, management, with the participation of our Principal Executive Officer and Principal Financial and Accounting Officer, performed an evaluation of the effectiveness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December 31, 2022, our disclosure controls and procedures were effective at a reasonable assurance level.</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40" w:firstLine="469"/>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80"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our transactions and dispositions of our assets;</w:t>
      </w:r>
    </w:p>
    <w:p>
      <w:pPr>
        <w:spacing w:after="0" w:line="356" w:lineRule="exact"/>
        <w:rPr>
          <w:rFonts w:ascii="Arial" w:cs="Arial" w:eastAsia="Arial" w:hAnsi="Arial"/>
          <w:sz w:val="16"/>
          <w:szCs w:val="16"/>
          <w:color w:val="auto"/>
        </w:rPr>
      </w:pPr>
    </w:p>
    <w:p>
      <w:pPr>
        <w:ind w:left="1020" w:hanging="503"/>
        <w:spacing w:after="0" w:line="342"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231" w:lineRule="exact"/>
        <w:rPr>
          <w:rFonts w:ascii="Arial" w:cs="Arial" w:eastAsia="Arial" w:hAnsi="Arial"/>
          <w:sz w:val="16"/>
          <w:szCs w:val="16"/>
          <w:color w:val="auto"/>
        </w:rPr>
      </w:pPr>
    </w:p>
    <w:p>
      <w:pPr>
        <w:ind w:left="1020" w:right="8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278" w:lineRule="exact"/>
        <w:rPr>
          <w:sz w:val="20"/>
          <w:szCs w:val="20"/>
          <w:color w:val="auto"/>
        </w:rPr>
      </w:pPr>
    </w:p>
    <w:p>
      <w:pPr>
        <w:ind w:firstLine="464"/>
        <w:spacing w:after="0" w:line="27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69" w:lineRule="exact"/>
        <w:rPr>
          <w:sz w:val="20"/>
          <w:szCs w:val="20"/>
          <w:color w:val="auto"/>
        </w:rPr>
      </w:pPr>
    </w:p>
    <w:p>
      <w:pPr>
        <w:ind w:right="40" w:firstLine="464"/>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assessed the effectiveness of our internal control over financial reporting as of December 31, 2022. In making this assessment, management used the criteria set forth by the Committee of Sponsoring Organizations of the Treadway Commission (COSO) in its Internal Control – Integrated Framework (2013). Based on our assessment, our management has concluded that, as of December 31, 2022, our internal control over financial reporting is effective based on those criteria.</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9" w:name="page140"/>
    <w:bookmarkEnd w:id="139"/>
    <w:p>
      <w:pPr>
        <w:ind w:firstLine="464"/>
        <w:spacing w:after="0" w:line="257"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regarding internal control over financial reporting. For as long as we remain an “emerging growth company” as defined in Section 2(a) of the Securities Act of 1933, as amended, or the Securities Act, as modified by the Jumpstart Our Business Startups Act of 2012,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quarter that have materially affected, or are reasonably likely to materially affect, our internal control over financial reporting.</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sections titled “Information about our Executive Officers,” “Election of Directors,” “Corporate Governance” and “Security Ownership of Certain Beneficial Owners and Management” in our Definitive Proxy Statement with respect to our 2023 Annual Meeting of Stockholders to be filed with the SEC within 120 days after the end of the fiscal year covered by this Annual Report on Form 10-K.</w:t>
      </w:r>
    </w:p>
    <w:p>
      <w:pPr>
        <w:spacing w:after="0" w:line="79"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With regard to the information required by this item regarding compliance with Section 16(a) of the Exchange Act, we will provide disclosure of delinquent Section 16(a) reports, if any, in our Proxy Statement related to the 2023 Annual Meeting of Shareholders, and such disclosure, if any, is incorporated herein by reference.</w:t>
      </w:r>
    </w:p>
    <w:p>
      <w:pPr>
        <w:spacing w:after="0" w:line="76"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Business Conduct and Ethics on our website. The information contained on, or accessible from, our website is not part of this Annual Report on Form 10-K by reference or otherwise.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sections titled “Executive Compensation,” “Election of Directors,” and “Corporate Governance” in our Definitive Proxy Statement with respect to our 2023 Annual Meeting of Stockholders to be filed with the SEC within 120 days after the end of the fiscal year covered by this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40" w:firstLine="509"/>
        <w:spacing w:after="0" w:line="286" w:lineRule="auto"/>
        <w:rPr>
          <w:sz w:val="20"/>
          <w:szCs w:val="20"/>
          <w:color w:val="auto"/>
        </w:rPr>
      </w:pPr>
      <w:r>
        <w:rPr>
          <w:rFonts w:ascii="Arial" w:cs="Arial" w:eastAsia="Arial" w:hAnsi="Arial"/>
          <w:sz w:val="17"/>
          <w:szCs w:val="17"/>
          <w:color w:val="auto"/>
        </w:rPr>
        <w:t>The information required by this Item is incorporated herein by reference to the sections titled “Security Ownership of Certain Beneficial Owners and Management” and “Equity Compensation Plan Information” in our Definitive Proxy Statement with respect to our 2023 Annual Meeting of Stockholders to be filed with the SEC within 120 days after the end of the fiscal year covered by this Annual Report on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sections titled “Certain Relationships and Related Party Transactions” and “Corporate Governance” in our Definitive Proxy Statement with respect to our 2023 Annual Meeting of Stockholders to be filed with the SEC within 120 days after the end of the fiscal year covered by this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section titled “Ratification of Independent Registered Public Accounting Firm” in our Definitive Proxy Statement with respect to our 2023 Annual Meeting of Stockholders to be filed with the SEC within 120 days after the end of the fiscal year covered by this Annual Report on Form 10-K.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520"/>
        <w:spacing w:after="0"/>
        <w:tabs>
          <w:tab w:leader="none" w:pos="86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6"/>
          <w:szCs w:val="16"/>
          <w:i w:val="1"/>
          <w:iCs w:val="1"/>
          <w:color w:val="auto"/>
        </w:rPr>
        <w:t>Consolidated Financial Statements:</w:t>
      </w:r>
    </w:p>
    <w:p>
      <w:pPr>
        <w:spacing w:after="0" w:line="117"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The consolidated financial statements required by Item 15(a) are filed as part of this Annual Report on Form 10-K under Item 8 “Consolidated Financial Statements and Supplementary Data.”</w:t>
      </w:r>
    </w:p>
    <w:p>
      <w:pPr>
        <w:spacing w:after="0" w:line="278" w:lineRule="exact"/>
        <w:rPr>
          <w:sz w:val="20"/>
          <w:szCs w:val="20"/>
          <w:color w:val="auto"/>
        </w:rPr>
      </w:pPr>
    </w:p>
    <w:p>
      <w:pPr>
        <w:ind w:left="520"/>
        <w:spacing w:after="0"/>
        <w:tabs>
          <w:tab w:leader="none" w:pos="86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6"/>
          <w:szCs w:val="16"/>
          <w:i w:val="1"/>
          <w:iCs w:val="1"/>
          <w:color w:val="auto"/>
        </w:rPr>
        <w:t>Consolidated Financial Statement Schedules</w:t>
      </w:r>
    </w:p>
    <w:p>
      <w:pPr>
        <w:spacing w:after="0" w:line="333"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financial statement schedules required by Item 15(a) are omitted because they are not applicable, not required or the required information is included in the consolidated financial statements or notes thereto as filed in Item 8 of this Annual Report on Form 10-K.</w:t>
      </w:r>
    </w:p>
    <w:p>
      <w:pPr>
        <w:spacing w:after="0" w:line="278" w:lineRule="exact"/>
        <w:rPr>
          <w:sz w:val="20"/>
          <w:szCs w:val="20"/>
          <w:color w:val="auto"/>
        </w:rPr>
      </w:pPr>
    </w:p>
    <w:p>
      <w:pPr>
        <w:ind w:left="520"/>
        <w:spacing w:after="0"/>
        <w:tabs>
          <w:tab w:leader="none" w:pos="860" w:val="left"/>
        </w:tabs>
        <w:rPr>
          <w:sz w:val="20"/>
          <w:szCs w:val="20"/>
          <w:color w:val="auto"/>
        </w:rPr>
      </w:pPr>
      <w:r>
        <w:rPr>
          <w:rFonts w:ascii="Arial" w:cs="Arial" w:eastAsia="Arial" w:hAnsi="Arial"/>
          <w:sz w:val="18"/>
          <w:szCs w:val="18"/>
          <w:i w:val="1"/>
          <w:iCs w:val="1"/>
          <w:color w:val="auto"/>
        </w:rPr>
        <w:t>(3)</w:t>
      </w:r>
      <w:r>
        <w:rPr>
          <w:sz w:val="20"/>
          <w:szCs w:val="20"/>
          <w:color w:val="auto"/>
        </w:rPr>
        <w:tab/>
      </w:r>
      <w:r>
        <w:rPr>
          <w:rFonts w:ascii="Arial" w:cs="Arial" w:eastAsia="Arial" w:hAnsi="Arial"/>
          <w:sz w:val="16"/>
          <w:szCs w:val="16"/>
          <w:i w:val="1"/>
          <w:iCs w:val="1"/>
          <w:color w:val="auto"/>
        </w:rPr>
        <w:t>Exhibits.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20" w:type="dxa"/>
            <w:vAlign w:val="bottom"/>
          </w:tcPr>
          <w:p>
            <w:pPr>
              <w:ind w:left="220"/>
              <w:spacing w:after="0"/>
              <w:rPr>
                <w:sz w:val="20"/>
                <w:szCs w:val="20"/>
                <w:color w:val="auto"/>
              </w:rPr>
            </w:pPr>
            <w:r>
              <w:rPr>
                <w:rFonts w:ascii="Arial" w:cs="Arial" w:eastAsia="Arial" w:hAnsi="Arial"/>
                <w:sz w:val="17"/>
                <w:szCs w:val="17"/>
                <w:b w:val="1"/>
                <w:bCs w:val="1"/>
                <w:color w:val="auto"/>
              </w:rPr>
              <w:t>Exhibit</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gridSpan w:val="15"/>
          </w:tcPr>
          <w:p>
            <w:pPr>
              <w:ind w:left="760"/>
              <w:spacing w:after="0"/>
              <w:rPr>
                <w:sz w:val="20"/>
                <w:szCs w:val="20"/>
                <w:color w:val="auto"/>
              </w:rPr>
            </w:pPr>
            <w:r>
              <w:rPr>
                <w:rFonts w:ascii="Arial" w:cs="Arial" w:eastAsia="Arial" w:hAnsi="Arial"/>
                <w:sz w:val="17"/>
                <w:szCs w:val="17"/>
                <w:b w:val="1"/>
                <w:bCs w:val="1"/>
                <w:color w:val="auto"/>
              </w:rPr>
              <w:t>Description</w:t>
            </w:r>
          </w:p>
        </w:tc>
        <w:tc>
          <w:tcPr>
            <w:tcW w:w="1040" w:type="dxa"/>
            <w:vAlign w:val="bottom"/>
          </w:tcPr>
          <w:p>
            <w:pPr>
              <w:ind w:left="440"/>
              <w:spacing w:after="0"/>
              <w:rPr>
                <w:sz w:val="20"/>
                <w:szCs w:val="20"/>
                <w:color w:val="auto"/>
              </w:rPr>
            </w:pPr>
            <w:r>
              <w:rPr>
                <w:rFonts w:ascii="Arial" w:cs="Arial" w:eastAsia="Arial" w:hAnsi="Arial"/>
                <w:sz w:val="17"/>
                <w:szCs w:val="17"/>
                <w:b w:val="1"/>
                <w:bCs w:val="1"/>
                <w:color w:val="auto"/>
              </w:rPr>
              <w:t>Form</w:t>
            </w:r>
          </w:p>
        </w:tc>
        <w:tc>
          <w:tcPr>
            <w:tcW w:w="1860" w:type="dxa"/>
            <w:vAlign w:val="bottom"/>
          </w:tcPr>
          <w:p>
            <w:pPr>
              <w:ind w:left="840"/>
              <w:spacing w:after="0"/>
              <w:rPr>
                <w:sz w:val="20"/>
                <w:szCs w:val="20"/>
                <w:color w:val="auto"/>
              </w:rPr>
            </w:pPr>
            <w:r>
              <w:rPr>
                <w:rFonts w:ascii="Arial" w:cs="Arial" w:eastAsia="Arial" w:hAnsi="Arial"/>
                <w:sz w:val="17"/>
                <w:szCs w:val="17"/>
                <w:b w:val="1"/>
                <w:bCs w:val="1"/>
                <w:color w:val="auto"/>
              </w:rPr>
              <w:t>File No.</w:t>
            </w:r>
          </w:p>
        </w:tc>
        <w:tc>
          <w:tcPr>
            <w:tcW w:w="2060" w:type="dxa"/>
            <w:vAlign w:val="bottom"/>
          </w:tcPr>
          <w:p>
            <w:pPr>
              <w:jc w:val="center"/>
              <w:ind w:left="311"/>
              <w:spacing w:after="0"/>
              <w:rPr>
                <w:sz w:val="20"/>
                <w:szCs w:val="20"/>
                <w:color w:val="auto"/>
              </w:rPr>
            </w:pPr>
            <w:r>
              <w:rPr>
                <w:rFonts w:ascii="Arial" w:cs="Arial" w:eastAsia="Arial" w:hAnsi="Arial"/>
                <w:sz w:val="17"/>
                <w:szCs w:val="17"/>
                <w:b w:val="1"/>
                <w:bCs w:val="1"/>
                <w:color w:val="auto"/>
                <w:w w:val="95"/>
              </w:rPr>
              <w:t>Exhibit</w:t>
            </w:r>
          </w:p>
        </w:tc>
        <w:tc>
          <w:tcPr>
            <w:tcW w:w="1160" w:type="dxa"/>
            <w:vAlign w:val="bottom"/>
          </w:tcPr>
          <w:p>
            <w:pPr>
              <w:jc w:val="center"/>
              <w:ind w:left="35"/>
              <w:spacing w:after="0"/>
              <w:rPr>
                <w:sz w:val="20"/>
                <w:szCs w:val="20"/>
                <w:color w:val="auto"/>
              </w:rPr>
            </w:pPr>
            <w:r>
              <w:rPr>
                <w:rFonts w:ascii="Arial" w:cs="Arial" w:eastAsia="Arial" w:hAnsi="Arial"/>
                <w:sz w:val="17"/>
                <w:szCs w:val="17"/>
                <w:b w:val="1"/>
                <w:bCs w:val="1"/>
                <w:color w:val="auto"/>
                <w:w w:val="89"/>
              </w:rPr>
              <w:t>Filed/</w:t>
            </w:r>
          </w:p>
        </w:tc>
      </w:tr>
      <w:tr>
        <w:trPr>
          <w:trHeight w:val="203"/>
        </w:trPr>
        <w:tc>
          <w:tcPr>
            <w:tcW w:w="1120" w:type="dxa"/>
            <w:vAlign w:val="bottom"/>
          </w:tcPr>
          <w:p>
            <w:pPr>
              <w:ind w:left="200"/>
              <w:spacing w:after="0"/>
              <w:rPr>
                <w:sz w:val="20"/>
                <w:szCs w:val="20"/>
                <w:color w:val="auto"/>
              </w:rPr>
            </w:pPr>
            <w:r>
              <w:rPr>
                <w:rFonts w:ascii="Arial" w:cs="Arial" w:eastAsia="Arial" w:hAnsi="Arial"/>
                <w:sz w:val="17"/>
                <w:szCs w:val="17"/>
                <w:b w:val="1"/>
                <w:bCs w:val="1"/>
                <w:color w:val="auto"/>
              </w:rPr>
              <w:t>Number</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60" w:type="dxa"/>
            <w:vAlign w:val="bottom"/>
          </w:tcPr>
          <w:p>
            <w:pPr>
              <w:jc w:val="center"/>
              <w:ind w:left="291"/>
              <w:spacing w:after="0"/>
              <w:rPr>
                <w:sz w:val="20"/>
                <w:szCs w:val="20"/>
                <w:color w:val="auto"/>
              </w:rPr>
            </w:pPr>
            <w:r>
              <w:rPr>
                <w:rFonts w:ascii="Arial" w:cs="Arial" w:eastAsia="Arial" w:hAnsi="Arial"/>
                <w:sz w:val="17"/>
                <w:szCs w:val="17"/>
                <w:b w:val="1"/>
                <w:bCs w:val="1"/>
                <w:color w:val="auto"/>
                <w:w w:val="96"/>
              </w:rPr>
              <w:t>Filing</w:t>
            </w:r>
          </w:p>
        </w:tc>
        <w:tc>
          <w:tcPr>
            <w:tcW w:w="1160" w:type="dxa"/>
            <w:vAlign w:val="bottom"/>
          </w:tcPr>
          <w:p>
            <w:pPr>
              <w:jc w:val="center"/>
              <w:ind w:left="75"/>
              <w:spacing w:after="0"/>
              <w:rPr>
                <w:sz w:val="20"/>
                <w:szCs w:val="20"/>
                <w:color w:val="auto"/>
              </w:rPr>
            </w:pPr>
            <w:r>
              <w:rPr>
                <w:rFonts w:ascii="Arial" w:cs="Arial" w:eastAsia="Arial" w:hAnsi="Arial"/>
                <w:sz w:val="17"/>
                <w:szCs w:val="17"/>
                <w:b w:val="1"/>
                <w:bCs w:val="1"/>
                <w:color w:val="auto"/>
                <w:w w:val="92"/>
              </w:rPr>
              <w:t>Furnished</w:t>
            </w:r>
          </w:p>
        </w:tc>
      </w:tr>
      <w:tr>
        <w:trPr>
          <w:trHeight w:val="220"/>
        </w:trPr>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60" w:type="dxa"/>
            <w:vAlign w:val="bottom"/>
          </w:tcPr>
          <w:p>
            <w:pPr>
              <w:jc w:val="center"/>
              <w:ind w:left="311"/>
              <w:spacing w:after="0"/>
              <w:rPr>
                <w:sz w:val="20"/>
                <w:szCs w:val="20"/>
                <w:color w:val="auto"/>
              </w:rPr>
            </w:pPr>
            <w:r>
              <w:rPr>
                <w:rFonts w:ascii="Arial" w:cs="Arial" w:eastAsia="Arial" w:hAnsi="Arial"/>
                <w:sz w:val="17"/>
                <w:szCs w:val="17"/>
                <w:b w:val="1"/>
                <w:bCs w:val="1"/>
                <w:color w:val="auto"/>
                <w:w w:val="92"/>
              </w:rPr>
              <w:t>Date</w:t>
            </w:r>
          </w:p>
        </w:tc>
        <w:tc>
          <w:tcPr>
            <w:tcW w:w="1160" w:type="dxa"/>
            <w:vAlign w:val="bottom"/>
          </w:tcPr>
          <w:p>
            <w:pPr>
              <w:jc w:val="center"/>
              <w:ind w:left="75"/>
              <w:spacing w:after="0"/>
              <w:rPr>
                <w:sz w:val="20"/>
                <w:szCs w:val="20"/>
                <w:color w:val="auto"/>
              </w:rPr>
            </w:pPr>
            <w:r>
              <w:rPr>
                <w:rFonts w:ascii="Arial" w:cs="Arial" w:eastAsia="Arial" w:hAnsi="Arial"/>
                <w:sz w:val="17"/>
                <w:szCs w:val="17"/>
                <w:b w:val="1"/>
                <w:bCs w:val="1"/>
                <w:color w:val="auto"/>
                <w:w w:val="94"/>
              </w:rPr>
              <w:t>Herewith</w:t>
            </w:r>
          </w:p>
        </w:tc>
      </w:tr>
      <w:tr>
        <w:trPr>
          <w:trHeight w:val="450"/>
        </w:trPr>
        <w:tc>
          <w:tcPr>
            <w:tcW w:w="1120" w:type="dxa"/>
            <w:vAlign w:val="bottom"/>
          </w:tcPr>
          <w:p>
            <w:pPr>
              <w:ind w:left="20"/>
              <w:spacing w:after="0"/>
              <w:rPr>
                <w:sz w:val="20"/>
                <w:szCs w:val="20"/>
                <w:color w:val="auto"/>
              </w:rPr>
            </w:pPr>
            <w:r>
              <w:rPr>
                <w:rFonts w:ascii="Arial" w:cs="Arial" w:eastAsia="Arial" w:hAnsi="Arial"/>
                <w:sz w:val="18"/>
                <w:szCs w:val="18"/>
                <w:color w:val="auto"/>
              </w:rPr>
              <w:t>3.1</w:t>
            </w:r>
          </w:p>
        </w:tc>
        <w:tc>
          <w:tcPr>
            <w:tcW w:w="4000" w:type="dxa"/>
            <w:vAlign w:val="bottom"/>
            <w:gridSpan w:val="20"/>
          </w:tcPr>
          <w:p>
            <w:pPr>
              <w:spacing w:after="0"/>
              <w:rPr>
                <w:rFonts w:ascii="Arial" w:cs="Arial" w:eastAsia="Arial" w:hAnsi="Arial"/>
                <w:sz w:val="18"/>
                <w:szCs w:val="18"/>
                <w:color w:val="0000FF"/>
                <w:w w:val="97"/>
              </w:rPr>
            </w:pPr>
            <w:hyperlink r:id="rId183">
              <w:r>
                <w:rPr>
                  <w:rFonts w:ascii="Arial" w:cs="Arial" w:eastAsia="Arial" w:hAnsi="Arial"/>
                  <w:sz w:val="18"/>
                  <w:szCs w:val="18"/>
                  <w:color w:val="0000FF"/>
                  <w:w w:val="97"/>
                </w:rPr>
                <w:t>Restated Certificate of Incorporation, dated June 1,</w:t>
              </w:r>
            </w:hyperlink>
          </w:p>
        </w:tc>
        <w:tc>
          <w:tcPr>
            <w:tcW w:w="1040" w:type="dxa"/>
            <w:vAlign w:val="bottom"/>
          </w:tcPr>
          <w:p>
            <w:pPr>
              <w:ind w:left="280"/>
              <w:spacing w:after="0"/>
              <w:rPr>
                <w:sz w:val="20"/>
                <w:szCs w:val="20"/>
                <w:color w:val="auto"/>
              </w:rPr>
            </w:pPr>
            <w:r>
              <w:rPr>
                <w:rFonts w:ascii="Arial" w:cs="Arial" w:eastAsia="Arial" w:hAnsi="Arial"/>
                <w:sz w:val="18"/>
                <w:szCs w:val="18"/>
                <w:color w:val="auto"/>
              </w:rPr>
              <w:t>10-Q</w:t>
            </w:r>
          </w:p>
        </w:tc>
        <w:tc>
          <w:tcPr>
            <w:tcW w:w="1860" w:type="dxa"/>
            <w:vAlign w:val="bottom"/>
          </w:tcPr>
          <w:p>
            <w:pPr>
              <w:ind w:left="200"/>
              <w:spacing w:after="0"/>
              <w:rPr>
                <w:sz w:val="20"/>
                <w:szCs w:val="20"/>
                <w:color w:val="auto"/>
              </w:rPr>
            </w:pPr>
            <w:r>
              <w:rPr>
                <w:rFonts w:ascii="Arial" w:cs="Arial" w:eastAsia="Arial" w:hAnsi="Arial"/>
                <w:sz w:val="18"/>
                <w:szCs w:val="18"/>
                <w:color w:val="auto"/>
              </w:rPr>
              <w:t>001-40431</w:t>
            </w:r>
          </w:p>
        </w:tc>
        <w:tc>
          <w:tcPr>
            <w:tcW w:w="2060" w:type="dxa"/>
            <w:vAlign w:val="bottom"/>
          </w:tcPr>
          <w:p>
            <w:pPr>
              <w:ind w:left="440"/>
              <w:spacing w:after="0"/>
              <w:rPr>
                <w:sz w:val="20"/>
                <w:szCs w:val="20"/>
                <w:color w:val="auto"/>
              </w:rPr>
            </w:pPr>
            <w:r>
              <w:rPr>
                <w:rFonts w:ascii="Arial" w:cs="Arial" w:eastAsia="Arial" w:hAnsi="Arial"/>
                <w:sz w:val="18"/>
                <w:szCs w:val="18"/>
                <w:color w:val="auto"/>
              </w:rPr>
              <w:t>August 10, 2021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183">
              <w:r>
                <w:rPr>
                  <w:rFonts w:ascii="Arial" w:cs="Arial" w:eastAsia="Arial" w:hAnsi="Arial"/>
                  <w:sz w:val="18"/>
                  <w:szCs w:val="18"/>
                  <w:color w:val="0000FF"/>
                  <w:w w:val="84"/>
                </w:rPr>
                <w:t>2021.</w:t>
              </w:r>
            </w:hyperlink>
          </w:p>
        </w:tc>
        <w:tc>
          <w:tcPr>
            <w:tcW w:w="20" w:type="dxa"/>
            <w:vAlign w:val="bottom"/>
            <w:tcBorders>
              <w:top w:val="single" w:sz="8" w:color="0000FF"/>
              <w:bottom w:val="single" w:sz="8" w:color="0000EE"/>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4000" w:type="dxa"/>
            <w:vAlign w:val="bottom"/>
            <w:gridSpan w:val="20"/>
          </w:tcPr>
          <w:p>
            <w:pPr>
              <w:spacing w:after="0"/>
              <w:rPr>
                <w:rFonts w:ascii="Arial" w:cs="Arial" w:eastAsia="Arial" w:hAnsi="Arial"/>
                <w:sz w:val="18"/>
                <w:szCs w:val="18"/>
                <w:color w:val="0000FF"/>
                <w:w w:val="96"/>
              </w:rPr>
            </w:pPr>
            <w:hyperlink r:id="rId184">
              <w:r>
                <w:rPr>
                  <w:rFonts w:ascii="Arial" w:cs="Arial" w:eastAsia="Arial" w:hAnsi="Arial"/>
                  <w:sz w:val="18"/>
                  <w:szCs w:val="18"/>
                  <w:color w:val="0000FF"/>
                  <w:w w:val="96"/>
                </w:rPr>
                <w:t>Amended and Restated Bylaws, dated February 17,</w:t>
              </w:r>
            </w:hyperlink>
          </w:p>
        </w:tc>
        <w:tc>
          <w:tcPr>
            <w:tcW w:w="1040" w:type="dxa"/>
            <w:vAlign w:val="bottom"/>
          </w:tcPr>
          <w:p>
            <w:pPr>
              <w:ind w:left="280"/>
              <w:spacing w:after="0"/>
              <w:rPr>
                <w:sz w:val="20"/>
                <w:szCs w:val="20"/>
                <w:color w:val="auto"/>
              </w:rPr>
            </w:pPr>
            <w:r>
              <w:rPr>
                <w:rFonts w:ascii="Arial" w:cs="Arial" w:eastAsia="Arial" w:hAnsi="Arial"/>
                <w:sz w:val="18"/>
                <w:szCs w:val="18"/>
                <w:color w:val="auto"/>
              </w:rPr>
              <w:t>8-K</w:t>
            </w:r>
          </w:p>
        </w:tc>
        <w:tc>
          <w:tcPr>
            <w:tcW w:w="1860" w:type="dxa"/>
            <w:vAlign w:val="bottom"/>
          </w:tcPr>
          <w:p>
            <w:pPr>
              <w:ind w:left="200"/>
              <w:spacing w:after="0"/>
              <w:rPr>
                <w:sz w:val="20"/>
                <w:szCs w:val="20"/>
                <w:color w:val="auto"/>
              </w:rPr>
            </w:pPr>
            <w:r>
              <w:rPr>
                <w:rFonts w:ascii="Arial" w:cs="Arial" w:eastAsia="Arial" w:hAnsi="Arial"/>
                <w:sz w:val="18"/>
                <w:szCs w:val="18"/>
                <w:color w:val="auto"/>
              </w:rPr>
              <w:t>001-40431</w:t>
            </w:r>
          </w:p>
        </w:tc>
        <w:tc>
          <w:tcPr>
            <w:tcW w:w="2060" w:type="dxa"/>
            <w:vAlign w:val="bottom"/>
          </w:tcPr>
          <w:p>
            <w:pPr>
              <w:ind w:left="440"/>
              <w:spacing w:after="0"/>
              <w:rPr>
                <w:sz w:val="20"/>
                <w:szCs w:val="20"/>
                <w:color w:val="auto"/>
              </w:rPr>
            </w:pPr>
            <w:r>
              <w:rPr>
                <w:rFonts w:ascii="Arial" w:cs="Arial" w:eastAsia="Arial" w:hAnsi="Arial"/>
                <w:sz w:val="18"/>
                <w:szCs w:val="18"/>
                <w:color w:val="auto"/>
              </w:rPr>
              <w:t>February 23, 2023</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184">
              <w:r>
                <w:rPr>
                  <w:rFonts w:ascii="Arial" w:cs="Arial" w:eastAsia="Arial" w:hAnsi="Arial"/>
                  <w:sz w:val="18"/>
                  <w:szCs w:val="18"/>
                  <w:color w:val="0000FF"/>
                  <w:w w:val="84"/>
                </w:rPr>
                <w:t>2023.</w:t>
              </w:r>
            </w:hyperlink>
          </w:p>
        </w:tc>
        <w:tc>
          <w:tcPr>
            <w:tcW w:w="20" w:type="dxa"/>
            <w:vAlign w:val="bottom"/>
            <w:tcBorders>
              <w:top w:val="single" w:sz="8" w:color="0000FF"/>
              <w:bottom w:val="single" w:sz="8" w:color="0000EE"/>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3.3</w:t>
            </w:r>
          </w:p>
        </w:tc>
        <w:tc>
          <w:tcPr>
            <w:tcW w:w="4000" w:type="dxa"/>
            <w:vAlign w:val="bottom"/>
            <w:gridSpan w:val="20"/>
          </w:tcPr>
          <w:p>
            <w:pPr>
              <w:spacing w:after="0"/>
              <w:rPr>
                <w:rFonts w:ascii="Arial" w:cs="Arial" w:eastAsia="Arial" w:hAnsi="Arial"/>
                <w:sz w:val="18"/>
                <w:szCs w:val="18"/>
                <w:color w:val="0000FF"/>
                <w:w w:val="92"/>
              </w:rPr>
            </w:pPr>
            <w:hyperlink r:id="rId185">
              <w:r>
                <w:rPr>
                  <w:rFonts w:ascii="Arial" w:cs="Arial" w:eastAsia="Arial" w:hAnsi="Arial"/>
                  <w:sz w:val="18"/>
                  <w:szCs w:val="18"/>
                  <w:color w:val="0000FF"/>
                  <w:w w:val="92"/>
                </w:rPr>
                <w:t>Certificate of Ownership and Merger, dated December</w:t>
              </w:r>
            </w:hyperlink>
          </w:p>
        </w:tc>
        <w:tc>
          <w:tcPr>
            <w:tcW w:w="1040" w:type="dxa"/>
            <w:vAlign w:val="bottom"/>
          </w:tcPr>
          <w:p>
            <w:pPr>
              <w:ind w:left="280"/>
              <w:spacing w:after="0"/>
              <w:rPr>
                <w:sz w:val="20"/>
                <w:szCs w:val="20"/>
                <w:color w:val="auto"/>
              </w:rPr>
            </w:pPr>
            <w:r>
              <w:rPr>
                <w:rFonts w:ascii="Arial" w:cs="Arial" w:eastAsia="Arial" w:hAnsi="Arial"/>
                <w:sz w:val="18"/>
                <w:szCs w:val="18"/>
                <w:color w:val="auto"/>
              </w:rPr>
              <w:t>10-K</w:t>
            </w:r>
          </w:p>
        </w:tc>
        <w:tc>
          <w:tcPr>
            <w:tcW w:w="1860" w:type="dxa"/>
            <w:vAlign w:val="bottom"/>
          </w:tcPr>
          <w:p>
            <w:pPr>
              <w:ind w:left="240"/>
              <w:spacing w:after="0"/>
              <w:rPr>
                <w:sz w:val="20"/>
                <w:szCs w:val="20"/>
                <w:color w:val="auto"/>
              </w:rPr>
            </w:pPr>
            <w:r>
              <w:rPr>
                <w:rFonts w:ascii="Arial" w:cs="Arial" w:eastAsia="Arial" w:hAnsi="Arial"/>
                <w:sz w:val="18"/>
                <w:szCs w:val="18"/>
                <w:color w:val="auto"/>
              </w:rPr>
              <w:t>001-40431</w:t>
            </w:r>
          </w:p>
        </w:tc>
        <w:tc>
          <w:tcPr>
            <w:tcW w:w="2060" w:type="dxa"/>
            <w:vAlign w:val="bottom"/>
          </w:tcPr>
          <w:p>
            <w:pPr>
              <w:ind w:left="480"/>
              <w:spacing w:after="0"/>
              <w:rPr>
                <w:sz w:val="20"/>
                <w:szCs w:val="20"/>
                <w:color w:val="auto"/>
              </w:rPr>
            </w:pPr>
            <w:r>
              <w:rPr>
                <w:rFonts w:ascii="Arial" w:cs="Arial" w:eastAsia="Arial" w:hAnsi="Arial"/>
                <w:sz w:val="18"/>
                <w:szCs w:val="18"/>
                <w:color w:val="auto"/>
              </w:rPr>
              <w:t>March 7, 2022</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2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185">
              <w:r>
                <w:rPr>
                  <w:rFonts w:ascii="Arial" w:cs="Arial" w:eastAsia="Arial" w:hAnsi="Arial"/>
                  <w:sz w:val="18"/>
                  <w:szCs w:val="18"/>
                  <w:color w:val="0000FF"/>
                </w:rPr>
                <w:t>23, 2021</w:t>
              </w:r>
            </w:hyperlink>
          </w:p>
        </w:tc>
        <w:tc>
          <w:tcPr>
            <w:tcW w:w="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4.1</w:t>
            </w:r>
          </w:p>
        </w:tc>
        <w:tc>
          <w:tcPr>
            <w:tcW w:w="2560" w:type="dxa"/>
            <w:vAlign w:val="bottom"/>
            <w:tcBorders>
              <w:bottom w:val="single" w:sz="8" w:color="0000FF"/>
            </w:tcBorders>
            <w:gridSpan w:val="9"/>
          </w:tcPr>
          <w:p>
            <w:pPr>
              <w:spacing w:after="0"/>
              <w:rPr>
                <w:rFonts w:ascii="Arial" w:cs="Arial" w:eastAsia="Arial" w:hAnsi="Arial"/>
                <w:sz w:val="18"/>
                <w:szCs w:val="18"/>
                <w:color w:val="0000FF"/>
                <w:w w:val="91"/>
              </w:rPr>
            </w:pPr>
            <w:hyperlink r:id="rId186">
              <w:r>
                <w:rPr>
                  <w:rFonts w:ascii="Arial" w:cs="Arial" w:eastAsia="Arial" w:hAnsi="Arial"/>
                  <w:sz w:val="18"/>
                  <w:szCs w:val="18"/>
                  <w:color w:val="0000FF"/>
                  <w:w w:val="91"/>
                </w:rPr>
                <w:t>Form of Common Stock Certificate</w:t>
              </w:r>
            </w:hyperlink>
          </w:p>
        </w:tc>
        <w:tc>
          <w:tcPr>
            <w:tcW w:w="20" w:type="dxa"/>
            <w:vAlign w:val="bottom"/>
            <w:tcBorders>
              <w:bottom w:val="single" w:sz="8" w:color="0000EE"/>
            </w:tcBorders>
          </w:tcPr>
          <w:p>
            <w:pPr>
              <w:spacing w:after="0"/>
              <w:rPr>
                <w:sz w:val="24"/>
                <w:szCs w:val="24"/>
                <w:color w:val="auto"/>
              </w:rPr>
            </w:pPr>
          </w:p>
        </w:tc>
        <w:tc>
          <w:tcPr>
            <w:tcW w:w="1420" w:type="dxa"/>
            <w:vAlign w:val="bottom"/>
            <w:gridSpan w:val="10"/>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S-1/A</w:t>
            </w:r>
          </w:p>
        </w:tc>
        <w:tc>
          <w:tcPr>
            <w:tcW w:w="1860" w:type="dxa"/>
            <w:vAlign w:val="bottom"/>
          </w:tcPr>
          <w:p>
            <w:pPr>
              <w:ind w:left="200"/>
              <w:spacing w:after="0"/>
              <w:rPr>
                <w:sz w:val="20"/>
                <w:szCs w:val="20"/>
                <w:color w:val="auto"/>
              </w:rPr>
            </w:pPr>
            <w:r>
              <w:rPr>
                <w:rFonts w:ascii="Arial" w:cs="Arial" w:eastAsia="Arial" w:hAnsi="Arial"/>
                <w:sz w:val="18"/>
                <w:szCs w:val="18"/>
                <w:color w:val="auto"/>
              </w:rPr>
              <w:t>333-255754</w:t>
            </w:r>
          </w:p>
        </w:tc>
        <w:tc>
          <w:tcPr>
            <w:tcW w:w="2060" w:type="dxa"/>
            <w:vAlign w:val="bottom"/>
          </w:tcPr>
          <w:p>
            <w:pPr>
              <w:ind w:left="440"/>
              <w:spacing w:after="0"/>
              <w:rPr>
                <w:sz w:val="20"/>
                <w:szCs w:val="20"/>
                <w:color w:val="auto"/>
              </w:rPr>
            </w:pPr>
            <w:r>
              <w:rPr>
                <w:rFonts w:ascii="Arial" w:cs="Arial" w:eastAsia="Arial" w:hAnsi="Arial"/>
                <w:sz w:val="18"/>
                <w:szCs w:val="18"/>
                <w:color w:val="auto"/>
              </w:rPr>
              <w:t>May 24, 2021</w:t>
            </w:r>
          </w:p>
        </w:tc>
        <w:tc>
          <w:tcPr>
            <w:tcW w:w="1160" w:type="dxa"/>
            <w:vAlign w:val="bottom"/>
          </w:tcPr>
          <w:p>
            <w:pPr>
              <w:spacing w:after="0"/>
              <w:rPr>
                <w:sz w:val="24"/>
                <w:szCs w:val="24"/>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4.2</w:t>
            </w:r>
          </w:p>
        </w:tc>
        <w:tc>
          <w:tcPr>
            <w:tcW w:w="3880" w:type="dxa"/>
            <w:vAlign w:val="bottom"/>
            <w:tcBorders>
              <w:bottom w:val="single" w:sz="8" w:color="0000FF"/>
            </w:tcBorders>
            <w:gridSpan w:val="18"/>
          </w:tcPr>
          <w:p>
            <w:pPr>
              <w:spacing w:after="0"/>
              <w:rPr>
                <w:rFonts w:ascii="Arial" w:cs="Arial" w:eastAsia="Arial" w:hAnsi="Arial"/>
                <w:sz w:val="18"/>
                <w:szCs w:val="18"/>
                <w:color w:val="0000FF"/>
                <w:w w:val="90"/>
              </w:rPr>
            </w:pPr>
            <w:hyperlink r:id="rId187">
              <w:r>
                <w:rPr>
                  <w:rFonts w:ascii="Arial" w:cs="Arial" w:eastAsia="Arial" w:hAnsi="Arial"/>
                  <w:sz w:val="18"/>
                  <w:szCs w:val="18"/>
                  <w:color w:val="0000FF"/>
                  <w:w w:val="90"/>
                </w:rPr>
                <w:t>Amended and Restated Investors’ Rights Agreement,</w:t>
              </w:r>
            </w:hyperlink>
          </w:p>
        </w:tc>
        <w:tc>
          <w:tcPr>
            <w:tcW w:w="120" w:type="dxa"/>
            <w:vAlign w:val="bottom"/>
            <w:gridSpan w:val="2"/>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S-1</w:t>
            </w:r>
          </w:p>
        </w:tc>
        <w:tc>
          <w:tcPr>
            <w:tcW w:w="1860" w:type="dxa"/>
            <w:vAlign w:val="bottom"/>
          </w:tcPr>
          <w:p>
            <w:pPr>
              <w:ind w:left="200"/>
              <w:spacing w:after="0"/>
              <w:rPr>
                <w:sz w:val="20"/>
                <w:szCs w:val="20"/>
                <w:color w:val="auto"/>
              </w:rPr>
            </w:pPr>
            <w:r>
              <w:rPr>
                <w:rFonts w:ascii="Arial" w:cs="Arial" w:eastAsia="Arial" w:hAnsi="Arial"/>
                <w:sz w:val="18"/>
                <w:szCs w:val="18"/>
                <w:color w:val="auto"/>
              </w:rPr>
              <w:t>333-255754</w:t>
            </w:r>
          </w:p>
        </w:tc>
        <w:tc>
          <w:tcPr>
            <w:tcW w:w="2060" w:type="dxa"/>
            <w:vAlign w:val="bottom"/>
          </w:tcPr>
          <w:p>
            <w:pPr>
              <w:ind w:left="440"/>
              <w:spacing w:after="0"/>
              <w:rPr>
                <w:sz w:val="20"/>
                <w:szCs w:val="20"/>
                <w:color w:val="auto"/>
              </w:rPr>
            </w:pPr>
            <w:r>
              <w:rPr>
                <w:rFonts w:ascii="Arial" w:cs="Arial" w:eastAsia="Arial" w:hAnsi="Arial"/>
                <w:sz w:val="18"/>
                <w:szCs w:val="18"/>
                <w:color w:val="auto"/>
              </w:rPr>
              <w:t>May 4, 2021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350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187">
              <w:r>
                <w:rPr>
                  <w:rFonts w:ascii="Arial" w:cs="Arial" w:eastAsia="Arial" w:hAnsi="Arial"/>
                  <w:sz w:val="18"/>
                  <w:szCs w:val="18"/>
                  <w:color w:val="0000FF"/>
                  <w:w w:val="89"/>
                </w:rPr>
                <w:t>dated February 1, 2021, by and among Day One</w:t>
              </w:r>
            </w:hyperlink>
          </w:p>
        </w:tc>
        <w:tc>
          <w:tcPr>
            <w:tcW w:w="500" w:type="dxa"/>
            <w:vAlign w:val="bottom"/>
            <w:gridSpan w:val="7"/>
          </w:tcPr>
          <w:p>
            <w:pPr>
              <w:spacing w:after="0"/>
              <w:rPr>
                <w:sz w:val="17"/>
                <w:szCs w:val="17"/>
                <w:color w:val="auto"/>
              </w:rPr>
            </w:pP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58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187">
              <w:r>
                <w:rPr>
                  <w:rFonts w:ascii="Arial" w:cs="Arial" w:eastAsia="Arial" w:hAnsi="Arial"/>
                  <w:sz w:val="18"/>
                  <w:szCs w:val="18"/>
                  <w:color w:val="0000FF"/>
                  <w:w w:val="92"/>
                </w:rPr>
                <w:t>Biopharmaceuticals Holding Company, LLC and</w:t>
              </w:r>
            </w:hyperlink>
          </w:p>
        </w:tc>
        <w:tc>
          <w:tcPr>
            <w:tcW w:w="420" w:type="dxa"/>
            <w:vAlign w:val="bottom"/>
            <w:gridSpan w:val="6"/>
          </w:tcPr>
          <w:p>
            <w:pPr>
              <w:spacing w:after="0"/>
              <w:rPr>
                <w:sz w:val="17"/>
                <w:szCs w:val="17"/>
                <w:color w:val="auto"/>
              </w:rPr>
            </w:pP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90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87">
              <w:r>
                <w:rPr>
                  <w:rFonts w:ascii="Arial" w:cs="Arial" w:eastAsia="Arial" w:hAnsi="Arial"/>
                  <w:sz w:val="18"/>
                  <w:szCs w:val="18"/>
                  <w:color w:val="0000FF"/>
                  <w:w w:val="90"/>
                </w:rPr>
                <w:t>certain of its stockholders.</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13"/>
          </w:tcPr>
          <w:p>
            <w:pPr>
              <w:spacing w:after="0"/>
              <w:rPr>
                <w:sz w:val="17"/>
                <w:szCs w:val="17"/>
                <w:color w:val="auto"/>
              </w:rPr>
            </w:pP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4.3</w:t>
            </w:r>
          </w:p>
        </w:tc>
        <w:tc>
          <w:tcPr>
            <w:tcW w:w="4000" w:type="dxa"/>
            <w:vAlign w:val="bottom"/>
            <w:gridSpan w:val="20"/>
          </w:tcPr>
          <w:p>
            <w:pPr>
              <w:spacing w:after="0"/>
              <w:rPr>
                <w:rFonts w:ascii="Arial" w:cs="Arial" w:eastAsia="Arial" w:hAnsi="Arial"/>
                <w:sz w:val="18"/>
                <w:szCs w:val="18"/>
                <w:color w:val="0000FF"/>
              </w:rPr>
            </w:pPr>
            <w:hyperlink r:id="rId188">
              <w:r>
                <w:rPr>
                  <w:rFonts w:ascii="Arial" w:cs="Arial" w:eastAsia="Arial" w:hAnsi="Arial"/>
                  <w:sz w:val="18"/>
                  <w:szCs w:val="18"/>
                  <w:color w:val="0000FF"/>
                </w:rPr>
                <w:t>Description of Registrant’s Securities</w:t>
              </w:r>
            </w:hyperlink>
          </w:p>
        </w:tc>
        <w:tc>
          <w:tcPr>
            <w:tcW w:w="1040" w:type="dxa"/>
            <w:vAlign w:val="bottom"/>
          </w:tcPr>
          <w:p>
            <w:pPr>
              <w:ind w:left="280"/>
              <w:spacing w:after="0"/>
              <w:rPr>
                <w:sz w:val="20"/>
                <w:szCs w:val="20"/>
                <w:color w:val="auto"/>
              </w:rPr>
            </w:pPr>
            <w:r>
              <w:rPr>
                <w:rFonts w:ascii="Arial" w:cs="Arial" w:eastAsia="Arial" w:hAnsi="Arial"/>
                <w:sz w:val="18"/>
                <w:szCs w:val="18"/>
                <w:color w:val="auto"/>
              </w:rPr>
              <w:t>10-K</w:t>
            </w:r>
          </w:p>
        </w:tc>
        <w:tc>
          <w:tcPr>
            <w:tcW w:w="1860" w:type="dxa"/>
            <w:vAlign w:val="bottom"/>
          </w:tcPr>
          <w:p>
            <w:pPr>
              <w:ind w:left="200"/>
              <w:spacing w:after="0"/>
              <w:rPr>
                <w:sz w:val="20"/>
                <w:szCs w:val="20"/>
                <w:color w:val="auto"/>
              </w:rPr>
            </w:pPr>
            <w:r>
              <w:rPr>
                <w:rFonts w:ascii="Arial" w:cs="Arial" w:eastAsia="Arial" w:hAnsi="Arial"/>
                <w:sz w:val="18"/>
                <w:szCs w:val="18"/>
                <w:color w:val="auto"/>
              </w:rPr>
              <w:t>001-40431</w:t>
            </w:r>
          </w:p>
        </w:tc>
        <w:tc>
          <w:tcPr>
            <w:tcW w:w="2060" w:type="dxa"/>
            <w:vAlign w:val="bottom"/>
          </w:tcPr>
          <w:p>
            <w:pPr>
              <w:ind w:left="440"/>
              <w:spacing w:after="0"/>
              <w:rPr>
                <w:sz w:val="20"/>
                <w:szCs w:val="20"/>
                <w:color w:val="auto"/>
              </w:rPr>
            </w:pPr>
            <w:r>
              <w:rPr>
                <w:rFonts w:ascii="Arial" w:cs="Arial" w:eastAsia="Arial" w:hAnsi="Arial"/>
                <w:sz w:val="18"/>
                <w:szCs w:val="18"/>
                <w:color w:val="auto"/>
              </w:rPr>
              <w:t>March 7, 2022</w:t>
            </w:r>
          </w:p>
        </w:tc>
        <w:tc>
          <w:tcPr>
            <w:tcW w:w="11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10.1^</w:t>
            </w:r>
          </w:p>
        </w:tc>
        <w:tc>
          <w:tcPr>
            <w:tcW w:w="4000" w:type="dxa"/>
            <w:vAlign w:val="bottom"/>
            <w:tcBorders>
              <w:bottom w:val="single" w:sz="8" w:color="0000FF"/>
            </w:tcBorders>
            <w:gridSpan w:val="20"/>
          </w:tcPr>
          <w:p>
            <w:pPr>
              <w:spacing w:after="0"/>
              <w:rPr>
                <w:rFonts w:ascii="Arial" w:cs="Arial" w:eastAsia="Arial" w:hAnsi="Arial"/>
                <w:sz w:val="18"/>
                <w:szCs w:val="18"/>
                <w:color w:val="0000FF"/>
                <w:w w:val="93"/>
              </w:rPr>
            </w:pPr>
            <w:hyperlink r:id="rId189">
              <w:r>
                <w:rPr>
                  <w:rFonts w:ascii="Arial" w:cs="Arial" w:eastAsia="Arial" w:hAnsi="Arial"/>
                  <w:sz w:val="18"/>
                  <w:szCs w:val="18"/>
                  <w:color w:val="0000FF"/>
                  <w:w w:val="93"/>
                </w:rPr>
                <w:t>Form of Indemnification Agreement with directors and</w:t>
              </w:r>
            </w:hyperlink>
          </w:p>
        </w:tc>
        <w:tc>
          <w:tcPr>
            <w:tcW w:w="1040" w:type="dxa"/>
            <w:vAlign w:val="bottom"/>
          </w:tcPr>
          <w:p>
            <w:pPr>
              <w:ind w:left="280"/>
              <w:spacing w:after="0"/>
              <w:rPr>
                <w:sz w:val="20"/>
                <w:szCs w:val="20"/>
                <w:color w:val="auto"/>
              </w:rPr>
            </w:pPr>
            <w:r>
              <w:rPr>
                <w:rFonts w:ascii="Arial" w:cs="Arial" w:eastAsia="Arial" w:hAnsi="Arial"/>
                <w:sz w:val="18"/>
                <w:szCs w:val="18"/>
                <w:color w:val="auto"/>
              </w:rPr>
              <w:t>S-1</w:t>
            </w:r>
          </w:p>
        </w:tc>
        <w:tc>
          <w:tcPr>
            <w:tcW w:w="1860" w:type="dxa"/>
            <w:vAlign w:val="bottom"/>
          </w:tcPr>
          <w:p>
            <w:pPr>
              <w:ind w:left="200"/>
              <w:spacing w:after="0"/>
              <w:rPr>
                <w:sz w:val="20"/>
                <w:szCs w:val="20"/>
                <w:color w:val="auto"/>
              </w:rPr>
            </w:pPr>
            <w:r>
              <w:rPr>
                <w:rFonts w:ascii="Arial" w:cs="Arial" w:eastAsia="Arial" w:hAnsi="Arial"/>
                <w:sz w:val="18"/>
                <w:szCs w:val="18"/>
                <w:color w:val="auto"/>
              </w:rPr>
              <w:t>333-255754</w:t>
            </w:r>
          </w:p>
        </w:tc>
        <w:tc>
          <w:tcPr>
            <w:tcW w:w="2060" w:type="dxa"/>
            <w:vAlign w:val="bottom"/>
          </w:tcPr>
          <w:p>
            <w:pPr>
              <w:ind w:left="440"/>
              <w:spacing w:after="0"/>
              <w:rPr>
                <w:sz w:val="20"/>
                <w:szCs w:val="20"/>
                <w:color w:val="auto"/>
              </w:rPr>
            </w:pPr>
            <w:r>
              <w:rPr>
                <w:rFonts w:ascii="Arial" w:cs="Arial" w:eastAsia="Arial" w:hAnsi="Arial"/>
                <w:sz w:val="18"/>
                <w:szCs w:val="18"/>
                <w:color w:val="auto"/>
              </w:rPr>
              <w:t>May 4, 2021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4000" w:type="dxa"/>
            <w:vAlign w:val="bottom"/>
            <w:gridSpan w:val="20"/>
          </w:tcPr>
          <w:p>
            <w:pPr>
              <w:spacing w:after="0" w:line="196" w:lineRule="exact"/>
              <w:rPr>
                <w:rFonts w:ascii="Arial" w:cs="Arial" w:eastAsia="Arial" w:hAnsi="Arial"/>
                <w:sz w:val="18"/>
                <w:szCs w:val="18"/>
                <w:color w:val="0000FF"/>
              </w:rPr>
            </w:pPr>
            <w:hyperlink r:id="rId189">
              <w:r>
                <w:rPr>
                  <w:rFonts w:ascii="Arial" w:cs="Arial" w:eastAsia="Arial" w:hAnsi="Arial"/>
                  <w:sz w:val="18"/>
                  <w:szCs w:val="18"/>
                  <w:color w:val="0000FF"/>
                </w:rPr>
                <w:t>officers</w:t>
              </w:r>
            </w:hyperlink>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10.2^</w:t>
            </w:r>
          </w:p>
        </w:tc>
        <w:tc>
          <w:tcPr>
            <w:tcW w:w="4000" w:type="dxa"/>
            <w:vAlign w:val="bottom"/>
            <w:gridSpan w:val="20"/>
          </w:tcPr>
          <w:p>
            <w:pPr>
              <w:spacing w:after="0"/>
              <w:rPr>
                <w:rFonts w:ascii="Arial" w:cs="Arial" w:eastAsia="Arial" w:hAnsi="Arial"/>
                <w:sz w:val="18"/>
                <w:szCs w:val="18"/>
                <w:color w:val="0000FF"/>
                <w:w w:val="92"/>
              </w:rPr>
            </w:pPr>
            <w:hyperlink r:id="rId190">
              <w:r>
                <w:rPr>
                  <w:rFonts w:ascii="Arial" w:cs="Arial" w:eastAsia="Arial" w:hAnsi="Arial"/>
                  <w:sz w:val="18"/>
                  <w:szCs w:val="18"/>
                  <w:color w:val="0000FF"/>
                  <w:w w:val="92"/>
                </w:rPr>
                <w:t>Form of Change in Control and Severance Agreement</w:t>
              </w:r>
            </w:hyperlink>
          </w:p>
        </w:tc>
        <w:tc>
          <w:tcPr>
            <w:tcW w:w="1040" w:type="dxa"/>
            <w:vAlign w:val="bottom"/>
          </w:tcPr>
          <w:p>
            <w:pPr>
              <w:ind w:left="280"/>
              <w:spacing w:after="0"/>
              <w:rPr>
                <w:sz w:val="20"/>
                <w:szCs w:val="20"/>
                <w:color w:val="auto"/>
              </w:rPr>
            </w:pPr>
            <w:r>
              <w:rPr>
                <w:rFonts w:ascii="Arial" w:cs="Arial" w:eastAsia="Arial" w:hAnsi="Arial"/>
                <w:sz w:val="18"/>
                <w:szCs w:val="18"/>
                <w:color w:val="auto"/>
              </w:rPr>
              <w:t>10-K</w:t>
            </w:r>
          </w:p>
        </w:tc>
        <w:tc>
          <w:tcPr>
            <w:tcW w:w="1860" w:type="dxa"/>
            <w:vAlign w:val="bottom"/>
          </w:tcPr>
          <w:p>
            <w:pPr>
              <w:ind w:left="240"/>
              <w:spacing w:after="0"/>
              <w:rPr>
                <w:sz w:val="20"/>
                <w:szCs w:val="20"/>
                <w:color w:val="auto"/>
              </w:rPr>
            </w:pPr>
            <w:r>
              <w:rPr>
                <w:rFonts w:ascii="Arial" w:cs="Arial" w:eastAsia="Arial" w:hAnsi="Arial"/>
                <w:sz w:val="18"/>
                <w:szCs w:val="18"/>
                <w:color w:val="auto"/>
              </w:rPr>
              <w:t>001-40431</w:t>
            </w:r>
          </w:p>
        </w:tc>
        <w:tc>
          <w:tcPr>
            <w:tcW w:w="2060" w:type="dxa"/>
            <w:vAlign w:val="bottom"/>
          </w:tcPr>
          <w:p>
            <w:pPr>
              <w:ind w:left="440"/>
              <w:spacing w:after="0"/>
              <w:rPr>
                <w:sz w:val="20"/>
                <w:szCs w:val="20"/>
                <w:color w:val="auto"/>
              </w:rPr>
            </w:pPr>
            <w:r>
              <w:rPr>
                <w:rFonts w:ascii="Arial" w:cs="Arial" w:eastAsia="Arial" w:hAnsi="Arial"/>
                <w:sz w:val="18"/>
                <w:szCs w:val="18"/>
                <w:color w:val="auto"/>
              </w:rPr>
              <w:t>March 7, 2022</w:t>
            </w:r>
          </w:p>
        </w:tc>
        <w:tc>
          <w:tcPr>
            <w:tcW w:w="1160" w:type="dxa"/>
            <w:vAlign w:val="bottom"/>
          </w:tcPr>
          <w:p>
            <w:pPr>
              <w:spacing w:after="0"/>
              <w:rPr>
                <w:sz w:val="24"/>
                <w:szCs w:val="24"/>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10.3^</w:t>
            </w:r>
          </w:p>
        </w:tc>
        <w:tc>
          <w:tcPr>
            <w:tcW w:w="346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2"/>
              </w:rPr>
            </w:pPr>
            <w:hyperlink r:id="rId191">
              <w:r>
                <w:rPr>
                  <w:rFonts w:ascii="Arial" w:cs="Arial" w:eastAsia="Arial" w:hAnsi="Arial"/>
                  <w:sz w:val="18"/>
                  <w:szCs w:val="18"/>
                  <w:color w:val="0000FF"/>
                  <w:w w:val="92"/>
                </w:rPr>
                <w:t>2021 Equity Incentive Plan and forms of award</w:t>
              </w:r>
            </w:hyperlink>
          </w:p>
        </w:tc>
        <w:tc>
          <w:tcPr>
            <w:tcW w:w="420" w:type="dxa"/>
            <w:vAlign w:val="bottom"/>
            <w:tcBorders>
              <w:top w:val="single" w:sz="8" w:color="0000FF"/>
            </w:tcBorders>
            <w:gridSpan w:val="6"/>
          </w:tcPr>
          <w:p>
            <w:pPr>
              <w:spacing w:after="0"/>
              <w:rPr>
                <w:sz w:val="24"/>
                <w:szCs w:val="24"/>
                <w:color w:val="auto"/>
              </w:rPr>
            </w:pPr>
          </w:p>
        </w:tc>
        <w:tc>
          <w:tcPr>
            <w:tcW w:w="120" w:type="dxa"/>
            <w:vAlign w:val="bottom"/>
            <w:gridSpan w:val="2"/>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S-1</w:t>
            </w:r>
          </w:p>
        </w:tc>
        <w:tc>
          <w:tcPr>
            <w:tcW w:w="1860" w:type="dxa"/>
            <w:vAlign w:val="bottom"/>
          </w:tcPr>
          <w:p>
            <w:pPr>
              <w:ind w:left="200"/>
              <w:spacing w:after="0"/>
              <w:rPr>
                <w:sz w:val="20"/>
                <w:szCs w:val="20"/>
                <w:color w:val="auto"/>
              </w:rPr>
            </w:pPr>
            <w:r>
              <w:rPr>
                <w:rFonts w:ascii="Arial" w:cs="Arial" w:eastAsia="Arial" w:hAnsi="Arial"/>
                <w:sz w:val="18"/>
                <w:szCs w:val="18"/>
                <w:color w:val="auto"/>
              </w:rPr>
              <w:t>333-255754</w:t>
            </w:r>
          </w:p>
        </w:tc>
        <w:tc>
          <w:tcPr>
            <w:tcW w:w="2060" w:type="dxa"/>
            <w:vAlign w:val="bottom"/>
          </w:tcPr>
          <w:p>
            <w:pPr>
              <w:ind w:left="440"/>
              <w:spacing w:after="0"/>
              <w:rPr>
                <w:sz w:val="20"/>
                <w:szCs w:val="20"/>
                <w:color w:val="auto"/>
              </w:rPr>
            </w:pPr>
            <w:r>
              <w:rPr>
                <w:rFonts w:ascii="Arial" w:cs="Arial" w:eastAsia="Arial" w:hAnsi="Arial"/>
                <w:sz w:val="18"/>
                <w:szCs w:val="18"/>
                <w:color w:val="auto"/>
              </w:rPr>
              <w:t>May 4, 2021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820" w:type="dxa"/>
            <w:vAlign w:val="bottom"/>
            <w:tcBorders>
              <w:bottom w:val="single" w:sz="8" w:color="0000FF"/>
            </w:tcBorders>
            <w:gridSpan w:val="4"/>
          </w:tcPr>
          <w:p>
            <w:pPr>
              <w:spacing w:after="0" w:line="196" w:lineRule="exact"/>
              <w:rPr>
                <w:rFonts w:ascii="Arial" w:cs="Arial" w:eastAsia="Arial" w:hAnsi="Arial"/>
                <w:sz w:val="18"/>
                <w:szCs w:val="18"/>
                <w:color w:val="0000FF"/>
                <w:w w:val="84"/>
              </w:rPr>
            </w:pPr>
            <w:hyperlink r:id="rId191">
              <w:r>
                <w:rPr>
                  <w:rFonts w:ascii="Arial" w:cs="Arial" w:eastAsia="Arial" w:hAnsi="Arial"/>
                  <w:sz w:val="18"/>
                  <w:szCs w:val="18"/>
                  <w:color w:val="0000FF"/>
                  <w:w w:val="84"/>
                </w:rPr>
                <w:t>agreements</w:t>
              </w:r>
            </w:hyperlink>
          </w:p>
        </w:tc>
        <w:tc>
          <w:tcPr>
            <w:tcW w:w="20" w:type="dxa"/>
            <w:vAlign w:val="bottom"/>
            <w:tcBorders>
              <w:bottom w:val="single" w:sz="8" w:color="0000EE"/>
            </w:tcBorders>
          </w:tcPr>
          <w:p>
            <w:pPr>
              <w:spacing w:after="0"/>
              <w:rPr>
                <w:sz w:val="17"/>
                <w:szCs w:val="17"/>
                <w:color w:val="auto"/>
              </w:rPr>
            </w:pPr>
          </w:p>
        </w:tc>
        <w:tc>
          <w:tcPr>
            <w:tcW w:w="3160" w:type="dxa"/>
            <w:vAlign w:val="bottom"/>
            <w:gridSpan w:val="15"/>
          </w:tcPr>
          <w:p>
            <w:pPr>
              <w:spacing w:after="0"/>
              <w:rPr>
                <w:sz w:val="17"/>
                <w:szCs w:val="17"/>
                <w:color w:val="auto"/>
              </w:rPr>
            </w:pP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10.4^</w:t>
            </w:r>
          </w:p>
        </w:tc>
        <w:tc>
          <w:tcPr>
            <w:tcW w:w="3660" w:type="dxa"/>
            <w:vAlign w:val="bottom"/>
            <w:tcBorders>
              <w:bottom w:val="single" w:sz="8" w:color="0000FF"/>
            </w:tcBorders>
            <w:gridSpan w:val="15"/>
          </w:tcPr>
          <w:p>
            <w:pPr>
              <w:spacing w:after="0"/>
              <w:rPr>
                <w:rFonts w:ascii="Arial" w:cs="Arial" w:eastAsia="Arial" w:hAnsi="Arial"/>
                <w:sz w:val="18"/>
                <w:szCs w:val="18"/>
                <w:color w:val="0000FF"/>
                <w:w w:val="90"/>
              </w:rPr>
            </w:pPr>
            <w:hyperlink r:id="rId192">
              <w:r>
                <w:rPr>
                  <w:rFonts w:ascii="Arial" w:cs="Arial" w:eastAsia="Arial" w:hAnsi="Arial"/>
                  <w:sz w:val="18"/>
                  <w:szCs w:val="18"/>
                  <w:color w:val="0000FF"/>
                  <w:w w:val="90"/>
                </w:rPr>
                <w:t>2021 Employee Stock Purchase Plan and forms of</w:t>
              </w:r>
            </w:hyperlink>
          </w:p>
        </w:tc>
        <w:tc>
          <w:tcPr>
            <w:tcW w:w="340" w:type="dxa"/>
            <w:vAlign w:val="bottom"/>
            <w:gridSpan w:val="5"/>
          </w:tcPr>
          <w:p>
            <w:pPr>
              <w:spacing w:after="0"/>
              <w:rPr>
                <w:sz w:val="24"/>
                <w:szCs w:val="24"/>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rPr>
              <w:t>S-1</w:t>
            </w:r>
          </w:p>
        </w:tc>
        <w:tc>
          <w:tcPr>
            <w:tcW w:w="1860" w:type="dxa"/>
            <w:vAlign w:val="bottom"/>
          </w:tcPr>
          <w:p>
            <w:pPr>
              <w:ind w:left="200"/>
              <w:spacing w:after="0"/>
              <w:rPr>
                <w:sz w:val="20"/>
                <w:szCs w:val="20"/>
                <w:color w:val="auto"/>
              </w:rPr>
            </w:pPr>
            <w:r>
              <w:rPr>
                <w:rFonts w:ascii="Arial" w:cs="Arial" w:eastAsia="Arial" w:hAnsi="Arial"/>
                <w:sz w:val="18"/>
                <w:szCs w:val="18"/>
                <w:color w:val="auto"/>
              </w:rPr>
              <w:t>333-255754</w:t>
            </w:r>
          </w:p>
        </w:tc>
        <w:tc>
          <w:tcPr>
            <w:tcW w:w="2060" w:type="dxa"/>
            <w:vAlign w:val="bottom"/>
          </w:tcPr>
          <w:p>
            <w:pPr>
              <w:ind w:left="440"/>
              <w:spacing w:after="0"/>
              <w:rPr>
                <w:sz w:val="20"/>
                <w:szCs w:val="20"/>
                <w:color w:val="auto"/>
              </w:rPr>
            </w:pPr>
            <w:r>
              <w:rPr>
                <w:rFonts w:ascii="Arial" w:cs="Arial" w:eastAsia="Arial" w:hAnsi="Arial"/>
                <w:sz w:val="18"/>
                <w:szCs w:val="18"/>
                <w:color w:val="auto"/>
              </w:rPr>
              <w:t>May 4, 2021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4000" w:type="dxa"/>
            <w:vAlign w:val="bottom"/>
            <w:gridSpan w:val="20"/>
          </w:tcPr>
          <w:p>
            <w:pPr>
              <w:spacing w:after="0" w:line="196" w:lineRule="exact"/>
              <w:rPr>
                <w:rFonts w:ascii="Arial" w:cs="Arial" w:eastAsia="Arial" w:hAnsi="Arial"/>
                <w:sz w:val="18"/>
                <w:szCs w:val="18"/>
                <w:color w:val="0000FF"/>
              </w:rPr>
            </w:pPr>
            <w:hyperlink r:id="rId192">
              <w:r>
                <w:rPr>
                  <w:rFonts w:ascii="Arial" w:cs="Arial" w:eastAsia="Arial" w:hAnsi="Arial"/>
                  <w:sz w:val="18"/>
                  <w:szCs w:val="18"/>
                  <w:color w:val="0000FF"/>
                </w:rPr>
                <w:t>award agreements thereunder</w:t>
              </w:r>
            </w:hyperlink>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68"/>
        </w:trPr>
        <w:tc>
          <w:tcPr>
            <w:tcW w:w="11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ind w:left="360"/>
              <w:spacing w:after="0"/>
              <w:rPr>
                <w:sz w:val="20"/>
                <w:szCs w:val="20"/>
                <w:color w:val="auto"/>
              </w:rPr>
            </w:pPr>
            <w:r>
              <w:rPr>
                <w:rFonts w:ascii="Arial" w:cs="Arial" w:eastAsia="Arial" w:hAnsi="Arial"/>
                <w:sz w:val="18"/>
                <w:szCs w:val="18"/>
                <w:color w:val="auto"/>
              </w:rPr>
              <w:t>139</w:t>
            </w:r>
          </w:p>
        </w:tc>
        <w:tc>
          <w:tcPr>
            <w:tcW w:w="1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1120" w:type="dxa"/>
            <w:vAlign w:val="bottom"/>
          </w:tcPr>
          <w:p>
            <w:pPr>
              <w:ind w:left="20"/>
              <w:spacing w:after="0"/>
              <w:rPr>
                <w:sz w:val="20"/>
                <w:szCs w:val="20"/>
                <w:color w:val="auto"/>
              </w:rPr>
            </w:pPr>
            <w:r>
              <w:rPr>
                <w:rFonts w:ascii="Arial" w:cs="Arial" w:eastAsia="Arial" w:hAnsi="Arial"/>
                <w:sz w:val="18"/>
                <w:szCs w:val="18"/>
                <w:color w:val="auto"/>
              </w:rPr>
              <w:t>10.5†</w:t>
            </w:r>
          </w:p>
        </w:tc>
        <w:tc>
          <w:tcPr>
            <w:tcW w:w="3660" w:type="dxa"/>
            <w:vAlign w:val="bottom"/>
            <w:tcBorders>
              <w:bottom w:val="single" w:sz="8" w:color="0000FF"/>
            </w:tcBorders>
            <w:gridSpan w:val="15"/>
          </w:tcPr>
          <w:p>
            <w:pPr>
              <w:spacing w:after="0"/>
              <w:rPr>
                <w:rFonts w:ascii="Arial" w:cs="Arial" w:eastAsia="Arial" w:hAnsi="Arial"/>
                <w:sz w:val="18"/>
                <w:szCs w:val="18"/>
                <w:color w:val="0000FF"/>
                <w:w w:val="91"/>
              </w:rPr>
            </w:pPr>
            <w:hyperlink r:id="rId195">
              <w:r>
                <w:rPr>
                  <w:rFonts w:ascii="Arial" w:cs="Arial" w:eastAsia="Arial" w:hAnsi="Arial"/>
                  <w:sz w:val="18"/>
                  <w:szCs w:val="18"/>
                  <w:color w:val="0000FF"/>
                  <w:w w:val="91"/>
                </w:rPr>
                <w:t>Office Lease, dated April 1, 2022, by and between</w:t>
              </w:r>
            </w:hyperlink>
          </w:p>
        </w:tc>
        <w:tc>
          <w:tcPr>
            <w:tcW w:w="380" w:type="dxa"/>
            <w:vAlign w:val="bottom"/>
            <w:gridSpan w:val="11"/>
          </w:tcPr>
          <w:p>
            <w:pPr>
              <w:spacing w:after="0"/>
              <w:rPr>
                <w:sz w:val="17"/>
                <w:szCs w:val="17"/>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10-Q</w:t>
            </w:r>
          </w:p>
        </w:tc>
        <w:tc>
          <w:tcPr>
            <w:tcW w:w="1780" w:type="dxa"/>
            <w:vAlign w:val="bottom"/>
          </w:tcPr>
          <w:p>
            <w:pPr>
              <w:ind w:left="300"/>
              <w:spacing w:after="0"/>
              <w:rPr>
                <w:sz w:val="20"/>
                <w:szCs w:val="20"/>
                <w:color w:val="auto"/>
              </w:rPr>
            </w:pPr>
            <w:r>
              <w:rPr>
                <w:rFonts w:ascii="Arial" w:cs="Arial" w:eastAsia="Arial" w:hAnsi="Arial"/>
                <w:sz w:val="18"/>
                <w:szCs w:val="18"/>
                <w:color w:val="auto"/>
              </w:rPr>
              <w:t>001-40431</w:t>
            </w:r>
          </w:p>
        </w:tc>
        <w:tc>
          <w:tcPr>
            <w:tcW w:w="3400" w:type="dxa"/>
            <w:vAlign w:val="bottom"/>
          </w:tcPr>
          <w:p>
            <w:pPr>
              <w:ind w:left="620"/>
              <w:spacing w:after="0"/>
              <w:rPr>
                <w:sz w:val="20"/>
                <w:szCs w:val="20"/>
                <w:color w:val="auto"/>
              </w:rPr>
            </w:pPr>
            <w:r>
              <w:rPr>
                <w:rFonts w:ascii="Arial" w:cs="Arial" w:eastAsia="Arial" w:hAnsi="Arial"/>
                <w:sz w:val="18"/>
                <w:szCs w:val="18"/>
                <w:color w:val="auto"/>
              </w:rPr>
              <w:t>August 4, 2022</w:t>
            </w:r>
          </w:p>
        </w:tc>
      </w:tr>
      <w:tr>
        <w:trPr>
          <w:trHeight w:val="196"/>
        </w:trPr>
        <w:tc>
          <w:tcPr>
            <w:tcW w:w="1120" w:type="dxa"/>
            <w:vAlign w:val="bottom"/>
          </w:tcPr>
          <w:p>
            <w:pPr>
              <w:spacing w:after="0"/>
              <w:rPr>
                <w:sz w:val="17"/>
                <w:szCs w:val="17"/>
                <w:color w:val="auto"/>
              </w:rPr>
            </w:pPr>
          </w:p>
        </w:tc>
        <w:tc>
          <w:tcPr>
            <w:tcW w:w="4020" w:type="dxa"/>
            <w:vAlign w:val="bottom"/>
            <w:tcBorders>
              <w:bottom w:val="single" w:sz="8" w:color="0000FF"/>
            </w:tcBorders>
            <w:gridSpan w:val="25"/>
          </w:tcPr>
          <w:p>
            <w:pPr>
              <w:spacing w:after="0" w:line="196" w:lineRule="exact"/>
              <w:rPr>
                <w:rFonts w:ascii="Arial" w:cs="Arial" w:eastAsia="Arial" w:hAnsi="Arial"/>
                <w:sz w:val="18"/>
                <w:szCs w:val="18"/>
                <w:color w:val="0000FF"/>
                <w:w w:val="93"/>
              </w:rPr>
            </w:pPr>
            <w:hyperlink r:id="rId195">
              <w:r>
                <w:rPr>
                  <w:rFonts w:ascii="Arial" w:cs="Arial" w:eastAsia="Arial" w:hAnsi="Arial"/>
                  <w:sz w:val="18"/>
                  <w:szCs w:val="18"/>
                  <w:color w:val="0000FF"/>
                  <w:w w:val="93"/>
                </w:rPr>
                <w:t>Aircraft Technical Publishers, a California corporation,</w:t>
              </w:r>
            </w:hyperlink>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040" w:type="dxa"/>
            <w:vAlign w:val="bottom"/>
            <w:gridSpan w:val="26"/>
          </w:tcPr>
          <w:p>
            <w:pPr>
              <w:spacing w:after="0" w:line="196" w:lineRule="exact"/>
              <w:rPr>
                <w:rFonts w:ascii="Arial" w:cs="Arial" w:eastAsia="Arial" w:hAnsi="Arial"/>
                <w:sz w:val="18"/>
                <w:szCs w:val="18"/>
                <w:color w:val="0000FF"/>
              </w:rPr>
            </w:pPr>
            <w:hyperlink r:id="rId195">
              <w:r>
                <w:rPr>
                  <w:rFonts w:ascii="Arial" w:cs="Arial" w:eastAsia="Arial" w:hAnsi="Arial"/>
                  <w:sz w:val="18"/>
                  <w:szCs w:val="18"/>
                  <w:color w:val="0000FF"/>
                </w:rPr>
                <w:t>and Day One Biopharmaceuticals, Inc.</w:t>
              </w:r>
            </w:hyperlink>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10.6†</w:t>
            </w:r>
          </w:p>
        </w:tc>
        <w:tc>
          <w:tcPr>
            <w:tcW w:w="3940" w:type="dxa"/>
            <w:vAlign w:val="bottom"/>
            <w:tcBorders>
              <w:bottom w:val="single" w:sz="8" w:color="0000FF"/>
            </w:tcBorders>
            <w:gridSpan w:val="21"/>
          </w:tcPr>
          <w:p>
            <w:pPr>
              <w:spacing w:after="0"/>
              <w:rPr>
                <w:rFonts w:ascii="Arial" w:cs="Arial" w:eastAsia="Arial" w:hAnsi="Arial"/>
                <w:sz w:val="18"/>
                <w:szCs w:val="18"/>
                <w:color w:val="0000FF"/>
                <w:w w:val="90"/>
              </w:rPr>
            </w:pPr>
            <w:hyperlink r:id="rId196">
              <w:r>
                <w:rPr>
                  <w:rFonts w:ascii="Arial" w:cs="Arial" w:eastAsia="Arial" w:hAnsi="Arial"/>
                  <w:sz w:val="18"/>
                  <w:szCs w:val="18"/>
                  <w:color w:val="0000FF"/>
                  <w:w w:val="90"/>
                </w:rPr>
                <w:t>Asset Transfer and License Agreement, effective as of</w:t>
              </w:r>
            </w:hyperlink>
          </w:p>
        </w:tc>
        <w:tc>
          <w:tcPr>
            <w:tcW w:w="100" w:type="dxa"/>
            <w:vAlign w:val="bottom"/>
            <w:gridSpan w:val="5"/>
          </w:tcPr>
          <w:p>
            <w:pPr>
              <w:spacing w:after="0"/>
              <w:rPr>
                <w:sz w:val="24"/>
                <w:szCs w:val="24"/>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S-1</w:t>
            </w:r>
          </w:p>
        </w:tc>
        <w:tc>
          <w:tcPr>
            <w:tcW w:w="1780" w:type="dxa"/>
            <w:vAlign w:val="bottom"/>
          </w:tcPr>
          <w:p>
            <w:pPr>
              <w:ind w:left="300"/>
              <w:spacing w:after="0"/>
              <w:rPr>
                <w:sz w:val="20"/>
                <w:szCs w:val="20"/>
                <w:color w:val="auto"/>
              </w:rPr>
            </w:pPr>
            <w:r>
              <w:rPr>
                <w:rFonts w:ascii="Arial" w:cs="Arial" w:eastAsia="Arial" w:hAnsi="Arial"/>
                <w:sz w:val="18"/>
                <w:szCs w:val="18"/>
                <w:color w:val="auto"/>
              </w:rPr>
              <w:t>333-255754</w:t>
            </w:r>
          </w:p>
        </w:tc>
        <w:tc>
          <w:tcPr>
            <w:tcW w:w="3400" w:type="dxa"/>
            <w:vAlign w:val="bottom"/>
          </w:tcPr>
          <w:p>
            <w:pPr>
              <w:ind w:left="620"/>
              <w:spacing w:after="0"/>
              <w:rPr>
                <w:sz w:val="20"/>
                <w:szCs w:val="20"/>
                <w:color w:val="auto"/>
              </w:rPr>
            </w:pPr>
            <w:r>
              <w:rPr>
                <w:rFonts w:ascii="Arial" w:cs="Arial" w:eastAsia="Arial" w:hAnsi="Arial"/>
                <w:sz w:val="18"/>
                <w:szCs w:val="18"/>
                <w:color w:val="auto"/>
              </w:rPr>
              <w:t>May 4, 2021</w:t>
            </w:r>
          </w:p>
        </w:tc>
      </w:tr>
      <w:tr>
        <w:trPr>
          <w:trHeight w:val="196"/>
        </w:trPr>
        <w:tc>
          <w:tcPr>
            <w:tcW w:w="1120" w:type="dxa"/>
            <w:vAlign w:val="bottom"/>
          </w:tcPr>
          <w:p>
            <w:pPr>
              <w:spacing w:after="0"/>
              <w:rPr>
                <w:sz w:val="17"/>
                <w:szCs w:val="17"/>
                <w:color w:val="auto"/>
              </w:rPr>
            </w:pPr>
          </w:p>
        </w:tc>
        <w:tc>
          <w:tcPr>
            <w:tcW w:w="308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96">
              <w:r>
                <w:rPr>
                  <w:rFonts w:ascii="Arial" w:cs="Arial" w:eastAsia="Arial" w:hAnsi="Arial"/>
                  <w:sz w:val="18"/>
                  <w:szCs w:val="18"/>
                  <w:color w:val="0000FF"/>
                  <w:w w:val="90"/>
                </w:rPr>
                <w:t>December 16, 2019, by and between DOT</w:t>
              </w:r>
            </w:hyperlink>
          </w:p>
        </w:tc>
        <w:tc>
          <w:tcPr>
            <w:tcW w:w="96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96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196">
              <w:r>
                <w:rPr>
                  <w:rFonts w:ascii="Arial" w:cs="Arial" w:eastAsia="Arial" w:hAnsi="Arial"/>
                  <w:sz w:val="18"/>
                  <w:szCs w:val="18"/>
                  <w:color w:val="0000FF"/>
                  <w:w w:val="92"/>
                </w:rPr>
                <w:t>Therapeutics-1, Inc. and Millennium Pharmaceuticals,</w:t>
              </w:r>
            </w:hyperlink>
          </w:p>
        </w:tc>
        <w:tc>
          <w:tcPr>
            <w:tcW w:w="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040" w:type="dxa"/>
            <w:vAlign w:val="bottom"/>
            <w:gridSpan w:val="26"/>
          </w:tcPr>
          <w:p>
            <w:pPr>
              <w:spacing w:after="0" w:line="196" w:lineRule="exact"/>
              <w:rPr>
                <w:rFonts w:ascii="Arial" w:cs="Arial" w:eastAsia="Arial" w:hAnsi="Arial"/>
                <w:sz w:val="18"/>
                <w:szCs w:val="18"/>
                <w:color w:val="0000FF"/>
              </w:rPr>
            </w:pPr>
            <w:hyperlink r:id="rId196">
              <w:r>
                <w:rPr>
                  <w:rFonts w:ascii="Arial" w:cs="Arial" w:eastAsia="Arial" w:hAnsi="Arial"/>
                  <w:sz w:val="18"/>
                  <w:szCs w:val="18"/>
                  <w:color w:val="0000FF"/>
                </w:rPr>
                <w:t>Inc.</w:t>
              </w:r>
            </w:hyperlink>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10.7†</w:t>
            </w:r>
          </w:p>
        </w:tc>
        <w:tc>
          <w:tcPr>
            <w:tcW w:w="3980" w:type="dxa"/>
            <w:vAlign w:val="bottom"/>
            <w:tcBorders>
              <w:bottom w:val="single" w:sz="8" w:color="0000FF"/>
            </w:tcBorders>
            <w:gridSpan w:val="23"/>
          </w:tcPr>
          <w:p>
            <w:pPr>
              <w:spacing w:after="0"/>
              <w:rPr>
                <w:rFonts w:ascii="Arial" w:cs="Arial" w:eastAsia="Arial" w:hAnsi="Arial"/>
                <w:sz w:val="18"/>
                <w:szCs w:val="18"/>
                <w:color w:val="0000FF"/>
                <w:w w:val="91"/>
              </w:rPr>
            </w:pPr>
            <w:hyperlink r:id="rId197">
              <w:r>
                <w:rPr>
                  <w:rFonts w:ascii="Arial" w:cs="Arial" w:eastAsia="Arial" w:hAnsi="Arial"/>
                  <w:sz w:val="18"/>
                  <w:szCs w:val="18"/>
                  <w:color w:val="0000FF"/>
                  <w:w w:val="91"/>
                </w:rPr>
                <w:t>License Agreement for RAF, effective as of December</w:t>
              </w:r>
            </w:hyperlink>
          </w:p>
        </w:tc>
        <w:tc>
          <w:tcPr>
            <w:tcW w:w="60" w:type="dxa"/>
            <w:vAlign w:val="bottom"/>
            <w:gridSpan w:val="3"/>
          </w:tcPr>
          <w:p>
            <w:pPr>
              <w:spacing w:after="0"/>
              <w:rPr>
                <w:sz w:val="24"/>
                <w:szCs w:val="24"/>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S-1</w:t>
            </w:r>
          </w:p>
        </w:tc>
        <w:tc>
          <w:tcPr>
            <w:tcW w:w="1780" w:type="dxa"/>
            <w:vAlign w:val="bottom"/>
          </w:tcPr>
          <w:p>
            <w:pPr>
              <w:ind w:left="300"/>
              <w:spacing w:after="0"/>
              <w:rPr>
                <w:sz w:val="20"/>
                <w:szCs w:val="20"/>
                <w:color w:val="auto"/>
              </w:rPr>
            </w:pPr>
            <w:r>
              <w:rPr>
                <w:rFonts w:ascii="Arial" w:cs="Arial" w:eastAsia="Arial" w:hAnsi="Arial"/>
                <w:sz w:val="18"/>
                <w:szCs w:val="18"/>
                <w:color w:val="auto"/>
              </w:rPr>
              <w:t>333-255754</w:t>
            </w:r>
          </w:p>
        </w:tc>
        <w:tc>
          <w:tcPr>
            <w:tcW w:w="3400" w:type="dxa"/>
            <w:vAlign w:val="bottom"/>
          </w:tcPr>
          <w:p>
            <w:pPr>
              <w:ind w:left="620"/>
              <w:spacing w:after="0"/>
              <w:rPr>
                <w:sz w:val="20"/>
                <w:szCs w:val="20"/>
                <w:color w:val="auto"/>
              </w:rPr>
            </w:pPr>
            <w:r>
              <w:rPr>
                <w:rFonts w:ascii="Arial" w:cs="Arial" w:eastAsia="Arial" w:hAnsi="Arial"/>
                <w:sz w:val="18"/>
                <w:szCs w:val="18"/>
                <w:color w:val="auto"/>
              </w:rPr>
              <w:t>May 4, 2021</w:t>
            </w: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FF"/>
            </w:tcBorders>
            <w:gridSpan w:val="26"/>
          </w:tcPr>
          <w:p>
            <w:pPr>
              <w:spacing w:after="0" w:line="196" w:lineRule="exact"/>
              <w:rPr>
                <w:rFonts w:ascii="Arial" w:cs="Arial" w:eastAsia="Arial" w:hAnsi="Arial"/>
                <w:sz w:val="18"/>
                <w:szCs w:val="18"/>
                <w:color w:val="0000FF"/>
                <w:w w:val="88"/>
              </w:rPr>
            </w:pPr>
            <w:hyperlink r:id="rId197">
              <w:r>
                <w:rPr>
                  <w:rFonts w:ascii="Arial" w:cs="Arial" w:eastAsia="Arial" w:hAnsi="Arial"/>
                  <w:sz w:val="18"/>
                  <w:szCs w:val="18"/>
                  <w:color w:val="0000FF"/>
                  <w:w w:val="88"/>
                </w:rPr>
                <w:t>16, 2019, by and between Sunesis Pharmaceuticals, Inc.</w:t>
              </w:r>
            </w:hyperlink>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1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97">
              <w:r>
                <w:rPr>
                  <w:rFonts w:ascii="Arial" w:cs="Arial" w:eastAsia="Arial" w:hAnsi="Arial"/>
                  <w:sz w:val="18"/>
                  <w:szCs w:val="18"/>
                  <w:color w:val="0000FF"/>
                  <w:w w:val="90"/>
                </w:rPr>
                <w:t>and DOT Therapeutics-1, Inc.</w:t>
              </w:r>
            </w:hyperlink>
          </w:p>
        </w:tc>
        <w:tc>
          <w:tcPr>
            <w:tcW w:w="20" w:type="dxa"/>
            <w:vAlign w:val="bottom"/>
            <w:tcBorders>
              <w:bottom w:val="single" w:sz="8" w:color="0000EE"/>
            </w:tcBorders>
          </w:tcPr>
          <w:p>
            <w:pPr>
              <w:spacing w:after="0"/>
              <w:rPr>
                <w:sz w:val="17"/>
                <w:szCs w:val="17"/>
                <w:color w:val="auto"/>
              </w:rPr>
            </w:pPr>
          </w:p>
        </w:tc>
        <w:tc>
          <w:tcPr>
            <w:tcW w:w="1860" w:type="dxa"/>
            <w:vAlign w:val="bottom"/>
            <w:gridSpan w:val="20"/>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10.8†</w:t>
            </w:r>
          </w:p>
        </w:tc>
        <w:tc>
          <w:tcPr>
            <w:tcW w:w="3860" w:type="dxa"/>
            <w:vAlign w:val="bottom"/>
            <w:tcBorders>
              <w:bottom w:val="single" w:sz="8" w:color="0000FF"/>
            </w:tcBorders>
            <w:gridSpan w:val="19"/>
          </w:tcPr>
          <w:p>
            <w:pPr>
              <w:spacing w:after="0"/>
              <w:rPr>
                <w:rFonts w:ascii="Arial" w:cs="Arial" w:eastAsia="Arial" w:hAnsi="Arial"/>
                <w:sz w:val="18"/>
                <w:szCs w:val="18"/>
                <w:color w:val="0000FF"/>
                <w:w w:val="90"/>
              </w:rPr>
            </w:pPr>
            <w:hyperlink r:id="rId198">
              <w:r>
                <w:rPr>
                  <w:rFonts w:ascii="Arial" w:cs="Arial" w:eastAsia="Arial" w:hAnsi="Arial"/>
                  <w:sz w:val="18"/>
                  <w:szCs w:val="18"/>
                  <w:color w:val="0000FF"/>
                  <w:w w:val="90"/>
                </w:rPr>
                <w:t>License Agreement, dated February 10, 2021, by and</w:t>
              </w:r>
            </w:hyperlink>
          </w:p>
        </w:tc>
        <w:tc>
          <w:tcPr>
            <w:tcW w:w="180" w:type="dxa"/>
            <w:vAlign w:val="bottom"/>
            <w:gridSpan w:val="7"/>
          </w:tcPr>
          <w:p>
            <w:pPr>
              <w:spacing w:after="0"/>
              <w:rPr>
                <w:sz w:val="24"/>
                <w:szCs w:val="24"/>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S-1</w:t>
            </w:r>
          </w:p>
        </w:tc>
        <w:tc>
          <w:tcPr>
            <w:tcW w:w="1780" w:type="dxa"/>
            <w:vAlign w:val="bottom"/>
          </w:tcPr>
          <w:p>
            <w:pPr>
              <w:ind w:left="300"/>
              <w:spacing w:after="0"/>
              <w:rPr>
                <w:sz w:val="20"/>
                <w:szCs w:val="20"/>
                <w:color w:val="auto"/>
              </w:rPr>
            </w:pPr>
            <w:r>
              <w:rPr>
                <w:rFonts w:ascii="Arial" w:cs="Arial" w:eastAsia="Arial" w:hAnsi="Arial"/>
                <w:sz w:val="18"/>
                <w:szCs w:val="18"/>
                <w:color w:val="auto"/>
              </w:rPr>
              <w:t>333-255754</w:t>
            </w:r>
          </w:p>
        </w:tc>
        <w:tc>
          <w:tcPr>
            <w:tcW w:w="3400" w:type="dxa"/>
            <w:vAlign w:val="bottom"/>
          </w:tcPr>
          <w:p>
            <w:pPr>
              <w:ind w:left="620"/>
              <w:spacing w:after="0"/>
              <w:rPr>
                <w:sz w:val="20"/>
                <w:szCs w:val="20"/>
                <w:color w:val="auto"/>
              </w:rPr>
            </w:pPr>
            <w:r>
              <w:rPr>
                <w:rFonts w:ascii="Arial" w:cs="Arial" w:eastAsia="Arial" w:hAnsi="Arial"/>
                <w:sz w:val="18"/>
                <w:szCs w:val="18"/>
                <w:color w:val="auto"/>
              </w:rPr>
              <w:t>May 4, 2021</w:t>
            </w:r>
          </w:p>
        </w:tc>
      </w:tr>
      <w:tr>
        <w:trPr>
          <w:trHeight w:val="196"/>
        </w:trPr>
        <w:tc>
          <w:tcPr>
            <w:tcW w:w="1120" w:type="dxa"/>
            <w:vAlign w:val="bottom"/>
          </w:tcPr>
          <w:p>
            <w:pPr>
              <w:spacing w:after="0"/>
              <w:rPr>
                <w:sz w:val="17"/>
                <w:szCs w:val="17"/>
                <w:color w:val="auto"/>
              </w:rPr>
            </w:pPr>
          </w:p>
        </w:tc>
        <w:tc>
          <w:tcPr>
            <w:tcW w:w="392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198">
              <w:r>
                <w:rPr>
                  <w:rFonts w:ascii="Arial" w:cs="Arial" w:eastAsia="Arial" w:hAnsi="Arial"/>
                  <w:sz w:val="18"/>
                  <w:szCs w:val="18"/>
                  <w:color w:val="0000FF"/>
                  <w:w w:val="91"/>
                </w:rPr>
                <w:t>between Merck KGaA, Darmstadt, Germany and Day</w:t>
              </w:r>
            </w:hyperlink>
          </w:p>
        </w:tc>
        <w:tc>
          <w:tcPr>
            <w:tcW w:w="12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1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198">
              <w:r>
                <w:rPr>
                  <w:rFonts w:ascii="Arial" w:cs="Arial" w:eastAsia="Arial" w:hAnsi="Arial"/>
                  <w:sz w:val="18"/>
                  <w:szCs w:val="18"/>
                  <w:color w:val="0000FF"/>
                  <w:w w:val="90"/>
                </w:rPr>
                <w:t>One Biopharmaceuticals, Inc.</w:t>
              </w:r>
            </w:hyperlink>
          </w:p>
        </w:tc>
        <w:tc>
          <w:tcPr>
            <w:tcW w:w="20" w:type="dxa"/>
            <w:vAlign w:val="bottom"/>
            <w:tcBorders>
              <w:bottom w:val="single" w:sz="8" w:color="0000EE"/>
            </w:tcBorders>
          </w:tcPr>
          <w:p>
            <w:pPr>
              <w:spacing w:after="0"/>
              <w:rPr>
                <w:sz w:val="17"/>
                <w:szCs w:val="17"/>
                <w:color w:val="auto"/>
              </w:rPr>
            </w:pPr>
          </w:p>
        </w:tc>
        <w:tc>
          <w:tcPr>
            <w:tcW w:w="1880" w:type="dxa"/>
            <w:vAlign w:val="bottom"/>
            <w:gridSpan w:val="21"/>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10.9</w:t>
            </w:r>
          </w:p>
        </w:tc>
        <w:tc>
          <w:tcPr>
            <w:tcW w:w="4040" w:type="dxa"/>
            <w:vAlign w:val="bottom"/>
            <w:tcBorders>
              <w:bottom w:val="single" w:sz="8" w:color="0000FF"/>
            </w:tcBorders>
            <w:gridSpan w:val="26"/>
          </w:tcPr>
          <w:p>
            <w:pPr>
              <w:spacing w:after="0"/>
              <w:rPr>
                <w:rFonts w:ascii="Arial" w:cs="Arial" w:eastAsia="Arial" w:hAnsi="Arial"/>
                <w:sz w:val="18"/>
                <w:szCs w:val="18"/>
                <w:color w:val="0000FF"/>
                <w:w w:val="90"/>
              </w:rPr>
            </w:pPr>
            <w:hyperlink r:id="rId199">
              <w:r>
                <w:rPr>
                  <w:rFonts w:ascii="Arial" w:cs="Arial" w:eastAsia="Arial" w:hAnsi="Arial"/>
                  <w:sz w:val="18"/>
                  <w:szCs w:val="18"/>
                  <w:color w:val="0000FF"/>
                  <w:w w:val="90"/>
                </w:rPr>
                <w:t>Stock Exchange Agreement, dated May 4, 2021, by and</w:t>
              </w:r>
            </w:hyperlink>
          </w:p>
        </w:tc>
        <w:tc>
          <w:tcPr>
            <w:tcW w:w="900" w:type="dxa"/>
            <w:vAlign w:val="bottom"/>
          </w:tcPr>
          <w:p>
            <w:pPr>
              <w:ind w:left="240"/>
              <w:spacing w:after="0"/>
              <w:rPr>
                <w:sz w:val="20"/>
                <w:szCs w:val="20"/>
                <w:color w:val="auto"/>
              </w:rPr>
            </w:pPr>
            <w:r>
              <w:rPr>
                <w:rFonts w:ascii="Arial" w:cs="Arial" w:eastAsia="Arial" w:hAnsi="Arial"/>
                <w:sz w:val="18"/>
                <w:szCs w:val="18"/>
                <w:color w:val="auto"/>
              </w:rPr>
              <w:t>S-1</w:t>
            </w:r>
          </w:p>
        </w:tc>
        <w:tc>
          <w:tcPr>
            <w:tcW w:w="1780" w:type="dxa"/>
            <w:vAlign w:val="bottom"/>
          </w:tcPr>
          <w:p>
            <w:pPr>
              <w:ind w:left="300"/>
              <w:spacing w:after="0"/>
              <w:rPr>
                <w:sz w:val="20"/>
                <w:szCs w:val="20"/>
                <w:color w:val="auto"/>
              </w:rPr>
            </w:pPr>
            <w:r>
              <w:rPr>
                <w:rFonts w:ascii="Arial" w:cs="Arial" w:eastAsia="Arial" w:hAnsi="Arial"/>
                <w:sz w:val="18"/>
                <w:szCs w:val="18"/>
                <w:color w:val="auto"/>
              </w:rPr>
              <w:t>333-255754</w:t>
            </w:r>
          </w:p>
        </w:tc>
        <w:tc>
          <w:tcPr>
            <w:tcW w:w="3400" w:type="dxa"/>
            <w:vAlign w:val="bottom"/>
          </w:tcPr>
          <w:p>
            <w:pPr>
              <w:ind w:left="620"/>
              <w:spacing w:after="0"/>
              <w:rPr>
                <w:sz w:val="20"/>
                <w:szCs w:val="20"/>
                <w:color w:val="auto"/>
              </w:rPr>
            </w:pPr>
            <w:r>
              <w:rPr>
                <w:rFonts w:ascii="Arial" w:cs="Arial" w:eastAsia="Arial" w:hAnsi="Arial"/>
                <w:sz w:val="18"/>
                <w:szCs w:val="18"/>
                <w:color w:val="auto"/>
              </w:rPr>
              <w:t>May 4, 2021</w:t>
            </w:r>
          </w:p>
        </w:tc>
      </w:tr>
      <w:tr>
        <w:trPr>
          <w:trHeight w:val="196"/>
        </w:trPr>
        <w:tc>
          <w:tcPr>
            <w:tcW w:w="1120" w:type="dxa"/>
            <w:vAlign w:val="bottom"/>
          </w:tcPr>
          <w:p>
            <w:pPr>
              <w:spacing w:after="0"/>
              <w:rPr>
                <w:sz w:val="17"/>
                <w:szCs w:val="17"/>
                <w:color w:val="auto"/>
              </w:rPr>
            </w:pPr>
          </w:p>
        </w:tc>
        <w:tc>
          <w:tcPr>
            <w:tcW w:w="378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99">
              <w:r>
                <w:rPr>
                  <w:rFonts w:ascii="Arial" w:cs="Arial" w:eastAsia="Arial" w:hAnsi="Arial"/>
                  <w:sz w:val="18"/>
                  <w:szCs w:val="18"/>
                  <w:color w:val="0000FF"/>
                  <w:w w:val="91"/>
                </w:rPr>
                <w:t>between Day One Biopharmaceuticals Holding Co.,</w:t>
              </w:r>
            </w:hyperlink>
          </w:p>
        </w:tc>
        <w:tc>
          <w:tcPr>
            <w:tcW w:w="26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040" w:type="dxa"/>
            <w:vAlign w:val="bottom"/>
            <w:gridSpan w:val="26"/>
          </w:tcPr>
          <w:p>
            <w:pPr>
              <w:spacing w:after="0" w:line="196" w:lineRule="exact"/>
              <w:rPr>
                <w:rFonts w:ascii="Arial" w:cs="Arial" w:eastAsia="Arial" w:hAnsi="Arial"/>
                <w:sz w:val="18"/>
                <w:szCs w:val="18"/>
                <w:color w:val="0000FF"/>
              </w:rPr>
            </w:pPr>
            <w:hyperlink r:id="rId199">
              <w:r>
                <w:rPr>
                  <w:rFonts w:ascii="Arial" w:cs="Arial" w:eastAsia="Arial" w:hAnsi="Arial"/>
                  <w:sz w:val="18"/>
                  <w:szCs w:val="18"/>
                  <w:color w:val="0000FF"/>
                </w:rPr>
                <w:t>LLC and Millennium Pharmaceuticals, Inc.</w:t>
              </w:r>
            </w:hyperlink>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21.1</w:t>
            </w:r>
          </w:p>
        </w:tc>
        <w:tc>
          <w:tcPr>
            <w:tcW w:w="21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9"/>
              </w:rPr>
              <w:t>Subsidiaries of the Registrant</w:t>
            </w:r>
          </w:p>
        </w:tc>
        <w:tc>
          <w:tcPr>
            <w:tcW w:w="20" w:type="dxa"/>
            <w:vAlign w:val="bottom"/>
            <w:tcBorders>
              <w:top w:val="single" w:sz="8" w:color="0000FF"/>
              <w:bottom w:val="single" w:sz="8" w:color="0000EE"/>
            </w:tcBorders>
          </w:tcPr>
          <w:p>
            <w:pPr>
              <w:spacing w:after="0"/>
              <w:rPr>
                <w:sz w:val="24"/>
                <w:szCs w:val="24"/>
                <w:color w:val="auto"/>
              </w:rPr>
            </w:pPr>
          </w:p>
        </w:tc>
        <w:tc>
          <w:tcPr>
            <w:tcW w:w="980" w:type="dxa"/>
            <w:vAlign w:val="bottom"/>
            <w:tcBorders>
              <w:top w:val="single" w:sz="8" w:color="0000FF"/>
            </w:tcBorders>
            <w:gridSpan w:val="8"/>
          </w:tcPr>
          <w:p>
            <w:pPr>
              <w:spacing w:after="0"/>
              <w:rPr>
                <w:sz w:val="24"/>
                <w:szCs w:val="24"/>
                <w:color w:val="auto"/>
              </w:rPr>
            </w:pPr>
          </w:p>
        </w:tc>
        <w:tc>
          <w:tcPr>
            <w:tcW w:w="92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0" w:type="dxa"/>
            <w:vAlign w:val="bottom"/>
          </w:tcPr>
          <w:p>
            <w:pPr>
              <w:ind w:left="2840"/>
              <w:spacing w:after="0"/>
              <w:rPr>
                <w:sz w:val="20"/>
                <w:szCs w:val="20"/>
                <w:color w:val="auto"/>
              </w:rPr>
            </w:pPr>
            <w:r>
              <w:rPr>
                <w:rFonts w:ascii="Arial" w:cs="Arial" w:eastAsia="Arial" w:hAnsi="Arial"/>
                <w:sz w:val="18"/>
                <w:szCs w:val="18"/>
                <w:color w:val="auto"/>
              </w:rPr>
              <w:t>X</w:t>
            </w: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23.1</w:t>
            </w:r>
          </w:p>
        </w:tc>
        <w:tc>
          <w:tcPr>
            <w:tcW w:w="39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1"/>
              </w:rPr>
              <w:t>Consent of Independent Registered Public Accounting</w:t>
            </w:r>
          </w:p>
        </w:tc>
        <w:tc>
          <w:tcPr>
            <w:tcW w:w="8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0" w:type="dxa"/>
            <w:vAlign w:val="bottom"/>
          </w:tcPr>
          <w:p>
            <w:pPr>
              <w:ind w:left="2840"/>
              <w:spacing w:after="0"/>
              <w:rPr>
                <w:sz w:val="20"/>
                <w:szCs w:val="20"/>
                <w:color w:val="auto"/>
              </w:rPr>
            </w:pPr>
            <w:r>
              <w:rPr>
                <w:rFonts w:ascii="Arial" w:cs="Arial" w:eastAsia="Arial" w:hAnsi="Arial"/>
                <w:sz w:val="18"/>
                <w:szCs w:val="18"/>
                <w:color w:val="auto"/>
              </w:rPr>
              <w:t>X</w:t>
            </w:r>
          </w:p>
        </w:tc>
      </w:tr>
      <w:tr>
        <w:trPr>
          <w:trHeight w:val="196"/>
        </w:trPr>
        <w:tc>
          <w:tcPr>
            <w:tcW w:w="1120" w:type="dxa"/>
            <w:vAlign w:val="bottom"/>
          </w:tcPr>
          <w:p>
            <w:pPr>
              <w:spacing w:after="0"/>
              <w:rPr>
                <w:sz w:val="17"/>
                <w:szCs w:val="17"/>
                <w:color w:val="auto"/>
              </w:rPr>
            </w:pPr>
          </w:p>
        </w:tc>
        <w:tc>
          <w:tcPr>
            <w:tcW w:w="4040" w:type="dxa"/>
            <w:vAlign w:val="bottom"/>
            <w:gridSpan w:val="26"/>
          </w:tcPr>
          <w:p>
            <w:pPr>
              <w:spacing w:after="0" w:line="196" w:lineRule="exact"/>
              <w:rPr>
                <w:sz w:val="20"/>
                <w:szCs w:val="20"/>
                <w:color w:val="auto"/>
              </w:rPr>
            </w:pPr>
            <w:r>
              <w:rPr>
                <w:rFonts w:ascii="Arial" w:cs="Arial" w:eastAsia="Arial" w:hAnsi="Arial"/>
                <w:sz w:val="18"/>
                <w:szCs w:val="18"/>
                <w:color w:val="0000FF"/>
              </w:rPr>
              <w:t>Firm.</w:t>
            </w: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31.1</w:t>
            </w:r>
          </w:p>
        </w:tc>
        <w:tc>
          <w:tcPr>
            <w:tcW w:w="402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3"/>
              </w:rPr>
              <w:t>Certification of Principal Executive Officer Pursuant to</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0" w:type="dxa"/>
            <w:vAlign w:val="bottom"/>
          </w:tcPr>
          <w:p>
            <w:pPr>
              <w:ind w:left="2840"/>
              <w:spacing w:after="0"/>
              <w:rPr>
                <w:sz w:val="20"/>
                <w:szCs w:val="20"/>
                <w:color w:val="auto"/>
              </w:rPr>
            </w:pPr>
            <w:r>
              <w:rPr>
                <w:rFonts w:ascii="Arial" w:cs="Arial" w:eastAsia="Arial" w:hAnsi="Arial"/>
                <w:sz w:val="18"/>
                <w:szCs w:val="18"/>
                <w:color w:val="auto"/>
              </w:rPr>
              <w:t>X</w:t>
            </w:r>
          </w:p>
        </w:tc>
      </w:tr>
      <w:tr>
        <w:trPr>
          <w:trHeight w:val="196"/>
        </w:trPr>
        <w:tc>
          <w:tcPr>
            <w:tcW w:w="1120" w:type="dxa"/>
            <w:vAlign w:val="bottom"/>
          </w:tcPr>
          <w:p>
            <w:pPr>
              <w:spacing w:after="0"/>
              <w:rPr>
                <w:sz w:val="17"/>
                <w:szCs w:val="17"/>
                <w:color w:val="auto"/>
              </w:rPr>
            </w:pPr>
          </w:p>
        </w:tc>
        <w:tc>
          <w:tcPr>
            <w:tcW w:w="3720" w:type="dxa"/>
            <w:vAlign w:val="bottom"/>
            <w:tcBorders>
              <w:bottom w:val="single" w:sz="8" w:color="0000FF"/>
            </w:tcBorders>
            <w:gridSpan w:val="16"/>
          </w:tcPr>
          <w:p>
            <w:pPr>
              <w:spacing w:after="0" w:line="196" w:lineRule="exact"/>
              <w:rPr>
                <w:sz w:val="20"/>
                <w:szCs w:val="20"/>
                <w:color w:val="auto"/>
              </w:rPr>
            </w:pPr>
            <w:r>
              <w:rPr>
                <w:rFonts w:ascii="Arial" w:cs="Arial" w:eastAsia="Arial" w:hAnsi="Arial"/>
                <w:sz w:val="18"/>
                <w:szCs w:val="18"/>
                <w:color w:val="0000FF"/>
                <w:w w:val="89"/>
              </w:rPr>
              <w:t>Rules 13a-14(a) and 15d-14(a) under the Securities</w:t>
            </w:r>
          </w:p>
        </w:tc>
        <w:tc>
          <w:tcPr>
            <w:tcW w:w="32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000" w:type="dxa"/>
            <w:vAlign w:val="bottom"/>
            <w:tcBorders>
              <w:bottom w:val="single" w:sz="8" w:color="0000FF"/>
            </w:tcBorders>
            <w:gridSpan w:val="24"/>
          </w:tcPr>
          <w:p>
            <w:pPr>
              <w:spacing w:after="0" w:line="196" w:lineRule="exact"/>
              <w:rPr>
                <w:sz w:val="20"/>
                <w:szCs w:val="20"/>
                <w:color w:val="auto"/>
              </w:rPr>
            </w:pPr>
            <w:r>
              <w:rPr>
                <w:rFonts w:ascii="Arial" w:cs="Arial" w:eastAsia="Arial" w:hAnsi="Arial"/>
                <w:sz w:val="18"/>
                <w:szCs w:val="18"/>
                <w:color w:val="0000FF"/>
                <w:w w:val="90"/>
              </w:rPr>
              <w:t>Exchange Act of 1934, as Adopted Pursuant to Section</w:t>
            </w:r>
          </w:p>
        </w:tc>
        <w:tc>
          <w:tcPr>
            <w:tcW w:w="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040" w:type="dxa"/>
            <w:vAlign w:val="bottom"/>
            <w:gridSpan w:val="26"/>
          </w:tcPr>
          <w:p>
            <w:pPr>
              <w:spacing w:after="0" w:line="196" w:lineRule="exact"/>
              <w:rPr>
                <w:sz w:val="20"/>
                <w:szCs w:val="20"/>
                <w:color w:val="auto"/>
              </w:rPr>
            </w:pPr>
            <w:r>
              <w:rPr>
                <w:rFonts w:ascii="Arial" w:cs="Arial" w:eastAsia="Arial" w:hAnsi="Arial"/>
                <w:sz w:val="18"/>
                <w:szCs w:val="18"/>
                <w:color w:val="0000FF"/>
              </w:rPr>
              <w:t>302 of the Sarbanes-Oxley Act of 2002.</w:t>
            </w: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39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4"/>
              </w:rPr>
              <w:t>Certification of Principal Financial Officer Pursuant to</w:t>
            </w:r>
          </w:p>
        </w:tc>
        <w:tc>
          <w:tcPr>
            <w:tcW w:w="6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0" w:type="dxa"/>
            <w:vAlign w:val="bottom"/>
          </w:tcPr>
          <w:p>
            <w:pPr>
              <w:ind w:left="2840"/>
              <w:spacing w:after="0"/>
              <w:rPr>
                <w:sz w:val="20"/>
                <w:szCs w:val="20"/>
                <w:color w:val="auto"/>
              </w:rPr>
            </w:pPr>
            <w:r>
              <w:rPr>
                <w:rFonts w:ascii="Arial" w:cs="Arial" w:eastAsia="Arial" w:hAnsi="Arial"/>
                <w:sz w:val="18"/>
                <w:szCs w:val="18"/>
                <w:color w:val="auto"/>
              </w:rPr>
              <w:t>X</w:t>
            </w:r>
          </w:p>
        </w:tc>
      </w:tr>
      <w:tr>
        <w:trPr>
          <w:trHeight w:val="196"/>
        </w:trPr>
        <w:tc>
          <w:tcPr>
            <w:tcW w:w="1120" w:type="dxa"/>
            <w:vAlign w:val="bottom"/>
          </w:tcPr>
          <w:p>
            <w:pPr>
              <w:spacing w:after="0"/>
              <w:rPr>
                <w:sz w:val="17"/>
                <w:szCs w:val="17"/>
                <w:color w:val="auto"/>
              </w:rPr>
            </w:pPr>
          </w:p>
        </w:tc>
        <w:tc>
          <w:tcPr>
            <w:tcW w:w="3720" w:type="dxa"/>
            <w:vAlign w:val="bottom"/>
            <w:tcBorders>
              <w:bottom w:val="single" w:sz="8" w:color="0000FF"/>
            </w:tcBorders>
            <w:gridSpan w:val="16"/>
          </w:tcPr>
          <w:p>
            <w:pPr>
              <w:spacing w:after="0" w:line="196" w:lineRule="exact"/>
              <w:rPr>
                <w:sz w:val="20"/>
                <w:szCs w:val="20"/>
                <w:color w:val="auto"/>
              </w:rPr>
            </w:pPr>
            <w:r>
              <w:rPr>
                <w:rFonts w:ascii="Arial" w:cs="Arial" w:eastAsia="Arial" w:hAnsi="Arial"/>
                <w:sz w:val="18"/>
                <w:szCs w:val="18"/>
                <w:color w:val="0000FF"/>
                <w:w w:val="89"/>
              </w:rPr>
              <w:t>Rules 13a-14(a) and 15d-14(a) under the Securities</w:t>
            </w:r>
          </w:p>
        </w:tc>
        <w:tc>
          <w:tcPr>
            <w:tcW w:w="32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000" w:type="dxa"/>
            <w:vAlign w:val="bottom"/>
            <w:tcBorders>
              <w:bottom w:val="single" w:sz="8" w:color="0000FF"/>
            </w:tcBorders>
            <w:gridSpan w:val="24"/>
          </w:tcPr>
          <w:p>
            <w:pPr>
              <w:spacing w:after="0" w:line="196" w:lineRule="exact"/>
              <w:rPr>
                <w:sz w:val="20"/>
                <w:szCs w:val="20"/>
                <w:color w:val="auto"/>
              </w:rPr>
            </w:pPr>
            <w:r>
              <w:rPr>
                <w:rFonts w:ascii="Arial" w:cs="Arial" w:eastAsia="Arial" w:hAnsi="Arial"/>
                <w:sz w:val="18"/>
                <w:szCs w:val="18"/>
                <w:color w:val="0000FF"/>
                <w:w w:val="90"/>
              </w:rPr>
              <w:t>Exchange Act of 1934, as Adopted Pursuant to Section</w:t>
            </w:r>
          </w:p>
        </w:tc>
        <w:tc>
          <w:tcPr>
            <w:tcW w:w="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040" w:type="dxa"/>
            <w:vAlign w:val="bottom"/>
            <w:gridSpan w:val="26"/>
          </w:tcPr>
          <w:p>
            <w:pPr>
              <w:spacing w:after="0" w:line="196" w:lineRule="exact"/>
              <w:rPr>
                <w:sz w:val="20"/>
                <w:szCs w:val="20"/>
                <w:color w:val="auto"/>
              </w:rPr>
            </w:pPr>
            <w:r>
              <w:rPr>
                <w:rFonts w:ascii="Arial" w:cs="Arial" w:eastAsia="Arial" w:hAnsi="Arial"/>
                <w:sz w:val="18"/>
                <w:szCs w:val="18"/>
                <w:color w:val="0000FF"/>
              </w:rPr>
              <w:t>302 of the Sarbanes-Oxley Act of 2002.</w:t>
            </w: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66"/>
        </w:trPr>
        <w:tc>
          <w:tcPr>
            <w:tcW w:w="1120" w:type="dxa"/>
            <w:vAlign w:val="bottom"/>
          </w:tcPr>
          <w:p>
            <w:pPr>
              <w:ind w:left="20"/>
              <w:spacing w:after="0"/>
              <w:rPr>
                <w:sz w:val="20"/>
                <w:szCs w:val="20"/>
                <w:color w:val="auto"/>
              </w:rPr>
            </w:pPr>
            <w:r>
              <w:rPr>
                <w:rFonts w:ascii="Arial" w:cs="Arial" w:eastAsia="Arial" w:hAnsi="Arial"/>
                <w:sz w:val="18"/>
                <w:szCs w:val="18"/>
                <w:color w:val="auto"/>
              </w:rPr>
              <w:t>32.1**</w:t>
            </w:r>
          </w:p>
        </w:tc>
        <w:tc>
          <w:tcPr>
            <w:tcW w:w="34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4"/>
              </w:rPr>
              <w:t>Certification of Principal Executive Officer and</w:t>
            </w:r>
          </w:p>
        </w:tc>
        <w:tc>
          <w:tcPr>
            <w:tcW w:w="580" w:type="dxa"/>
            <w:vAlign w:val="bottom"/>
            <w:gridSpan w:val="13"/>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0" w:type="dxa"/>
            <w:vAlign w:val="bottom"/>
          </w:tcPr>
          <w:p>
            <w:pPr>
              <w:ind w:left="2840"/>
              <w:spacing w:after="0"/>
              <w:rPr>
                <w:sz w:val="20"/>
                <w:szCs w:val="20"/>
                <w:color w:val="auto"/>
              </w:rPr>
            </w:pPr>
            <w:r>
              <w:rPr>
                <w:rFonts w:ascii="Arial" w:cs="Arial" w:eastAsia="Arial" w:hAnsi="Arial"/>
                <w:sz w:val="18"/>
                <w:szCs w:val="18"/>
                <w:color w:val="auto"/>
              </w:rPr>
              <w:t>X</w:t>
            </w:r>
          </w:p>
        </w:tc>
      </w:tr>
      <w:tr>
        <w:trPr>
          <w:trHeight w:val="196"/>
        </w:trPr>
        <w:tc>
          <w:tcPr>
            <w:tcW w:w="1120" w:type="dxa"/>
            <w:vAlign w:val="bottom"/>
          </w:tcPr>
          <w:p>
            <w:pPr>
              <w:spacing w:after="0"/>
              <w:rPr>
                <w:sz w:val="17"/>
                <w:szCs w:val="17"/>
                <w:color w:val="auto"/>
              </w:rPr>
            </w:pPr>
          </w:p>
        </w:tc>
        <w:tc>
          <w:tcPr>
            <w:tcW w:w="3580" w:type="dxa"/>
            <w:vAlign w:val="bottom"/>
            <w:tcBorders>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2"/>
              </w:rPr>
              <w:t>Principal Financial Officer Pursuant to 18 U.S.C.</w:t>
            </w:r>
          </w:p>
        </w:tc>
        <w:tc>
          <w:tcPr>
            <w:tcW w:w="46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840" w:type="dxa"/>
            <w:vAlign w:val="bottom"/>
            <w:tcBorders>
              <w:bottom w:val="single" w:sz="8" w:color="0000FF"/>
            </w:tcBorders>
            <w:gridSpan w:val="18"/>
          </w:tcPr>
          <w:p>
            <w:pPr>
              <w:spacing w:after="0" w:line="196" w:lineRule="exact"/>
              <w:rPr>
                <w:sz w:val="20"/>
                <w:szCs w:val="20"/>
                <w:color w:val="auto"/>
              </w:rPr>
            </w:pPr>
            <w:r>
              <w:rPr>
                <w:rFonts w:ascii="Arial" w:cs="Arial" w:eastAsia="Arial" w:hAnsi="Arial"/>
                <w:sz w:val="18"/>
                <w:szCs w:val="18"/>
                <w:color w:val="0000FF"/>
                <w:w w:val="90"/>
              </w:rPr>
              <w:t>Section 1350, as Adopted Pursuant to Section 906 of</w:t>
            </w:r>
          </w:p>
        </w:tc>
        <w:tc>
          <w:tcPr>
            <w:tcW w:w="20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36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89"/>
              </w:rPr>
              <w:t>the Sarbanes-Oxley Act of 2002.</w:t>
            </w:r>
          </w:p>
        </w:tc>
        <w:tc>
          <w:tcPr>
            <w:tcW w:w="20" w:type="dxa"/>
            <w:vAlign w:val="bottom"/>
            <w:tcBorders>
              <w:bottom w:val="single" w:sz="8" w:color="0000EE"/>
            </w:tcBorders>
          </w:tcPr>
          <w:p>
            <w:pPr>
              <w:spacing w:after="0"/>
              <w:rPr>
                <w:sz w:val="17"/>
                <w:szCs w:val="17"/>
                <w:color w:val="auto"/>
              </w:rPr>
            </w:pPr>
          </w:p>
        </w:tc>
        <w:tc>
          <w:tcPr>
            <w:tcW w:w="166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507"/>
        </w:trPr>
        <w:tc>
          <w:tcPr>
            <w:tcW w:w="1120" w:type="dxa"/>
            <w:vAlign w:val="bottom"/>
          </w:tcPr>
          <w:p>
            <w:pPr>
              <w:ind w:left="20"/>
              <w:spacing w:after="0"/>
              <w:rPr>
                <w:sz w:val="20"/>
                <w:szCs w:val="20"/>
                <w:color w:val="auto"/>
              </w:rPr>
            </w:pPr>
            <w:r>
              <w:rPr>
                <w:rFonts w:ascii="Arial" w:cs="Arial" w:eastAsia="Arial" w:hAnsi="Arial"/>
                <w:sz w:val="18"/>
                <w:szCs w:val="18"/>
                <w:color w:val="auto"/>
              </w:rPr>
              <w:t>101.INS</w:t>
            </w:r>
          </w:p>
        </w:tc>
        <w:tc>
          <w:tcPr>
            <w:tcW w:w="4040" w:type="dxa"/>
            <w:vAlign w:val="bottom"/>
            <w:gridSpan w:val="26"/>
          </w:tcPr>
          <w:p>
            <w:pPr>
              <w:spacing w:after="0"/>
              <w:rPr>
                <w:sz w:val="20"/>
                <w:szCs w:val="20"/>
                <w:color w:val="auto"/>
              </w:rPr>
            </w:pPr>
            <w:r>
              <w:rPr>
                <w:rFonts w:ascii="Arial" w:cs="Arial" w:eastAsia="Arial" w:hAnsi="Arial"/>
                <w:sz w:val="18"/>
                <w:szCs w:val="18"/>
                <w:color w:val="auto"/>
              </w:rPr>
              <w:t>Inline XBRL Instance Document</w:t>
            </w: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0" w:type="dxa"/>
            <w:vAlign w:val="bottom"/>
          </w:tcPr>
          <w:p>
            <w:pPr>
              <w:ind w:left="2840"/>
              <w:spacing w:after="0"/>
              <w:rPr>
                <w:sz w:val="20"/>
                <w:szCs w:val="20"/>
                <w:color w:val="auto"/>
              </w:rPr>
            </w:pPr>
            <w:r>
              <w:rPr>
                <w:rFonts w:ascii="Arial" w:cs="Arial" w:eastAsia="Arial" w:hAnsi="Arial"/>
                <w:sz w:val="18"/>
                <w:szCs w:val="18"/>
                <w:color w:val="auto"/>
              </w:rPr>
              <w:t>X</w:t>
            </w:r>
          </w:p>
        </w:tc>
      </w:tr>
      <w:tr>
        <w:trPr>
          <w:trHeight w:val="486"/>
        </w:trPr>
        <w:tc>
          <w:tcPr>
            <w:tcW w:w="1120" w:type="dxa"/>
            <w:vAlign w:val="bottom"/>
          </w:tcPr>
          <w:p>
            <w:pPr>
              <w:ind w:left="20"/>
              <w:spacing w:after="0"/>
              <w:rPr>
                <w:sz w:val="20"/>
                <w:szCs w:val="20"/>
                <w:color w:val="auto"/>
              </w:rPr>
            </w:pPr>
            <w:r>
              <w:rPr>
                <w:rFonts w:ascii="Arial" w:cs="Arial" w:eastAsia="Arial" w:hAnsi="Arial"/>
                <w:sz w:val="18"/>
                <w:szCs w:val="18"/>
                <w:color w:val="auto"/>
              </w:rPr>
              <w:t>101.SCH</w:t>
            </w:r>
          </w:p>
        </w:tc>
        <w:tc>
          <w:tcPr>
            <w:tcW w:w="4040" w:type="dxa"/>
            <w:vAlign w:val="bottom"/>
            <w:gridSpan w:val="26"/>
          </w:tcPr>
          <w:p>
            <w:pPr>
              <w:spacing w:after="0"/>
              <w:rPr>
                <w:sz w:val="20"/>
                <w:szCs w:val="20"/>
                <w:color w:val="auto"/>
              </w:rPr>
            </w:pPr>
            <w:r>
              <w:rPr>
                <w:rFonts w:ascii="Arial" w:cs="Arial" w:eastAsia="Arial" w:hAnsi="Arial"/>
                <w:sz w:val="18"/>
                <w:szCs w:val="18"/>
                <w:color w:val="auto"/>
                <w:w w:val="94"/>
              </w:rPr>
              <w:t>Inline XBRL Taxonomy Extension Schema Document</w:t>
            </w: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0" w:type="dxa"/>
            <w:vAlign w:val="bottom"/>
          </w:tcPr>
          <w:p>
            <w:pPr>
              <w:ind w:left="2840"/>
              <w:spacing w:after="0"/>
              <w:rPr>
                <w:sz w:val="20"/>
                <w:szCs w:val="20"/>
                <w:color w:val="auto"/>
              </w:rPr>
            </w:pPr>
            <w:r>
              <w:rPr>
                <w:rFonts w:ascii="Arial" w:cs="Arial" w:eastAsia="Arial" w:hAnsi="Arial"/>
                <w:sz w:val="18"/>
                <w:szCs w:val="18"/>
                <w:color w:val="auto"/>
              </w:rPr>
              <w:t>X</w:t>
            </w:r>
          </w:p>
        </w:tc>
      </w:tr>
      <w:tr>
        <w:trPr>
          <w:trHeight w:val="648"/>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ind w:left="320"/>
              <w:spacing w:after="0"/>
              <w:rPr>
                <w:sz w:val="20"/>
                <w:szCs w:val="20"/>
                <w:color w:val="auto"/>
              </w:rPr>
            </w:pPr>
            <w:r>
              <w:rPr>
                <w:rFonts w:ascii="Arial" w:cs="Arial" w:eastAsia="Arial" w:hAnsi="Arial"/>
                <w:sz w:val="18"/>
                <w:szCs w:val="18"/>
                <w:color w:val="auto"/>
              </w:rPr>
              <w:t>140</w:t>
            </w:r>
          </w:p>
        </w:tc>
        <w:tc>
          <w:tcPr>
            <w:tcW w:w="17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tbl>
      <w:tblPr>
        <w:tblLayout w:type="fixed"/>
        <w:tblInd w:w="2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7000" w:type="dxa"/>
            <w:vAlign w:val="bottom"/>
          </w:tcPr>
          <w:p>
            <w:pPr>
              <w:ind w:left="220"/>
              <w:spacing w:after="0"/>
              <w:rPr>
                <w:sz w:val="20"/>
                <w:szCs w:val="20"/>
                <w:color w:val="auto"/>
              </w:rPr>
            </w:pPr>
            <w:r>
              <w:rPr>
                <w:rFonts w:ascii="Arial" w:cs="Arial" w:eastAsia="Arial" w:hAnsi="Arial"/>
                <w:sz w:val="18"/>
                <w:szCs w:val="18"/>
                <w:color w:val="auto"/>
              </w:rPr>
              <w:t>Inline XBRL Taxonomy Extension Calculation</w:t>
            </w:r>
          </w:p>
        </w:tc>
        <w:tc>
          <w:tcPr>
            <w:tcW w:w="2900" w:type="dxa"/>
            <w:vAlign w:val="bottom"/>
          </w:tcPr>
          <w:p>
            <w:pPr>
              <w:ind w:left="2780"/>
              <w:spacing w:after="0"/>
              <w:rPr>
                <w:sz w:val="20"/>
                <w:szCs w:val="20"/>
                <w:color w:val="auto"/>
              </w:rPr>
            </w:pPr>
            <w:r>
              <w:rPr>
                <w:rFonts w:ascii="Arial" w:cs="Arial" w:eastAsia="Arial" w:hAnsi="Arial"/>
                <w:sz w:val="18"/>
                <w:szCs w:val="18"/>
                <w:color w:val="auto"/>
                <w:w w:val="82"/>
              </w:rPr>
              <w:t>X</w:t>
            </w:r>
          </w:p>
        </w:tc>
      </w:tr>
      <w:tr>
        <w:trPr>
          <w:trHeight w:val="230"/>
        </w:trPr>
        <w:tc>
          <w:tcPr>
            <w:tcW w:w="880" w:type="dxa"/>
            <w:vAlign w:val="bottom"/>
          </w:tcPr>
          <w:p>
            <w:pPr>
              <w:spacing w:after="0"/>
              <w:rPr>
                <w:sz w:val="20"/>
                <w:szCs w:val="20"/>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Linkbase Document.</w:t>
            </w:r>
          </w:p>
        </w:tc>
        <w:tc>
          <w:tcPr>
            <w:tcW w:w="2900" w:type="dxa"/>
            <w:vAlign w:val="bottom"/>
          </w:tcPr>
          <w:p>
            <w:pPr>
              <w:spacing w:after="0"/>
              <w:rPr>
                <w:sz w:val="20"/>
                <w:szCs w:val="20"/>
                <w:color w:val="auto"/>
              </w:rPr>
            </w:pPr>
          </w:p>
        </w:tc>
      </w:tr>
      <w:tr>
        <w:trPr>
          <w:trHeight w:val="472"/>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700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 Linkbase</w:t>
            </w:r>
          </w:p>
        </w:tc>
        <w:tc>
          <w:tcPr>
            <w:tcW w:w="2900" w:type="dxa"/>
            <w:vAlign w:val="bottom"/>
          </w:tcPr>
          <w:p>
            <w:pPr>
              <w:ind w:left="2780"/>
              <w:spacing w:after="0"/>
              <w:rPr>
                <w:sz w:val="20"/>
                <w:szCs w:val="20"/>
                <w:color w:val="auto"/>
              </w:rPr>
            </w:pPr>
            <w:r>
              <w:rPr>
                <w:rFonts w:ascii="Arial" w:cs="Arial" w:eastAsia="Arial" w:hAnsi="Arial"/>
                <w:sz w:val="18"/>
                <w:szCs w:val="18"/>
                <w:color w:val="auto"/>
                <w:w w:val="82"/>
              </w:rPr>
              <w:t>X</w:t>
            </w:r>
          </w:p>
        </w:tc>
      </w:tr>
      <w:tr>
        <w:trPr>
          <w:trHeight w:val="230"/>
        </w:trPr>
        <w:tc>
          <w:tcPr>
            <w:tcW w:w="880" w:type="dxa"/>
            <w:vAlign w:val="bottom"/>
          </w:tcPr>
          <w:p>
            <w:pPr>
              <w:spacing w:after="0"/>
              <w:rPr>
                <w:sz w:val="20"/>
                <w:szCs w:val="20"/>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Document.</w:t>
            </w:r>
          </w:p>
        </w:tc>
        <w:tc>
          <w:tcPr>
            <w:tcW w:w="2900" w:type="dxa"/>
            <w:vAlign w:val="bottom"/>
          </w:tcPr>
          <w:p>
            <w:pPr>
              <w:spacing w:after="0"/>
              <w:rPr>
                <w:sz w:val="20"/>
                <w:szCs w:val="20"/>
                <w:color w:val="auto"/>
              </w:rPr>
            </w:pPr>
          </w:p>
        </w:tc>
      </w:tr>
      <w:tr>
        <w:trPr>
          <w:trHeight w:val="47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700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w:t>
            </w:r>
          </w:p>
        </w:tc>
        <w:tc>
          <w:tcPr>
            <w:tcW w:w="2900" w:type="dxa"/>
            <w:vAlign w:val="bottom"/>
          </w:tcPr>
          <w:p>
            <w:pPr>
              <w:ind w:left="2780"/>
              <w:spacing w:after="0"/>
              <w:rPr>
                <w:sz w:val="20"/>
                <w:szCs w:val="20"/>
                <w:color w:val="auto"/>
              </w:rPr>
            </w:pPr>
            <w:r>
              <w:rPr>
                <w:rFonts w:ascii="Arial" w:cs="Arial" w:eastAsia="Arial" w:hAnsi="Arial"/>
                <w:sz w:val="18"/>
                <w:szCs w:val="18"/>
                <w:color w:val="auto"/>
                <w:w w:val="82"/>
              </w:rPr>
              <w:t>X</w:t>
            </w:r>
          </w:p>
        </w:tc>
      </w:tr>
      <w:tr>
        <w:trPr>
          <w:trHeight w:val="230"/>
        </w:trPr>
        <w:tc>
          <w:tcPr>
            <w:tcW w:w="880" w:type="dxa"/>
            <w:vAlign w:val="bottom"/>
          </w:tcPr>
          <w:p>
            <w:pPr>
              <w:spacing w:after="0"/>
              <w:rPr>
                <w:sz w:val="20"/>
                <w:szCs w:val="20"/>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Document.</w:t>
            </w:r>
          </w:p>
        </w:tc>
        <w:tc>
          <w:tcPr>
            <w:tcW w:w="2900" w:type="dxa"/>
            <w:vAlign w:val="bottom"/>
          </w:tcPr>
          <w:p>
            <w:pPr>
              <w:spacing w:after="0"/>
              <w:rPr>
                <w:sz w:val="20"/>
                <w:szCs w:val="20"/>
                <w:color w:val="auto"/>
              </w:rPr>
            </w:pPr>
          </w:p>
        </w:tc>
      </w:tr>
      <w:tr>
        <w:trPr>
          <w:trHeight w:val="472"/>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7000" w:type="dxa"/>
            <w:vAlign w:val="bottom"/>
          </w:tcPr>
          <w:p>
            <w:pPr>
              <w:ind w:left="220"/>
              <w:spacing w:after="0"/>
              <w:rPr>
                <w:sz w:val="20"/>
                <w:szCs w:val="20"/>
                <w:color w:val="auto"/>
              </w:rPr>
            </w:pPr>
            <w:r>
              <w:rPr>
                <w:rFonts w:ascii="Arial" w:cs="Arial" w:eastAsia="Arial" w:hAnsi="Arial"/>
                <w:sz w:val="18"/>
                <w:szCs w:val="18"/>
                <w:color w:val="auto"/>
              </w:rPr>
              <w:t>Inline XBRL Taxonomy Extension Presentation</w:t>
            </w:r>
          </w:p>
        </w:tc>
        <w:tc>
          <w:tcPr>
            <w:tcW w:w="2900" w:type="dxa"/>
            <w:vAlign w:val="bottom"/>
          </w:tcPr>
          <w:p>
            <w:pPr>
              <w:ind w:left="2780"/>
              <w:spacing w:after="0"/>
              <w:rPr>
                <w:sz w:val="20"/>
                <w:szCs w:val="20"/>
                <w:color w:val="auto"/>
              </w:rPr>
            </w:pPr>
            <w:r>
              <w:rPr>
                <w:rFonts w:ascii="Arial" w:cs="Arial" w:eastAsia="Arial" w:hAnsi="Arial"/>
                <w:sz w:val="18"/>
                <w:szCs w:val="18"/>
                <w:color w:val="auto"/>
                <w:w w:val="82"/>
              </w:rPr>
              <w:t>X</w:t>
            </w:r>
          </w:p>
        </w:tc>
      </w:tr>
      <w:tr>
        <w:trPr>
          <w:trHeight w:val="230"/>
        </w:trPr>
        <w:tc>
          <w:tcPr>
            <w:tcW w:w="880" w:type="dxa"/>
            <w:vAlign w:val="bottom"/>
          </w:tcPr>
          <w:p>
            <w:pPr>
              <w:spacing w:after="0"/>
              <w:rPr>
                <w:sz w:val="20"/>
                <w:szCs w:val="20"/>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Linkbase Document.</w:t>
            </w:r>
          </w:p>
        </w:tc>
        <w:tc>
          <w:tcPr>
            <w:tcW w:w="2900" w:type="dxa"/>
            <w:vAlign w:val="bottom"/>
          </w:tcPr>
          <w:p>
            <w:pPr>
              <w:spacing w:after="0"/>
              <w:rPr>
                <w:sz w:val="20"/>
                <w:szCs w:val="20"/>
                <w:color w:val="auto"/>
              </w:rPr>
            </w:pPr>
          </w:p>
        </w:tc>
      </w:tr>
      <w:tr>
        <w:trPr>
          <w:trHeight w:val="68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7000" w:type="dxa"/>
            <w:vAlign w:val="bottom"/>
          </w:tcPr>
          <w:p>
            <w:pPr>
              <w:ind w:left="220"/>
              <w:spacing w:after="0"/>
              <w:rPr>
                <w:sz w:val="20"/>
                <w:szCs w:val="20"/>
                <w:color w:val="auto"/>
              </w:rPr>
            </w:pPr>
            <w:r>
              <w:rPr>
                <w:rFonts w:ascii="Arial" w:cs="Arial" w:eastAsia="Arial" w:hAnsi="Arial"/>
                <w:sz w:val="18"/>
                <w:szCs w:val="18"/>
                <w:color w:val="auto"/>
              </w:rPr>
              <w:t>Cover Page Interactive Data File (Embedded within the</w:t>
            </w:r>
          </w:p>
        </w:tc>
        <w:tc>
          <w:tcPr>
            <w:tcW w:w="2900" w:type="dxa"/>
            <w:vAlign w:val="bottom"/>
          </w:tcPr>
          <w:p>
            <w:pPr>
              <w:ind w:left="2780"/>
              <w:spacing w:after="0"/>
              <w:rPr>
                <w:sz w:val="20"/>
                <w:szCs w:val="20"/>
                <w:color w:val="auto"/>
              </w:rPr>
            </w:pPr>
            <w:r>
              <w:rPr>
                <w:rFonts w:ascii="Arial" w:cs="Arial" w:eastAsia="Arial" w:hAnsi="Arial"/>
                <w:sz w:val="18"/>
                <w:szCs w:val="18"/>
                <w:color w:val="auto"/>
                <w:w w:val="82"/>
              </w:rPr>
              <w:t>X</w:t>
            </w:r>
          </w:p>
        </w:tc>
      </w:tr>
      <w:tr>
        <w:trPr>
          <w:trHeight w:val="230"/>
        </w:trPr>
        <w:tc>
          <w:tcPr>
            <w:tcW w:w="880" w:type="dxa"/>
            <w:vAlign w:val="bottom"/>
          </w:tcPr>
          <w:p>
            <w:pPr>
              <w:spacing w:after="0"/>
              <w:rPr>
                <w:sz w:val="20"/>
                <w:szCs w:val="20"/>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Inline XBRL document and included in Exhibit 101)</w:t>
            </w:r>
          </w:p>
        </w:tc>
        <w:tc>
          <w:tcPr>
            <w:tcW w:w="2900" w:type="dxa"/>
            <w:vAlign w:val="bottom"/>
          </w:tcPr>
          <w:p>
            <w:pPr>
              <w:spacing w:after="0"/>
              <w:rPr>
                <w:sz w:val="20"/>
                <w:szCs w:val="20"/>
                <w:color w:val="auto"/>
              </w:rPr>
            </w:pPr>
          </w:p>
        </w:tc>
      </w:tr>
    </w:tbl>
    <w:p>
      <w:pPr>
        <w:spacing w:after="0" w:line="107" w:lineRule="exact"/>
        <w:rPr>
          <w:sz w:val="20"/>
          <w:szCs w:val="20"/>
          <w:color w:val="auto"/>
        </w:rPr>
      </w:pPr>
    </w:p>
    <w:p>
      <w:pPr>
        <w:ind w:right="3460" w:firstLine="8"/>
        <w:spacing w:after="0" w:line="500" w:lineRule="auto"/>
        <w:tabs>
          <w:tab w:leader="none" w:pos="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Registrant has omitted portions of the exhibit as permitted under Item 601(b)(10) of Regulations S-K. ^ Indicates management contract or compensatory plan.</w:t>
      </w:r>
    </w:p>
    <w:p>
      <w:pPr>
        <w:spacing w:after="0" w:line="2" w:lineRule="exact"/>
        <w:rPr>
          <w:sz w:val="20"/>
          <w:szCs w:val="20"/>
          <w:color w:val="auto"/>
        </w:rPr>
      </w:pPr>
    </w:p>
    <w:p>
      <w:pPr>
        <w:ind w:firstLine="8"/>
        <w:spacing w:after="0" w:line="277" w:lineRule="auto"/>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55" w:right="4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760" w:type="dxa"/>
            <w:vAlign w:val="bottom"/>
            <w:gridSpan w:val="2"/>
          </w:tcPr>
          <w:p>
            <w:pPr>
              <w:ind w:left="1960"/>
              <w:spacing w:after="0"/>
              <w:rPr>
                <w:sz w:val="20"/>
                <w:szCs w:val="20"/>
                <w:color w:val="auto"/>
              </w:rPr>
            </w:pPr>
            <w:r>
              <w:rPr>
                <w:rFonts w:ascii="Arial" w:cs="Arial" w:eastAsia="Arial" w:hAnsi="Arial"/>
                <w:sz w:val="18"/>
                <w:szCs w:val="18"/>
                <w:color w:val="auto"/>
              </w:rPr>
              <w:t>DAY ONE BIOPHARMACEUTICALS, INC.</w:t>
            </w:r>
          </w:p>
        </w:tc>
      </w:tr>
      <w:tr>
        <w:trPr>
          <w:trHeight w:val="473"/>
        </w:trPr>
        <w:tc>
          <w:tcPr>
            <w:tcW w:w="3460" w:type="dxa"/>
            <w:vAlign w:val="bottom"/>
          </w:tcPr>
          <w:p>
            <w:pPr>
              <w:spacing w:after="0"/>
              <w:rPr>
                <w:sz w:val="20"/>
                <w:szCs w:val="20"/>
                <w:color w:val="auto"/>
              </w:rPr>
            </w:pPr>
            <w:r>
              <w:rPr>
                <w:rFonts w:ascii="Arial" w:cs="Arial" w:eastAsia="Arial" w:hAnsi="Arial"/>
                <w:sz w:val="18"/>
                <w:szCs w:val="18"/>
                <w:color w:val="auto"/>
              </w:rPr>
              <w:t>Date: March 6, 2023</w:t>
            </w:r>
          </w:p>
        </w:tc>
        <w:tc>
          <w:tcPr>
            <w:tcW w:w="2560" w:type="dxa"/>
            <w:vAlign w:val="bottom"/>
          </w:tcPr>
          <w:p>
            <w:pPr>
              <w:ind w:left="19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Jeremy Bender, Ph.D., M.B.A.</w:t>
            </w:r>
          </w:p>
        </w:tc>
      </w:tr>
      <w:tr>
        <w:trPr>
          <w:trHeight w:val="209"/>
        </w:trPr>
        <w:tc>
          <w:tcPr>
            <w:tcW w:w="3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1"/>
              </w:rPr>
              <w:t>Jeremy Bender, Ph.D., M.B.A.</w:t>
            </w:r>
          </w:p>
        </w:tc>
      </w:tr>
      <w:tr>
        <w:trPr>
          <w:trHeight w:val="216"/>
        </w:trPr>
        <w:tc>
          <w:tcPr>
            <w:tcW w:w="3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President</w:t>
            </w:r>
          </w:p>
        </w:tc>
      </w:tr>
      <w:tr>
        <w:trPr>
          <w:trHeight w:val="230"/>
        </w:trPr>
        <w:tc>
          <w:tcPr>
            <w:tcW w:w="34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45"/>
        </w:trPr>
        <w:tc>
          <w:tcPr>
            <w:tcW w:w="3460" w:type="dxa"/>
            <w:vAlign w:val="bottom"/>
          </w:tcPr>
          <w:p>
            <w:pPr>
              <w:spacing w:after="0"/>
              <w:rPr>
                <w:sz w:val="24"/>
                <w:szCs w:val="24"/>
                <w:color w:val="auto"/>
              </w:rPr>
            </w:pPr>
          </w:p>
        </w:tc>
        <w:tc>
          <w:tcPr>
            <w:tcW w:w="7760" w:type="dxa"/>
            <w:vAlign w:val="bottom"/>
            <w:gridSpan w:val="2"/>
          </w:tcPr>
          <w:p>
            <w:pPr>
              <w:ind w:left="1960"/>
              <w:spacing w:after="0"/>
              <w:rPr>
                <w:sz w:val="20"/>
                <w:szCs w:val="20"/>
                <w:color w:val="auto"/>
              </w:rPr>
            </w:pPr>
            <w:r>
              <w:rPr>
                <w:rFonts w:ascii="Arial" w:cs="Arial" w:eastAsia="Arial" w:hAnsi="Arial"/>
                <w:sz w:val="18"/>
                <w:szCs w:val="18"/>
                <w:color w:val="auto"/>
              </w:rPr>
              <w:t>DAY ONE BIOPHARMACEUTICALS, INC.</w:t>
            </w:r>
          </w:p>
        </w:tc>
      </w:tr>
      <w:tr>
        <w:trPr>
          <w:trHeight w:val="473"/>
        </w:trPr>
        <w:tc>
          <w:tcPr>
            <w:tcW w:w="3460" w:type="dxa"/>
            <w:vAlign w:val="bottom"/>
          </w:tcPr>
          <w:p>
            <w:pPr>
              <w:spacing w:after="0"/>
              <w:rPr>
                <w:sz w:val="20"/>
                <w:szCs w:val="20"/>
                <w:color w:val="auto"/>
              </w:rPr>
            </w:pPr>
            <w:r>
              <w:rPr>
                <w:rFonts w:ascii="Arial" w:cs="Arial" w:eastAsia="Arial" w:hAnsi="Arial"/>
                <w:sz w:val="18"/>
                <w:szCs w:val="18"/>
                <w:color w:val="auto"/>
              </w:rPr>
              <w:t>Date: March 6, 2023</w:t>
            </w:r>
          </w:p>
        </w:tc>
        <w:tc>
          <w:tcPr>
            <w:tcW w:w="2560" w:type="dxa"/>
            <w:vAlign w:val="bottom"/>
          </w:tcPr>
          <w:p>
            <w:pPr>
              <w:ind w:left="1960"/>
              <w:spacing w:after="0"/>
              <w:rPr>
                <w:sz w:val="20"/>
                <w:szCs w:val="20"/>
                <w:color w:val="auto"/>
              </w:rPr>
            </w:pPr>
            <w:r>
              <w:rPr>
                <w:rFonts w:ascii="Arial" w:cs="Arial" w:eastAsia="Arial" w:hAnsi="Arial"/>
                <w:sz w:val="18"/>
                <w:szCs w:val="18"/>
                <w:color w:val="auto"/>
              </w:rPr>
              <w:t>By:</w:t>
            </w:r>
          </w:p>
        </w:tc>
        <w:tc>
          <w:tcPr>
            <w:tcW w:w="5200" w:type="dxa"/>
            <w:vAlign w:val="bottom"/>
          </w:tcPr>
          <w:p>
            <w:pPr>
              <w:jc w:val="center"/>
              <w:spacing w:after="0"/>
              <w:rPr>
                <w:sz w:val="20"/>
                <w:szCs w:val="20"/>
                <w:color w:val="auto"/>
              </w:rPr>
            </w:pPr>
            <w:r>
              <w:rPr>
                <w:rFonts w:ascii="Arial" w:cs="Arial" w:eastAsia="Arial" w:hAnsi="Arial"/>
                <w:sz w:val="18"/>
                <w:szCs w:val="18"/>
                <w:color w:val="auto"/>
                <w:w w:val="94"/>
              </w:rPr>
              <w:t>/s/ Charles N. York II, M.B.A.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0</wp:posOffset>
            </wp:positionV>
            <wp:extent cx="33000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7660"/>
        <w:spacing w:after="0"/>
        <w:rPr>
          <w:sz w:val="20"/>
          <w:szCs w:val="20"/>
          <w:color w:val="auto"/>
        </w:rPr>
      </w:pPr>
      <w:r>
        <w:rPr>
          <w:rFonts w:ascii="Arial" w:cs="Arial" w:eastAsia="Arial" w:hAnsi="Arial"/>
          <w:sz w:val="18"/>
          <w:szCs w:val="18"/>
          <w:color w:val="auto"/>
        </w:rPr>
        <w:t>Charles N. York II, M.B.A.</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Operating Officer and Chief Financial Officer</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Financial and Accounting Officer)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ind w:left="4940"/>
        <w:spacing w:after="0"/>
        <w:rPr>
          <w:sz w:val="20"/>
          <w:szCs w:val="20"/>
          <w:color w:val="auto"/>
        </w:rPr>
      </w:pPr>
      <w:r>
        <w:rPr>
          <w:rFonts w:ascii="Arial" w:cs="Arial" w:eastAsia="Arial" w:hAnsi="Arial"/>
          <w:sz w:val="18"/>
          <w:szCs w:val="18"/>
          <w:color w:val="auto"/>
        </w:rPr>
        <w:t>POWER OF ATTORNEY</w:t>
      </w:r>
    </w:p>
    <w:p>
      <w:pPr>
        <w:spacing w:after="0" w:line="200" w:lineRule="exact"/>
        <w:rPr>
          <w:sz w:val="20"/>
          <w:szCs w:val="20"/>
          <w:color w:val="auto"/>
        </w:rPr>
      </w:pPr>
    </w:p>
    <w:p>
      <w:pPr>
        <w:spacing w:after="0" w:line="34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Jeremy Bender, Ph. D., M.B.A and Charles N. York II, M.B.A.,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0" w:lineRule="exact"/>
        <w:rPr>
          <w:sz w:val="20"/>
          <w:szCs w:val="20"/>
          <w:color w:val="auto"/>
        </w:rPr>
      </w:pPr>
    </w:p>
    <w:p>
      <w:pPr>
        <w:spacing w:after="0" w:line="30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773" w:right="339" w:bottom="1440" w:gutter="0" w:footer="0" w:header="0"/>
        </w:sectPr>
      </w:pPr>
    </w:p>
    <w:p>
      <w:pPr>
        <w:spacing w:after="0" w:line="189"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2974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00"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 Jeremy Bender, Ph.D., M.B.A.</w:t>
      </w:r>
    </w:p>
    <w:p>
      <w:pPr>
        <w:spacing w:after="0" w:line="4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974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Charles N. York II, M.B.A.</w:t>
      </w:r>
    </w:p>
    <w:p>
      <w:pPr>
        <w:spacing w:after="0" w:line="3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974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3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Garry Nicholson, M.B.A.</w:t>
      </w:r>
    </w:p>
    <w:p>
      <w:pPr>
        <w:spacing w:after="0" w:line="3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Garry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974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3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Julie Grant, M.Phil., M.B.A.</w:t>
      </w:r>
    </w:p>
    <w:p>
      <w:pPr>
        <w:spacing w:after="0" w:line="3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Julie Grant, M.Phil.,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974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3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Dan Becker, M.D., Ph.D.</w:t>
      </w:r>
    </w:p>
    <w:p>
      <w:pPr>
        <w:spacing w:after="0" w:line="3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Dan Becker,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974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3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Scott Garland</w:t>
      </w:r>
    </w:p>
    <w:p>
      <w:pPr>
        <w:spacing w:after="0" w:line="3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Scott Garland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974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3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Michael Gladstone</w:t>
      </w:r>
    </w:p>
    <w:p>
      <w:pPr>
        <w:spacing w:after="0" w:line="3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Michael Gladstone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974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3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Natalie Holles</w:t>
      </w:r>
    </w:p>
    <w:p>
      <w:pPr>
        <w:spacing w:after="0" w:line="36"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Natalie Holles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974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32"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 John A. Josey, Ph.D., M.B.A.</w:t>
      </w:r>
    </w:p>
    <w:p>
      <w:pPr>
        <w:spacing w:after="0" w:line="4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John A. Josey,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974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32"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/s/ Saira Ramasastry, M.S., M.Phil.</w:t>
      </w:r>
    </w:p>
    <w:p>
      <w:pPr>
        <w:spacing w:after="0" w:line="59"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Saira Ramasastry, M.S., M.Phil.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2974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6"/>
                <w:szCs w:val="16"/>
                <w:color w:val="auto"/>
              </w:rPr>
            </w:pPr>
          </w:p>
        </w:tc>
        <w:tc>
          <w:tcPr>
            <w:tcW w:w="192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Date</w:t>
            </w:r>
          </w:p>
        </w:tc>
      </w:tr>
      <w:tr>
        <w:trPr>
          <w:trHeight w:val="290"/>
        </w:trPr>
        <w:tc>
          <w:tcPr>
            <w:tcW w:w="54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March 6, 2023</w:t>
            </w:r>
          </w:p>
        </w:tc>
      </w:tr>
      <w:tr>
        <w:trPr>
          <w:trHeight w:val="674"/>
        </w:trPr>
        <w:tc>
          <w:tcPr>
            <w:tcW w:w="5400" w:type="dxa"/>
            <w:vAlign w:val="bottom"/>
          </w:tcPr>
          <w:p>
            <w:pPr>
              <w:ind w:left="20"/>
              <w:spacing w:after="0"/>
              <w:rPr>
                <w:sz w:val="20"/>
                <w:szCs w:val="20"/>
                <w:color w:val="auto"/>
              </w:rPr>
            </w:pPr>
            <w:r>
              <w:rPr>
                <w:rFonts w:ascii="Arial" w:cs="Arial" w:eastAsia="Arial" w:hAnsi="Arial"/>
                <w:sz w:val="18"/>
                <w:szCs w:val="18"/>
                <w:color w:val="auto"/>
              </w:rPr>
              <w:t>Chief Operating Officer and Chief Financial Officer</w:t>
            </w: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March 6, 2023</w:t>
            </w:r>
          </w:p>
        </w:tc>
      </w:tr>
      <w:tr>
        <w:trPr>
          <w:trHeight w:val="702"/>
        </w:trPr>
        <w:tc>
          <w:tcPr>
            <w:tcW w:w="5400" w:type="dxa"/>
            <w:vAlign w:val="bottom"/>
          </w:tcPr>
          <w:p>
            <w:pPr>
              <w:ind w:left="20"/>
              <w:spacing w:after="0"/>
              <w:rPr>
                <w:sz w:val="20"/>
                <w:szCs w:val="20"/>
                <w:color w:val="auto"/>
              </w:rPr>
            </w:pPr>
            <w:r>
              <w:rPr>
                <w:rFonts w:ascii="Arial" w:cs="Arial" w:eastAsia="Arial" w:hAnsi="Arial"/>
                <w:sz w:val="18"/>
                <w:szCs w:val="18"/>
                <w:color w:val="auto"/>
              </w:rPr>
              <w:t>Chair and Director</w:t>
            </w:r>
          </w:p>
        </w:tc>
        <w:tc>
          <w:tcPr>
            <w:tcW w:w="1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March 6, 2023</w:t>
            </w:r>
          </w:p>
        </w:tc>
      </w:tr>
      <w:tr>
        <w:trPr>
          <w:trHeight w:val="702"/>
        </w:trPr>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March 6, 2023</w:t>
            </w:r>
          </w:p>
        </w:tc>
      </w:tr>
      <w:tr>
        <w:trPr>
          <w:trHeight w:val="702"/>
        </w:trPr>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March 6, 2023</w:t>
            </w:r>
          </w:p>
        </w:tc>
      </w:tr>
      <w:tr>
        <w:trPr>
          <w:trHeight w:val="702"/>
        </w:trPr>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March 6, 2023</w:t>
            </w:r>
          </w:p>
        </w:tc>
      </w:tr>
      <w:tr>
        <w:trPr>
          <w:trHeight w:val="702"/>
        </w:trPr>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March 6, 2023</w:t>
            </w:r>
          </w:p>
        </w:tc>
      </w:tr>
      <w:tr>
        <w:trPr>
          <w:trHeight w:val="702"/>
        </w:trPr>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March 6, 2023</w:t>
            </w:r>
          </w:p>
        </w:tc>
      </w:tr>
      <w:tr>
        <w:trPr>
          <w:trHeight w:val="702"/>
        </w:trPr>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March 6, 2023</w:t>
            </w:r>
          </w:p>
        </w:tc>
      </w:tr>
      <w:tr>
        <w:trPr>
          <w:trHeight w:val="702"/>
        </w:trPr>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March 6, 2023</w:t>
            </w:r>
          </w:p>
        </w:tc>
      </w:tr>
    </w:tbl>
    <w:p>
      <w:pPr>
        <w:spacing w:after="0" w:line="394" w:lineRule="exact"/>
        <w:rPr>
          <w:sz w:val="20"/>
          <w:szCs w:val="20"/>
          <w:color w:val="auto"/>
        </w:rPr>
      </w:pPr>
    </w:p>
    <w:p>
      <w:pPr>
        <w:sectPr>
          <w:pgSz w:w="11900" w:h="16838" w:orient="portrait"/>
          <w:cols w:equalWidth="0" w:num="2">
            <w:col w:w="3080" w:space="660"/>
            <w:col w:w="7500"/>
          </w:cols>
          <w:pgMar w:left="320" w:top="773" w:right="339" w:bottom="1440" w:gutter="0" w:footer="0" w:header="0"/>
          <w:type w:val="continuous"/>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6" w:name="page147"/>
    <w:bookmarkEnd w:id="146"/>
    <w:tbl>
      <w:tblPr>
        <w:tblLayout w:type="fixed"/>
        <w:tblInd w:w="1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60" w:type="dxa"/>
            <w:vAlign w:val="bottom"/>
            <w:gridSpan w:val="4"/>
          </w:tcPr>
          <w:p>
            <w:pPr>
              <w:jc w:val="center"/>
              <w:ind w:right="2340"/>
              <w:spacing w:after="0"/>
              <w:rPr>
                <w:sz w:val="20"/>
                <w:szCs w:val="20"/>
                <w:color w:val="auto"/>
              </w:rPr>
            </w:pPr>
            <w:r>
              <w:rPr>
                <w:rFonts w:ascii="Arial" w:cs="Arial" w:eastAsia="Arial" w:hAnsi="Arial"/>
                <w:sz w:val="18"/>
                <w:szCs w:val="18"/>
                <w:b w:val="1"/>
                <w:bCs w:val="1"/>
                <w:color w:val="auto"/>
              </w:rPr>
              <w:t>INDEX TO CONSOLIDATED FINANCIAL STATEMENTS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20" w:type="dxa"/>
            <w:vAlign w:val="bottom"/>
            <w:tcBorders>
              <w:bottom w:val="single" w:sz="8" w:color="0000FF"/>
            </w:tcBorders>
            <w:gridSpan w:val="9"/>
          </w:tcPr>
          <w:p>
            <w:pPr>
              <w:ind w:left="20"/>
              <w:spacing w:after="0"/>
              <w:rPr>
                <w:sz w:val="20"/>
                <w:szCs w:val="20"/>
                <w:color w:val="auto"/>
              </w:rPr>
            </w:pPr>
            <w:r>
              <w:rPr>
                <w:rFonts w:ascii="Arial" w:cs="Arial" w:eastAsia="Arial" w:hAnsi="Arial"/>
                <w:sz w:val="18"/>
                <w:szCs w:val="18"/>
                <w:color w:val="0000FF"/>
                <w:w w:val="92"/>
              </w:rPr>
              <w:t>Report of Independent Registered Public Accounting Firm (PCAOB ID: 42)</w:t>
            </w:r>
          </w:p>
        </w:tc>
        <w:tc>
          <w:tcPr>
            <w:tcW w:w="4900" w:type="dxa"/>
            <w:vAlign w:val="bottom"/>
          </w:tcPr>
          <w:p>
            <w:pPr>
              <w:spacing w:after="0"/>
              <w:rPr>
                <w:sz w:val="24"/>
                <w:szCs w:val="24"/>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09"/>
        </w:trPr>
        <w:tc>
          <w:tcPr>
            <w:tcW w:w="10420" w:type="dxa"/>
            <w:vAlign w:val="bottom"/>
            <w:gridSpan w:val="10"/>
          </w:tcPr>
          <w:p>
            <w:pPr>
              <w:ind w:left="20"/>
              <w:spacing w:after="0"/>
              <w:rPr>
                <w:sz w:val="20"/>
                <w:szCs w:val="20"/>
                <w:color w:val="auto"/>
              </w:rPr>
            </w:pPr>
            <w:r>
              <w:rPr>
                <w:rFonts w:ascii="Arial" w:cs="Arial" w:eastAsia="Arial" w:hAnsi="Arial"/>
                <w:sz w:val="18"/>
                <w:szCs w:val="18"/>
                <w:color w:val="0000FF"/>
              </w:rPr>
              <w:t>Consolidated Balance Sheets</w:t>
            </w: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640" w:type="dxa"/>
            <w:vAlign w:val="bottom"/>
            <w:tcBorders>
              <w:left w:val="single" w:sz="8" w:color="0000EE"/>
            </w:tcBorders>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tcBorders>
              <w:bottom w:val="single" w:sz="8" w:color="0000FF"/>
            </w:tcBorders>
            <w:gridSpan w:val="3"/>
          </w:tcPr>
          <w:p>
            <w:pPr>
              <w:ind w:left="20"/>
              <w:spacing w:after="0"/>
              <w:rPr>
                <w:sz w:val="20"/>
                <w:szCs w:val="20"/>
                <w:color w:val="auto"/>
              </w:rPr>
            </w:pPr>
            <w:r>
              <w:rPr>
                <w:rFonts w:ascii="Arial" w:cs="Arial" w:eastAsia="Arial" w:hAnsi="Arial"/>
                <w:sz w:val="18"/>
                <w:szCs w:val="18"/>
                <w:color w:val="0000FF"/>
                <w:w w:val="89"/>
              </w:rPr>
              <w:t>Consolidated Statements of Operations</w:t>
            </w:r>
          </w:p>
        </w:tc>
        <w:tc>
          <w:tcPr>
            <w:tcW w:w="20" w:type="dxa"/>
            <w:vAlign w:val="bottom"/>
            <w:tcBorders>
              <w:bottom w:val="single" w:sz="8" w:color="0000EE"/>
            </w:tcBorders>
          </w:tcPr>
          <w:p>
            <w:pPr>
              <w:spacing w:after="0"/>
              <w:rPr>
                <w:sz w:val="18"/>
                <w:szCs w:val="18"/>
                <w:color w:val="auto"/>
              </w:rPr>
            </w:pPr>
          </w:p>
        </w:tc>
        <w:tc>
          <w:tcPr>
            <w:tcW w:w="7560" w:type="dxa"/>
            <w:vAlign w:val="bottom"/>
            <w:gridSpan w:val="6"/>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0000FF"/>
            </w:tcBorders>
            <w:gridSpan w:val="7"/>
          </w:tcPr>
          <w:p>
            <w:pPr>
              <w:ind w:left="20"/>
              <w:spacing w:after="0"/>
              <w:rPr>
                <w:sz w:val="20"/>
                <w:szCs w:val="20"/>
                <w:color w:val="auto"/>
              </w:rPr>
            </w:pPr>
            <w:r>
              <w:rPr>
                <w:rFonts w:ascii="Arial" w:cs="Arial" w:eastAsia="Arial" w:hAnsi="Arial"/>
                <w:sz w:val="18"/>
                <w:szCs w:val="18"/>
                <w:color w:val="0000FF"/>
                <w:w w:val="89"/>
              </w:rPr>
              <w:t>Consolidated Statements of Comprehensive Loss</w:t>
            </w:r>
          </w:p>
        </w:tc>
        <w:tc>
          <w:tcPr>
            <w:tcW w:w="20" w:type="dxa"/>
            <w:vAlign w:val="bottom"/>
            <w:tcBorders>
              <w:bottom w:val="single" w:sz="8" w:color="0000EE"/>
            </w:tcBorders>
          </w:tcPr>
          <w:p>
            <w:pPr>
              <w:spacing w:after="0"/>
              <w:rPr>
                <w:sz w:val="18"/>
                <w:szCs w:val="18"/>
                <w:color w:val="auto"/>
              </w:rPr>
            </w:pPr>
          </w:p>
        </w:tc>
        <w:tc>
          <w:tcPr>
            <w:tcW w:w="6840" w:type="dxa"/>
            <w:vAlign w:val="bottom"/>
            <w:gridSpan w:val="2"/>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9"/>
        </w:trPr>
        <w:tc>
          <w:tcPr>
            <w:tcW w:w="10420" w:type="dxa"/>
            <w:vAlign w:val="bottom"/>
            <w:tcBorders>
              <w:bottom w:val="single" w:sz="8" w:color="0000FF"/>
            </w:tcBorders>
            <w:gridSpan w:val="10"/>
          </w:tcPr>
          <w:p>
            <w:pPr>
              <w:ind w:left="20"/>
              <w:spacing w:after="0"/>
              <w:rPr>
                <w:sz w:val="20"/>
                <w:szCs w:val="20"/>
                <w:color w:val="auto"/>
              </w:rPr>
            </w:pPr>
            <w:r>
              <w:rPr>
                <w:rFonts w:ascii="Arial" w:cs="Arial" w:eastAsia="Arial" w:hAnsi="Arial"/>
                <w:sz w:val="18"/>
                <w:szCs w:val="18"/>
                <w:color w:val="0000FF"/>
                <w:w w:val="90"/>
              </w:rPr>
              <w:t>Consolidated Statements of Redeemable Convertible Preferred Shares, Redeemable Noncontrolling Interest and Stockholders' Equity/Members'</w:t>
            </w:r>
          </w:p>
        </w:tc>
        <w:tc>
          <w:tcPr>
            <w:tcW w:w="820" w:type="dxa"/>
            <w:vAlign w:val="bottom"/>
            <w:vMerge w:val="restart"/>
          </w:tcPr>
          <w:p>
            <w:pPr>
              <w:ind w:left="56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28"/>
        </w:trPr>
        <w:tc>
          <w:tcPr>
            <w:tcW w:w="10420" w:type="dxa"/>
            <w:vAlign w:val="bottom"/>
            <w:gridSpan w:val="10"/>
            <w:vMerge w:val="restart"/>
          </w:tcPr>
          <w:p>
            <w:pPr>
              <w:ind w:left="20"/>
              <w:spacing w:after="0" w:line="196" w:lineRule="exact"/>
              <w:rPr>
                <w:sz w:val="20"/>
                <w:szCs w:val="20"/>
                <w:color w:val="auto"/>
              </w:rPr>
            </w:pPr>
            <w:r>
              <w:rPr>
                <w:rFonts w:ascii="Arial" w:cs="Arial" w:eastAsia="Arial" w:hAnsi="Arial"/>
                <w:sz w:val="18"/>
                <w:szCs w:val="18"/>
                <w:color w:val="0000FF"/>
              </w:rPr>
              <w:t>(Deficit)</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420" w:type="dxa"/>
            <w:vAlign w:val="bottom"/>
            <w:gridSpan w:val="10"/>
            <w:vMerge w:val="continue"/>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40" w:type="dxa"/>
            <w:vAlign w:val="bottom"/>
            <w:tcBorders>
              <w:left w:val="single" w:sz="8" w:color="0000EE"/>
            </w:tcBorders>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00" w:type="dxa"/>
            <w:vAlign w:val="bottom"/>
            <w:tcBorders>
              <w:bottom w:val="single" w:sz="8" w:color="0000FF"/>
            </w:tcBorders>
            <w:gridSpan w:val="5"/>
          </w:tcPr>
          <w:p>
            <w:pPr>
              <w:ind w:left="20"/>
              <w:spacing w:after="0"/>
              <w:rPr>
                <w:sz w:val="20"/>
                <w:szCs w:val="20"/>
                <w:color w:val="auto"/>
              </w:rPr>
            </w:pPr>
            <w:r>
              <w:rPr>
                <w:rFonts w:ascii="Arial" w:cs="Arial" w:eastAsia="Arial" w:hAnsi="Arial"/>
                <w:sz w:val="18"/>
                <w:szCs w:val="18"/>
                <w:color w:val="0000FF"/>
                <w:w w:val="89"/>
              </w:rPr>
              <w:t>Consolidated Statements of Cash Flows</w:t>
            </w:r>
          </w:p>
        </w:tc>
        <w:tc>
          <w:tcPr>
            <w:tcW w:w="7520" w:type="dxa"/>
            <w:vAlign w:val="bottom"/>
            <w:gridSpan w:val="5"/>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09"/>
        </w:trPr>
        <w:tc>
          <w:tcPr>
            <w:tcW w:w="10420" w:type="dxa"/>
            <w:vAlign w:val="bottom"/>
            <w:gridSpan w:val="10"/>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820" w:type="dxa"/>
            <w:vAlign w:val="bottom"/>
          </w:tcPr>
          <w:p>
            <w:pPr>
              <w:ind w:left="560"/>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642"/>
        </w:trPr>
        <w:tc>
          <w:tcPr>
            <w:tcW w:w="640" w:type="dxa"/>
            <w:vAlign w:val="bottom"/>
            <w:tcBorders>
              <w:top w:val="single" w:sz="8" w:color="0000FF"/>
            </w:tcBorders>
          </w:tcPr>
          <w:p>
            <w:pPr>
              <w:spacing w:after="0"/>
              <w:rPr>
                <w:sz w:val="24"/>
                <w:szCs w:val="24"/>
                <w:color w:val="auto"/>
              </w:rPr>
            </w:pPr>
          </w:p>
        </w:tc>
        <w:tc>
          <w:tcPr>
            <w:tcW w:w="14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gridSpan w:val="2"/>
          </w:tcPr>
          <w:p>
            <w:pPr>
              <w:jc w:val="center"/>
              <w:ind w:right="2760"/>
              <w:spacing w:after="0"/>
              <w:rPr>
                <w:sz w:val="20"/>
                <w:szCs w:val="20"/>
                <w:color w:val="auto"/>
              </w:rPr>
            </w:pPr>
            <w:r>
              <w:rPr>
                <w:rFonts w:ascii="Arial" w:cs="Arial" w:eastAsia="Arial" w:hAnsi="Arial"/>
                <w:sz w:val="18"/>
                <w:szCs w:val="18"/>
                <w:color w:val="auto"/>
                <w:w w:val="88"/>
              </w:rPr>
              <w:t>F-1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7" w:name="page148"/>
    <w:bookmarkEnd w:id="147"/>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Day One Biopharmaceuticals,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have audited the accompanying consolidated balance sheets of Day One Biopharmaceuticals, Inc. (the Company) as of December 31, 2022 and 2021, the related consolidated statements of operations, comprehensive loss, redeemable convertible preferred shares, redeemable noncontrolling interest and stockholders’ equity/members’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2023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Day One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4"/>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
        </w:trPr>
        <w:tc>
          <w:tcPr>
            <w:tcW w:w="7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75"/>
        </w:trPr>
        <w:tc>
          <w:tcPr>
            <w:tcW w:w="7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85,262</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284,309</w:t>
            </w:r>
          </w:p>
        </w:tc>
        <w:tc>
          <w:tcPr>
            <w:tcW w:w="100" w:type="dxa"/>
            <w:vAlign w:val="bottom"/>
            <w:shd w:val="clear" w:color="auto" w:fill="CFF0FC"/>
          </w:tcPr>
          <w:p>
            <w:pPr>
              <w:spacing w:after="0"/>
              <w:rPr>
                <w:sz w:val="15"/>
                <w:szCs w:val="15"/>
                <w:color w:val="auto"/>
              </w:rPr>
            </w:pPr>
          </w:p>
        </w:tc>
      </w:tr>
      <w:tr>
        <w:trPr>
          <w:trHeight w:val="176"/>
        </w:trPr>
        <w:tc>
          <w:tcPr>
            <w:tcW w:w="7280" w:type="dxa"/>
            <w:vAlign w:val="bottom"/>
          </w:tcPr>
          <w:p>
            <w:pPr>
              <w:ind w:left="20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257,007</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5,605</w:t>
            </w:r>
          </w:p>
        </w:tc>
        <w:tc>
          <w:tcPr>
            <w:tcW w:w="3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5,059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280" w:type="dxa"/>
            <w:vAlign w:val="bottom"/>
          </w:tcPr>
          <w:p>
            <w:pPr>
              <w:ind w:left="300"/>
              <w:spacing w:after="0"/>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347,874</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289,368</w:t>
            </w:r>
          </w:p>
        </w:tc>
        <w:tc>
          <w:tcPr>
            <w:tcW w:w="100" w:type="dxa"/>
            <w:vAlign w:val="bottom"/>
          </w:tcPr>
          <w:p>
            <w:pPr>
              <w:spacing w:after="0"/>
              <w:rPr>
                <w:sz w:val="14"/>
                <w:szCs w:val="14"/>
                <w:color w:val="auto"/>
              </w:rPr>
            </w:pPr>
          </w:p>
        </w:tc>
      </w:tr>
      <w:tr>
        <w:trPr>
          <w:trHeight w:val="169"/>
        </w:trPr>
        <w:tc>
          <w:tcPr>
            <w:tcW w:w="7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FF0FC"/>
          </w:tcPr>
          <w:p>
            <w:pPr>
              <w:spacing w:after="0"/>
              <w:rPr>
                <w:sz w:val="14"/>
                <w:szCs w:val="14"/>
                <w:color w:val="auto"/>
              </w:rPr>
            </w:pPr>
          </w:p>
        </w:tc>
      </w:tr>
      <w:tr>
        <w:trPr>
          <w:trHeight w:val="175"/>
        </w:trPr>
        <w:tc>
          <w:tcPr>
            <w:tcW w:w="7280" w:type="dxa"/>
            <w:vAlign w:val="bottom"/>
          </w:tcPr>
          <w:p>
            <w:pPr>
              <w:ind w:left="20"/>
              <w:spacing w:after="0"/>
              <w:rPr>
                <w:sz w:val="20"/>
                <w:szCs w:val="20"/>
                <w:color w:val="auto"/>
              </w:rPr>
            </w:pPr>
            <w:r>
              <w:rPr>
                <w:rFonts w:ascii="Arial" w:cs="Arial" w:eastAsia="Arial" w:hAnsi="Arial"/>
                <w:sz w:val="14"/>
                <w:szCs w:val="14"/>
                <w:color w:val="auto"/>
              </w:rPr>
              <w:t>Operating lease right-of-use asset</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699</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5"/>
                <w:szCs w:val="15"/>
                <w:color w:val="auto"/>
              </w:rPr>
            </w:pPr>
          </w:p>
        </w:tc>
      </w:tr>
      <w:tr>
        <w:trPr>
          <w:trHeight w:val="176"/>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Deposits and other long-term assets</w:t>
            </w:r>
          </w:p>
        </w:tc>
        <w:tc>
          <w:tcPr>
            <w:tcW w:w="2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469</w:t>
            </w:r>
          </w:p>
        </w:tc>
        <w:tc>
          <w:tcPr>
            <w:tcW w:w="3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28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349,062</w:t>
            </w:r>
          </w:p>
        </w:tc>
        <w:tc>
          <w:tcPr>
            <w:tcW w:w="30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289,821</w:t>
            </w:r>
          </w:p>
        </w:tc>
        <w:tc>
          <w:tcPr>
            <w:tcW w:w="100" w:type="dxa"/>
            <w:vAlign w:val="bottom"/>
          </w:tcPr>
          <w:p>
            <w:pPr>
              <w:spacing w:after="0"/>
              <w:rPr>
                <w:sz w:val="14"/>
                <w:szCs w:val="14"/>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28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7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1,744</w:t>
            </w:r>
          </w:p>
        </w:tc>
        <w:tc>
          <w:tcPr>
            <w:tcW w:w="100" w:type="dxa"/>
            <w:vAlign w:val="bottom"/>
            <w:shd w:val="clear" w:color="auto" w:fill="CFF0FC"/>
          </w:tcPr>
          <w:p>
            <w:pPr>
              <w:spacing w:after="0"/>
              <w:rPr>
                <w:sz w:val="15"/>
                <w:szCs w:val="15"/>
                <w:color w:val="auto"/>
              </w:rPr>
            </w:pPr>
          </w:p>
        </w:tc>
      </w:tr>
      <w:tr>
        <w:trPr>
          <w:trHeight w:val="176"/>
        </w:trPr>
        <w:tc>
          <w:tcPr>
            <w:tcW w:w="7280" w:type="dxa"/>
            <w:vAlign w:val="bottom"/>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15,950</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6,709</w:t>
            </w:r>
          </w:p>
        </w:tc>
        <w:tc>
          <w:tcPr>
            <w:tcW w:w="100" w:type="dxa"/>
            <w:vAlign w:val="bottom"/>
          </w:tcPr>
          <w:p>
            <w:pPr>
              <w:spacing w:after="0"/>
              <w:rPr>
                <w:sz w:val="15"/>
                <w:szCs w:val="15"/>
                <w:color w:val="auto"/>
              </w:rPr>
            </w:pPr>
          </w:p>
        </w:tc>
      </w:tr>
      <w:tr>
        <w:trPr>
          <w:trHeight w:val="175"/>
        </w:trPr>
        <w:tc>
          <w:tcPr>
            <w:tcW w:w="7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Current portion of operating lease liabilities</w:t>
            </w:r>
          </w:p>
        </w:tc>
        <w:tc>
          <w:tcPr>
            <w:tcW w:w="2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405</w:t>
            </w:r>
          </w:p>
        </w:tc>
        <w:tc>
          <w:tcPr>
            <w:tcW w:w="3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280" w:type="dxa"/>
            <w:vAlign w:val="bottom"/>
          </w:tcPr>
          <w:p>
            <w:pPr>
              <w:ind w:left="30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16,615</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8,657</w:t>
            </w:r>
          </w:p>
        </w:tc>
        <w:tc>
          <w:tcPr>
            <w:tcW w:w="100" w:type="dxa"/>
            <w:vAlign w:val="bottom"/>
          </w:tcPr>
          <w:p>
            <w:pPr>
              <w:spacing w:after="0"/>
              <w:rPr>
                <w:sz w:val="14"/>
                <w:szCs w:val="14"/>
                <w:color w:val="auto"/>
              </w:rPr>
            </w:pPr>
          </w:p>
        </w:tc>
      </w:tr>
      <w:tr>
        <w:trPr>
          <w:trHeight w:val="169"/>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Long-term portion of lease liabilities</w:t>
            </w:r>
          </w:p>
        </w:tc>
        <w:tc>
          <w:tcPr>
            <w:tcW w:w="28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408</w:t>
            </w:r>
          </w:p>
        </w:tc>
        <w:tc>
          <w:tcPr>
            <w:tcW w:w="3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280" w:type="dxa"/>
            <w:vAlign w:val="bottom"/>
          </w:tcPr>
          <w:p>
            <w:pPr>
              <w:ind w:left="30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17,023</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8,673</w:t>
            </w:r>
          </w:p>
        </w:tc>
        <w:tc>
          <w:tcPr>
            <w:tcW w:w="100" w:type="dxa"/>
            <w:vAlign w:val="bottom"/>
          </w:tcPr>
          <w:p>
            <w:pPr>
              <w:spacing w:after="0"/>
              <w:rPr>
                <w:sz w:val="14"/>
                <w:szCs w:val="14"/>
                <w:color w:val="auto"/>
              </w:rPr>
            </w:pPr>
          </w:p>
        </w:tc>
      </w:tr>
      <w:tr>
        <w:trPr>
          <w:trHeight w:val="169"/>
        </w:trPr>
        <w:tc>
          <w:tcPr>
            <w:tcW w:w="7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(Note 6)</w:t>
            </w:r>
          </w:p>
        </w:tc>
        <w:tc>
          <w:tcPr>
            <w:tcW w:w="2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2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72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w w:val="95"/>
              </w:rPr>
              <w:t>Common stock, $0.0001 par value; 500,000,000 shares authorized as of December 31, 2022 and 2021; 73,458,176 and</w:t>
            </w:r>
          </w:p>
        </w:tc>
        <w:tc>
          <w:tcPr>
            <w:tcW w:w="28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61,952,292 shares issued and outstanding as of December 31, 2022 and 2021, respectively</w:t>
            </w: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5"/>
                <w:szCs w:val="15"/>
                <w:color w:val="auto"/>
              </w:rPr>
            </w:pPr>
          </w:p>
        </w:tc>
      </w:tr>
      <w:tr>
        <w:trPr>
          <w:trHeight w:val="175"/>
        </w:trPr>
        <w:tc>
          <w:tcPr>
            <w:tcW w:w="7280" w:type="dxa"/>
            <w:vAlign w:val="bottom"/>
          </w:tcPr>
          <w:p>
            <w:pPr>
              <w:ind w:left="200"/>
              <w:spacing w:after="0"/>
              <w:rPr>
                <w:sz w:val="20"/>
                <w:szCs w:val="20"/>
                <w:color w:val="auto"/>
              </w:rPr>
            </w:pPr>
            <w:r>
              <w:rPr>
                <w:rFonts w:ascii="Arial" w:cs="Arial" w:eastAsia="Arial" w:hAnsi="Arial"/>
                <w:sz w:val="14"/>
                <w:szCs w:val="14"/>
                <w:color w:val="auto"/>
              </w:rPr>
              <w:t>Additional paid-in-capital</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601,771</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408,629</w:t>
            </w:r>
          </w:p>
        </w:tc>
        <w:tc>
          <w:tcPr>
            <w:tcW w:w="100" w:type="dxa"/>
            <w:vAlign w:val="bottom"/>
          </w:tcPr>
          <w:p>
            <w:pPr>
              <w:spacing w:after="0"/>
              <w:rPr>
                <w:sz w:val="15"/>
                <w:szCs w:val="15"/>
                <w:color w:val="auto"/>
              </w:rPr>
            </w:pPr>
          </w:p>
        </w:tc>
      </w:tr>
      <w:tr>
        <w:trPr>
          <w:trHeight w:val="176"/>
        </w:trPr>
        <w:tc>
          <w:tcPr>
            <w:tcW w:w="7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(71 )</w:t>
            </w:r>
          </w:p>
        </w:tc>
        <w:tc>
          <w:tcPr>
            <w:tcW w:w="28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728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280" w:type="dxa"/>
            <w:vAlign w:val="bottom"/>
          </w:tcPr>
          <w:p>
            <w:pPr>
              <w:spacing w:after="0"/>
              <w:rPr>
                <w:sz w:val="15"/>
                <w:szCs w:val="15"/>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4"/>
                <w:szCs w:val="14"/>
                <w:color w:val="auto"/>
              </w:rPr>
              <w:t>(269,668 )</w:t>
            </w:r>
          </w:p>
        </w:tc>
        <w:tc>
          <w:tcPr>
            <w:tcW w:w="280" w:type="dxa"/>
            <w:vAlign w:val="bottom"/>
          </w:tcPr>
          <w:p>
            <w:pPr>
              <w:spacing w:after="0"/>
              <w:rPr>
                <w:sz w:val="15"/>
                <w:szCs w:val="15"/>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4"/>
                <w:szCs w:val="14"/>
                <w:color w:val="auto"/>
              </w:rPr>
              <w:t>(127,487 )</w:t>
            </w:r>
          </w:p>
        </w:tc>
      </w:tr>
      <w:tr>
        <w:trPr>
          <w:trHeight w:val="169"/>
        </w:trPr>
        <w:tc>
          <w:tcPr>
            <w:tcW w:w="72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332,039</w:t>
            </w:r>
          </w:p>
        </w:tc>
        <w:tc>
          <w:tcPr>
            <w:tcW w:w="3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281,148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280" w:type="dxa"/>
            <w:vAlign w:val="bottom"/>
          </w:tcPr>
          <w:p>
            <w:pPr>
              <w:ind w:left="30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349,062</w:t>
            </w:r>
          </w:p>
        </w:tc>
        <w:tc>
          <w:tcPr>
            <w:tcW w:w="30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289,821</w:t>
            </w:r>
          </w:p>
        </w:tc>
        <w:tc>
          <w:tcPr>
            <w:tcW w:w="100" w:type="dxa"/>
            <w:vAlign w:val="bottom"/>
          </w:tcPr>
          <w:p>
            <w:pPr>
              <w:spacing w:after="0"/>
              <w:rPr>
                <w:sz w:val="14"/>
                <w:szCs w:val="14"/>
                <w:color w:val="auto"/>
              </w:rPr>
            </w:pP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-2562860</wp:posOffset>
            </wp:positionV>
            <wp:extent cx="7683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-2562860</wp:posOffset>
            </wp:positionV>
            <wp:extent cx="6858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-2099945</wp:posOffset>
            </wp:positionV>
            <wp:extent cx="76835" cy="145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-1397000</wp:posOffset>
            </wp:positionV>
            <wp:extent cx="7683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-1397000</wp:posOffset>
            </wp:positionV>
            <wp:extent cx="6858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-1156970</wp:posOffset>
            </wp:positionV>
            <wp:extent cx="7683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-145415</wp:posOffset>
            </wp:positionV>
            <wp:extent cx="76835" cy="146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9" w:name="page150"/>
    <w:bookmarkEnd w:id="149"/>
    <w:p>
      <w:pPr>
        <w:ind w:left="4280"/>
        <w:spacing w:after="0"/>
        <w:rPr>
          <w:sz w:val="20"/>
          <w:szCs w:val="20"/>
          <w:color w:val="auto"/>
        </w:rPr>
      </w:pPr>
      <w:r>
        <w:rPr>
          <w:rFonts w:ascii="Arial" w:cs="Arial" w:eastAsia="Arial" w:hAnsi="Arial"/>
          <w:sz w:val="18"/>
          <w:szCs w:val="18"/>
          <w:b w:val="1"/>
          <w:bCs w:val="1"/>
          <w:color w:val="auto"/>
        </w:rPr>
        <w:t>Day One Biopharmaceuticals, Inc.</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85,618</w:t>
            </w:r>
          </w:p>
        </w:tc>
        <w:tc>
          <w:tcPr>
            <w:tcW w:w="100" w:type="dxa"/>
            <w:vAlign w:val="bottom"/>
          </w:tcPr>
          <w:p>
            <w:pPr>
              <w:spacing w:after="0"/>
              <w:rPr>
                <w:sz w:val="20"/>
                <w:szCs w:val="20"/>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43,584</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61,291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29,159</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72,743</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(146,909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(72,743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9"/>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(15 )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Changes in fair value of derivative tranche liability</w:t>
            </w:r>
          </w:p>
        </w:tc>
        <w:tc>
          <w:tcPr>
            <w:tcW w:w="32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(30,000 )</w:t>
            </w:r>
          </w:p>
        </w:tc>
        <w:tc>
          <w:tcPr>
            <w:tcW w:w="0" w:type="dxa"/>
            <w:vAlign w:val="bottom"/>
          </w:tcPr>
          <w:p>
            <w:pPr>
              <w:spacing w:after="0"/>
              <w:rPr>
                <w:sz w:val="1"/>
                <w:szCs w:val="1"/>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(142,181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(72,754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(43,843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Net loss attributable to redeemable convertible noncontrolling interest</w:t>
            </w:r>
          </w:p>
        </w:tc>
        <w:tc>
          <w:tcPr>
            <w:tcW w:w="32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(2,109 )</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(3,336 )</w:t>
            </w:r>
          </w:p>
        </w:tc>
        <w:tc>
          <w:tcPr>
            <w:tcW w:w="0" w:type="dxa"/>
            <w:vAlign w:val="bottom"/>
          </w:tcPr>
          <w:p>
            <w:pPr>
              <w:spacing w:after="0"/>
              <w:rPr>
                <w:sz w:val="1"/>
                <w:szCs w:val="1"/>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Exchange of redeemable noncontrolling interest shares – deemed dividend</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(99,994 )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stockholders/members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(142,181 )</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(170,639 )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(40,507 )</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number of common shares used in computing</w:t>
            </w:r>
          </w:p>
        </w:tc>
        <w:tc>
          <w:tcPr>
            <w:tcW w:w="3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65,466,773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36,960,569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5,529,519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60"/>
              <w:spacing w:after="0" w:line="203" w:lineRule="exact"/>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-1919605</wp:posOffset>
            </wp:positionV>
            <wp:extent cx="7747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-1919605</wp:posOffset>
            </wp:positionV>
            <wp:extent cx="6858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-659130</wp:posOffset>
            </wp:positionV>
            <wp:extent cx="7747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-659130</wp:posOffset>
            </wp:positionV>
            <wp:extent cx="6858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-316230</wp:posOffset>
            </wp:positionV>
            <wp:extent cx="2100580" cy="316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2100580" cy="31686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0" w:name="page151"/>
    <w:bookmarkEnd w:id="150"/>
    <w:p>
      <w:pPr>
        <w:jc w:val="center"/>
        <w:ind w:right="40"/>
        <w:spacing w:after="0"/>
        <w:rPr>
          <w:sz w:val="20"/>
          <w:szCs w:val="20"/>
          <w:color w:val="auto"/>
        </w:rPr>
      </w:pPr>
      <w:r>
        <w:rPr>
          <w:rFonts w:ascii="Arial" w:cs="Arial" w:eastAsia="Arial" w:hAnsi="Arial"/>
          <w:sz w:val="18"/>
          <w:szCs w:val="18"/>
          <w:b w:val="1"/>
          <w:bCs w:val="1"/>
          <w:color w:val="auto"/>
        </w:rPr>
        <w:t>Day One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6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37"/>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(142,181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(72,754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(43,843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on available-for-sale securities</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6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(142,252 )</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(72,754 )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(43,843 )</w:t>
            </w: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-187960</wp:posOffset>
            </wp:positionV>
            <wp:extent cx="77470"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1" w:name="page152"/>
    <w:bookmarkEnd w:id="151"/>
    <w:p>
      <w:pPr>
        <w:ind w:left="4560"/>
        <w:spacing w:after="0"/>
        <w:rPr>
          <w:sz w:val="20"/>
          <w:szCs w:val="20"/>
          <w:color w:val="auto"/>
        </w:rPr>
      </w:pPr>
      <w:r>
        <w:rPr>
          <w:rFonts w:ascii="Arial" w:cs="Arial" w:eastAsia="Arial" w:hAnsi="Arial"/>
          <w:sz w:val="14"/>
          <w:szCs w:val="14"/>
          <w:b w:val="1"/>
          <w:bCs w:val="1"/>
          <w:color w:val="auto"/>
        </w:rPr>
        <w:t>Day One Biopharmaceuticals, Inc.</w:t>
      </w:r>
    </w:p>
    <w:p>
      <w:pPr>
        <w:ind w:left="2180"/>
        <w:spacing w:after="0" w:line="226" w:lineRule="auto"/>
        <w:rPr>
          <w:sz w:val="20"/>
          <w:szCs w:val="20"/>
          <w:color w:val="auto"/>
        </w:rPr>
      </w:pPr>
      <w:r>
        <w:rPr>
          <w:rFonts w:ascii="Arial" w:cs="Arial" w:eastAsia="Arial" w:hAnsi="Arial"/>
          <w:sz w:val="14"/>
          <w:szCs w:val="14"/>
          <w:b w:val="1"/>
          <w:bCs w:val="1"/>
          <w:color w:val="auto"/>
        </w:rPr>
        <w:t>Consolidated Statements of Redeemable Convertible Preferred Shares, Redeemable Noncontrolling Interest and</w:t>
      </w:r>
    </w:p>
    <w:p>
      <w:pPr>
        <w:ind w:left="4320"/>
        <w:spacing w:after="0" w:line="221" w:lineRule="auto"/>
        <w:rPr>
          <w:sz w:val="20"/>
          <w:szCs w:val="20"/>
          <w:color w:val="auto"/>
        </w:rPr>
      </w:pPr>
      <w:r>
        <w:rPr>
          <w:rFonts w:ascii="Arial" w:cs="Arial" w:eastAsia="Arial" w:hAnsi="Arial"/>
          <w:sz w:val="14"/>
          <w:szCs w:val="14"/>
          <w:b w:val="1"/>
          <w:bCs w:val="1"/>
          <w:color w:val="auto"/>
        </w:rPr>
        <w:t>Stockholders’ Equity/ Members’ (Deficit)</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4"/>
          <w:szCs w:val="14"/>
          <w:i w:val="1"/>
          <w:iCs w:val="1"/>
          <w:color w:val="auto"/>
        </w:rPr>
        <w:t>(in thousands, except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Redeemabl</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3"/>
          </w:tcPr>
          <w:p>
            <w:pPr>
              <w:ind w:left="40"/>
              <w:spacing w:after="0"/>
              <w:rPr>
                <w:sz w:val="20"/>
                <w:szCs w:val="20"/>
                <w:color w:val="auto"/>
              </w:rPr>
            </w:pPr>
            <w:r>
              <w:rPr>
                <w:rFonts w:ascii="Arial" w:cs="Arial" w:eastAsia="Arial" w:hAnsi="Arial"/>
                <w:sz w:val="11"/>
                <w:szCs w:val="11"/>
                <w:b w:val="1"/>
                <w:bCs w:val="1"/>
                <w:color w:val="auto"/>
              </w:rPr>
              <w:t>Stockholde</w:t>
            </w:r>
          </w:p>
        </w:tc>
        <w:tc>
          <w:tcPr>
            <w:tcW w:w="0" w:type="dxa"/>
            <w:vAlign w:val="bottom"/>
          </w:tcPr>
          <w:p>
            <w:pPr>
              <w:spacing w:after="0"/>
              <w:rPr>
                <w:sz w:val="1"/>
                <w:szCs w:val="1"/>
                <w:color w:val="auto"/>
              </w:rPr>
            </w:pPr>
          </w:p>
        </w:tc>
      </w:tr>
      <w:tr>
        <w:trPr>
          <w:trHeight w:val="122"/>
        </w:trPr>
        <w:tc>
          <w:tcPr>
            <w:tcW w:w="1920" w:type="dxa"/>
            <w:vAlign w:val="bottom"/>
          </w:tcPr>
          <w:p>
            <w:pPr>
              <w:spacing w:after="0"/>
              <w:rPr>
                <w:sz w:val="10"/>
                <w:szCs w:val="10"/>
                <w:color w:val="auto"/>
              </w:rPr>
            </w:pPr>
          </w:p>
        </w:tc>
        <w:tc>
          <w:tcPr>
            <w:tcW w:w="1620" w:type="dxa"/>
            <w:vAlign w:val="bottom"/>
            <w:gridSpan w:val="5"/>
            <w:vMerge w:val="restart"/>
          </w:tcPr>
          <w:p>
            <w:pPr>
              <w:jc w:val="right"/>
              <w:ind w:right="360"/>
              <w:spacing w:after="0"/>
              <w:rPr>
                <w:sz w:val="20"/>
                <w:szCs w:val="20"/>
                <w:color w:val="auto"/>
              </w:rPr>
            </w:pPr>
            <w:r>
              <w:rPr>
                <w:rFonts w:ascii="Arial" w:cs="Arial" w:eastAsia="Arial" w:hAnsi="Arial"/>
                <w:sz w:val="11"/>
                <w:szCs w:val="11"/>
                <w:b w:val="1"/>
                <w:bCs w:val="1"/>
                <w:color w:val="auto"/>
                <w:w w:val="96"/>
              </w:rPr>
              <w:t>Redeemable Convertible</w:t>
            </w:r>
          </w:p>
        </w:tc>
        <w:tc>
          <w:tcPr>
            <w:tcW w:w="80" w:type="dxa"/>
            <w:vAlign w:val="bottom"/>
          </w:tcPr>
          <w:p>
            <w:pPr>
              <w:spacing w:after="0"/>
              <w:rPr>
                <w:sz w:val="10"/>
                <w:szCs w:val="10"/>
                <w:color w:val="auto"/>
              </w:rPr>
            </w:pPr>
          </w:p>
        </w:tc>
        <w:tc>
          <w:tcPr>
            <w:tcW w:w="7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71"/>
              </w:rPr>
              <w:t>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89"/>
              </w:rPr>
              <w:t>Addition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rs'</w:t>
            </w:r>
          </w:p>
        </w:tc>
        <w:tc>
          <w:tcPr>
            <w:tcW w:w="0" w:type="dxa"/>
            <w:vAlign w:val="bottom"/>
          </w:tcPr>
          <w:p>
            <w:pPr>
              <w:spacing w:after="0"/>
              <w:rPr>
                <w:sz w:val="1"/>
                <w:szCs w:val="1"/>
                <w:color w:val="auto"/>
              </w:rPr>
            </w:pPr>
          </w:p>
        </w:tc>
      </w:tr>
      <w:tr>
        <w:trPr>
          <w:trHeight w:val="108"/>
        </w:trPr>
        <w:tc>
          <w:tcPr>
            <w:tcW w:w="192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800" w:type="dxa"/>
            <w:vAlign w:val="bottom"/>
            <w:tcBorders>
              <w:right w:val="single" w:sz="8" w:color="auto"/>
            </w:tcBorders>
            <w:gridSpan w:val="3"/>
          </w:tcPr>
          <w:p>
            <w:pPr>
              <w:ind w:left="20"/>
              <w:spacing w:after="0" w:line="109" w:lineRule="exact"/>
              <w:rPr>
                <w:sz w:val="20"/>
                <w:szCs w:val="20"/>
                <w:color w:val="auto"/>
              </w:rPr>
            </w:pPr>
            <w:r>
              <w:rPr>
                <w:rFonts w:ascii="Arial" w:cs="Arial" w:eastAsia="Arial" w:hAnsi="Arial"/>
                <w:sz w:val="11"/>
                <w:szCs w:val="11"/>
                <w:b w:val="1"/>
                <w:bCs w:val="1"/>
                <w:color w:val="auto"/>
              </w:rPr>
              <w:t>Noncontrol</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jc w:val="center"/>
              <w:ind w:right="46"/>
              <w:spacing w:after="0" w:line="109" w:lineRule="exact"/>
              <w:rPr>
                <w:sz w:val="20"/>
                <w:szCs w:val="20"/>
                <w:color w:val="auto"/>
              </w:rPr>
            </w:pPr>
            <w:r>
              <w:rPr>
                <w:rFonts w:ascii="Arial" w:cs="Arial" w:eastAsia="Arial" w:hAnsi="Arial"/>
                <w:sz w:val="11"/>
                <w:szCs w:val="11"/>
                <w:b w:val="1"/>
                <w:bCs w:val="1"/>
                <w:color w:val="auto"/>
                <w:w w:val="86"/>
              </w:rPr>
              <w:t>al</w:t>
            </w:r>
          </w:p>
        </w:tc>
        <w:tc>
          <w:tcPr>
            <w:tcW w:w="220" w:type="dxa"/>
            <w:vAlign w:val="bottom"/>
          </w:tcPr>
          <w:p>
            <w:pPr>
              <w:spacing w:after="0"/>
              <w:rPr>
                <w:sz w:val="9"/>
                <w:szCs w:val="9"/>
                <w:color w:val="auto"/>
              </w:rPr>
            </w:pPr>
          </w:p>
        </w:tc>
        <w:tc>
          <w:tcPr>
            <w:tcW w:w="78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auto"/>
              </w:rPr>
              <w:t>Accumulate</w:t>
            </w:r>
          </w:p>
        </w:tc>
        <w:tc>
          <w:tcPr>
            <w:tcW w:w="80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auto"/>
              </w:rPr>
              <w:t>Accumulate</w:t>
            </w:r>
          </w:p>
        </w:tc>
        <w:tc>
          <w:tcPr>
            <w:tcW w:w="680" w:type="dxa"/>
            <w:vAlign w:val="bottom"/>
            <w:gridSpan w:val="3"/>
          </w:tcPr>
          <w:p>
            <w:pPr>
              <w:ind w:left="40"/>
              <w:spacing w:after="0" w:line="109" w:lineRule="exact"/>
              <w:rPr>
                <w:sz w:val="20"/>
                <w:szCs w:val="20"/>
                <w:color w:val="auto"/>
              </w:rPr>
            </w:pPr>
            <w:r>
              <w:rPr>
                <w:rFonts w:ascii="Arial" w:cs="Arial" w:eastAsia="Arial" w:hAnsi="Arial"/>
                <w:sz w:val="11"/>
                <w:szCs w:val="11"/>
                <w:b w:val="1"/>
                <w:bCs w:val="1"/>
                <w:color w:val="auto"/>
              </w:rPr>
              <w:t>Equity/Me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20" w:type="dxa"/>
            <w:vAlign w:val="bottom"/>
            <w:gridSpan w:val="5"/>
          </w:tcPr>
          <w:p>
            <w:pPr>
              <w:jc w:val="right"/>
              <w:ind w:right="540"/>
              <w:spacing w:after="0"/>
              <w:rPr>
                <w:sz w:val="20"/>
                <w:szCs w:val="20"/>
                <w:color w:val="auto"/>
              </w:rPr>
            </w:pPr>
            <w:r>
              <w:rPr>
                <w:rFonts w:ascii="Arial" w:cs="Arial" w:eastAsia="Arial" w:hAnsi="Arial"/>
                <w:sz w:val="11"/>
                <w:szCs w:val="11"/>
                <w:b w:val="1"/>
                <w:bCs w:val="1"/>
                <w:color w:val="auto"/>
              </w:rPr>
              <w:t>Preferred Shares</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1"/>
              </w:rPr>
              <w:t>ling</w:t>
            </w:r>
          </w:p>
        </w:tc>
        <w:tc>
          <w:tcPr>
            <w:tcW w:w="100" w:type="dxa"/>
            <w:vAlign w:val="bottom"/>
          </w:tcPr>
          <w:p>
            <w:pPr>
              <w:spacing w:after="0"/>
              <w:rPr>
                <w:sz w:val="12"/>
                <w:szCs w:val="12"/>
                <w:color w:val="auto"/>
              </w:rPr>
            </w:pPr>
          </w:p>
        </w:tc>
        <w:tc>
          <w:tcPr>
            <w:tcW w:w="880" w:type="dxa"/>
            <w:vAlign w:val="bottom"/>
            <w:gridSpan w:val="3"/>
          </w:tcPr>
          <w:p>
            <w:pPr>
              <w:ind w:left="160"/>
              <w:spacing w:after="0"/>
              <w:rPr>
                <w:sz w:val="20"/>
                <w:szCs w:val="20"/>
                <w:color w:val="auto"/>
              </w:rPr>
            </w:pPr>
            <w:r>
              <w:rPr>
                <w:rFonts w:ascii="Arial" w:cs="Arial" w:eastAsia="Arial" w:hAnsi="Arial"/>
                <w:sz w:val="11"/>
                <w:szCs w:val="11"/>
                <w:b w:val="1"/>
                <w:bCs w:val="1"/>
                <w:color w:val="auto"/>
                <w:w w:val="86"/>
              </w:rPr>
              <w:t>Common Stock</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5"/>
          </w:tcPr>
          <w:p>
            <w:pPr>
              <w:jc w:val="right"/>
              <w:ind w:right="380"/>
              <w:spacing w:after="0"/>
              <w:rPr>
                <w:sz w:val="20"/>
                <w:szCs w:val="20"/>
                <w:color w:val="auto"/>
              </w:rPr>
            </w:pPr>
            <w:r>
              <w:rPr>
                <w:rFonts w:ascii="Arial" w:cs="Arial" w:eastAsia="Arial" w:hAnsi="Arial"/>
                <w:sz w:val="11"/>
                <w:szCs w:val="11"/>
                <w:b w:val="1"/>
                <w:bCs w:val="1"/>
                <w:color w:val="auto"/>
              </w:rPr>
              <w:t>Common Shares</w:t>
            </w:r>
          </w:p>
        </w:tc>
        <w:tc>
          <w:tcPr>
            <w:tcW w:w="1340" w:type="dxa"/>
            <w:vAlign w:val="bottom"/>
            <w:gridSpan w:val="5"/>
          </w:tcPr>
          <w:p>
            <w:pPr>
              <w:jc w:val="right"/>
              <w:ind w:right="400"/>
              <w:spacing w:after="0"/>
              <w:rPr>
                <w:sz w:val="20"/>
                <w:szCs w:val="20"/>
                <w:color w:val="auto"/>
              </w:rPr>
            </w:pPr>
            <w:r>
              <w:rPr>
                <w:rFonts w:ascii="Arial" w:cs="Arial" w:eastAsia="Arial" w:hAnsi="Arial"/>
                <w:sz w:val="11"/>
                <w:szCs w:val="11"/>
                <w:b w:val="1"/>
                <w:bCs w:val="1"/>
                <w:color w:val="auto"/>
              </w:rPr>
              <w:t>Incentive Shares</w:t>
            </w:r>
          </w:p>
        </w:tc>
        <w:tc>
          <w:tcPr>
            <w:tcW w:w="4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Paid-In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7"/>
              </w:rPr>
              <w:t>d Other</w:t>
            </w:r>
          </w:p>
        </w:tc>
        <w:tc>
          <w:tcPr>
            <w:tcW w:w="120" w:type="dxa"/>
            <w:vAlign w:val="bottom"/>
          </w:tcPr>
          <w:p>
            <w:pPr>
              <w:spacing w:after="0"/>
              <w:rPr>
                <w:sz w:val="12"/>
                <w:szCs w:val="12"/>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mbers'</w:t>
            </w:r>
          </w:p>
        </w:tc>
        <w:tc>
          <w:tcPr>
            <w:tcW w:w="0" w:type="dxa"/>
            <w:vAlign w:val="bottom"/>
          </w:tcPr>
          <w:p>
            <w:pPr>
              <w:spacing w:after="0"/>
              <w:rPr>
                <w:sz w:val="1"/>
                <w:szCs w:val="1"/>
                <w:color w:val="auto"/>
              </w:rPr>
            </w:pPr>
          </w:p>
        </w:tc>
      </w:tr>
      <w:tr>
        <w:trPr>
          <w:trHeight w:val="115"/>
        </w:trPr>
        <w:tc>
          <w:tcPr>
            <w:tcW w:w="19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gridSpan w:val="2"/>
          </w:tcPr>
          <w:p>
            <w:pPr>
              <w:ind w:left="40"/>
              <w:spacing w:after="0" w:line="115" w:lineRule="exact"/>
              <w:rPr>
                <w:sz w:val="20"/>
                <w:szCs w:val="20"/>
                <w:color w:val="auto"/>
              </w:rPr>
            </w:pPr>
            <w:r>
              <w:rPr>
                <w:rFonts w:ascii="Arial" w:cs="Arial" w:eastAsia="Arial" w:hAnsi="Arial"/>
                <w:sz w:val="11"/>
                <w:szCs w:val="11"/>
                <w:b w:val="1"/>
                <w:bCs w:val="1"/>
                <w:color w:val="auto"/>
                <w:w w:val="90"/>
              </w:rPr>
              <w:t>Am</w:t>
            </w:r>
          </w:p>
        </w:tc>
        <w:tc>
          <w:tcPr>
            <w:tcW w:w="2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oun</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Amoun</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Amoun</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Comprehen</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90"/>
              </w:rPr>
              <w:t>Interest</w:t>
            </w:r>
          </w:p>
        </w:tc>
        <w:tc>
          <w:tcPr>
            <w:tcW w:w="100" w:type="dxa"/>
            <w:vAlign w:val="bottom"/>
          </w:tcPr>
          <w:p>
            <w:pPr>
              <w:spacing w:after="0"/>
              <w:rPr>
                <w:sz w:val="12"/>
                <w:szCs w:val="12"/>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340" w:type="dxa"/>
            <w:vAlign w:val="bottom"/>
            <w:gridSpan w:val="2"/>
          </w:tcPr>
          <w:p>
            <w:pPr>
              <w:ind w:left="20"/>
              <w:spacing w:after="0"/>
              <w:rPr>
                <w:sz w:val="20"/>
                <w:szCs w:val="20"/>
                <w:color w:val="auto"/>
              </w:rPr>
            </w:pPr>
            <w:r>
              <w:rPr>
                <w:rFonts w:ascii="Arial" w:cs="Arial" w:eastAsia="Arial" w:hAnsi="Arial"/>
                <w:sz w:val="11"/>
                <w:szCs w:val="11"/>
                <w:b w:val="1"/>
                <w:bCs w:val="1"/>
                <w:color w:val="auto"/>
              </w:rPr>
              <w:t>t</w:t>
            </w:r>
          </w:p>
        </w:tc>
        <w:tc>
          <w:tcPr>
            <w:tcW w:w="7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4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t</w:t>
            </w:r>
          </w:p>
        </w:tc>
        <w:tc>
          <w:tcPr>
            <w:tcW w:w="7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50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t</w:t>
            </w:r>
          </w:p>
        </w:tc>
        <w:tc>
          <w:tcPr>
            <w:tcW w:w="4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Capital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79"/>
              </w:rPr>
              <w:t>sive Loss</w:t>
            </w:r>
          </w:p>
        </w:tc>
        <w:tc>
          <w:tcPr>
            <w:tcW w:w="120" w:type="dxa"/>
            <w:vAlign w:val="bottom"/>
          </w:tcPr>
          <w:p>
            <w:pPr>
              <w:spacing w:after="0"/>
              <w:rPr>
                <w:sz w:val="12"/>
                <w:szCs w:val="12"/>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w w:val="95"/>
              </w:rPr>
              <w:t>Deficit</w:t>
            </w:r>
          </w:p>
        </w:tc>
        <w:tc>
          <w:tcPr>
            <w:tcW w:w="80" w:type="dxa"/>
            <w:vAlign w:val="bottom"/>
          </w:tcPr>
          <w:p>
            <w:pPr>
              <w:spacing w:after="0"/>
              <w:rPr>
                <w:sz w:val="12"/>
                <w:szCs w:val="12"/>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123"/>
        </w:trPr>
        <w:tc>
          <w:tcPr>
            <w:tcW w:w="1920" w:type="dxa"/>
            <w:vAlign w:val="bottom"/>
            <w:shd w:val="clear" w:color="auto" w:fill="CFF0FC"/>
          </w:tcPr>
          <w:p>
            <w:pPr>
              <w:ind w:left="20"/>
              <w:spacing w:after="0" w:line="123" w:lineRule="exact"/>
              <w:rPr>
                <w:sz w:val="20"/>
                <w:szCs w:val="20"/>
                <w:color w:val="auto"/>
              </w:rPr>
            </w:pPr>
            <w:r>
              <w:rPr>
                <w:rFonts w:ascii="Arial" w:cs="Arial" w:eastAsia="Arial" w:hAnsi="Arial"/>
                <w:sz w:val="11"/>
                <w:szCs w:val="11"/>
                <w:b w:val="1"/>
                <w:bCs w:val="1"/>
                <w:color w:val="auto"/>
              </w:rPr>
              <w:t>Balance at December 31, 2019</w:t>
            </w:r>
          </w:p>
        </w:tc>
        <w:tc>
          <w:tcPr>
            <w:tcW w:w="620" w:type="dxa"/>
            <w:vAlign w:val="bottom"/>
            <w:tcBorders>
              <w:top w:val="single" w:sz="8" w:color="auto"/>
            </w:tcBorders>
            <w:shd w:val="clear" w:color="auto" w:fill="CFF0FC"/>
          </w:tcPr>
          <w:p>
            <w:pPr>
              <w:jc w:val="right"/>
              <w:spacing w:after="0" w:line="123" w:lineRule="exact"/>
              <w:rPr>
                <w:sz w:val="20"/>
                <w:szCs w:val="20"/>
                <w:color w:val="auto"/>
              </w:rPr>
            </w:pPr>
            <w:r>
              <w:rPr>
                <w:rFonts w:ascii="Arial" w:cs="Arial" w:eastAsia="Arial" w:hAnsi="Arial"/>
                <w:sz w:val="11"/>
                <w:szCs w:val="11"/>
                <w:color w:val="auto"/>
              </w:rPr>
              <w:t>12,502,75</w:t>
            </w: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jc w:val="right"/>
              <w:spacing w:after="0" w:line="123" w:lineRule="exact"/>
              <w:rPr>
                <w:sz w:val="20"/>
                <w:szCs w:val="20"/>
                <w:color w:val="auto"/>
              </w:rPr>
            </w:pPr>
            <w:r>
              <w:rPr>
                <w:rFonts w:ascii="Arial" w:cs="Arial" w:eastAsia="Arial" w:hAnsi="Arial"/>
                <w:sz w:val="11"/>
                <w:szCs w:val="11"/>
                <w:color w:val="auto"/>
              </w:rPr>
              <w:t>6,035,86</w:t>
            </w: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jc w:val="right"/>
              <w:spacing w:after="0" w:line="123" w:lineRule="exact"/>
              <w:rPr>
                <w:sz w:val="20"/>
                <w:szCs w:val="20"/>
                <w:color w:val="auto"/>
              </w:rPr>
            </w:pPr>
            <w:r>
              <w:rPr>
                <w:rFonts w:ascii="Arial" w:cs="Arial" w:eastAsia="Arial" w:hAnsi="Arial"/>
                <w:sz w:val="11"/>
                <w:szCs w:val="11"/>
                <w:color w:val="auto"/>
              </w:rPr>
              <w:t>1,488,42</w:t>
            </w: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30,504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5,487</w:t>
            </w: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2,000</w:t>
            </w: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(12,784 )</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(10,673 )</w:t>
            </w:r>
          </w:p>
        </w:tc>
        <w:tc>
          <w:tcPr>
            <w:tcW w:w="0" w:type="dxa"/>
            <w:vAlign w:val="bottom"/>
          </w:tcPr>
          <w:p>
            <w:pPr>
              <w:spacing w:after="0"/>
              <w:rPr>
                <w:sz w:val="1"/>
                <w:szCs w:val="1"/>
                <w:color w:val="auto"/>
              </w:rPr>
            </w:pPr>
          </w:p>
        </w:tc>
      </w:tr>
      <w:tr>
        <w:trPr>
          <w:trHeight w:val="123"/>
        </w:trPr>
        <w:tc>
          <w:tcPr>
            <w:tcW w:w="1920" w:type="dxa"/>
            <w:vAlign w:val="bottom"/>
            <w:tcBorders>
              <w:top w:val="single" w:sz="8" w:color="CFF0FC"/>
            </w:tcBorders>
          </w:tcPr>
          <w:p>
            <w:pPr>
              <w:ind w:left="20"/>
              <w:spacing w:after="0" w:line="123" w:lineRule="exact"/>
              <w:rPr>
                <w:sz w:val="20"/>
                <w:szCs w:val="20"/>
                <w:color w:val="auto"/>
              </w:rPr>
            </w:pPr>
            <w:r>
              <w:rPr>
                <w:rFonts w:ascii="Arial" w:cs="Arial" w:eastAsia="Arial" w:hAnsi="Arial"/>
                <w:sz w:val="11"/>
                <w:szCs w:val="11"/>
                <w:color w:val="auto"/>
              </w:rPr>
              <w:t>Issuance of Series A redeemable</w:t>
            </w: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40" w:type="dxa"/>
            <w:vAlign w:val="bottom"/>
            <w:tcBorders>
              <w:top w:val="single" w:sz="8" w:color="CFF0FC"/>
              <w:right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20"/>
              <w:spacing w:after="0" w:line="122" w:lineRule="exact"/>
              <w:rPr>
                <w:sz w:val="20"/>
                <w:szCs w:val="20"/>
                <w:color w:val="auto"/>
              </w:rPr>
            </w:pPr>
            <w:r>
              <w:rPr>
                <w:rFonts w:ascii="Arial" w:cs="Arial" w:eastAsia="Arial" w:hAnsi="Arial"/>
                <w:sz w:val="11"/>
                <w:szCs w:val="11"/>
                <w:color w:val="auto"/>
                <w:w w:val="93"/>
              </w:rPr>
              <w:t>convertible preferred shares for cash, net</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10,348,50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20" w:type="dxa"/>
            <w:vAlign w:val="bottom"/>
          </w:tcPr>
          <w:p>
            <w:pPr>
              <w:ind w:left="20"/>
              <w:spacing w:after="0"/>
              <w:rPr>
                <w:sz w:val="20"/>
                <w:szCs w:val="20"/>
                <w:color w:val="auto"/>
              </w:rPr>
            </w:pPr>
            <w:r>
              <w:rPr>
                <w:rFonts w:ascii="Arial" w:cs="Arial" w:eastAsia="Arial" w:hAnsi="Arial"/>
                <w:sz w:val="11"/>
                <w:szCs w:val="11"/>
                <w:color w:val="auto"/>
              </w:rPr>
              <w:t>of issuance costs of $22</w:t>
            </w:r>
          </w:p>
        </w:tc>
        <w:tc>
          <w:tcPr>
            <w:tcW w:w="620" w:type="dxa"/>
            <w:vAlign w:val="bottom"/>
          </w:tcPr>
          <w:p>
            <w:pPr>
              <w:jc w:val="right"/>
              <w:spacing w:after="0"/>
              <w:rPr>
                <w:sz w:val="20"/>
                <w:szCs w:val="20"/>
                <w:color w:val="auto"/>
              </w:rPr>
            </w:pPr>
            <w:r>
              <w:rPr>
                <w:rFonts w:ascii="Arial" w:cs="Arial" w:eastAsia="Arial" w:hAnsi="Arial"/>
                <w:sz w:val="11"/>
                <w:szCs w:val="11"/>
                <w:color w:val="auto"/>
              </w:rPr>
              <w:t>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29,977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0"/>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incentive shares</w:t>
            </w: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3,101,17</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920" w:type="dxa"/>
            <w:vAlign w:val="bottom"/>
          </w:tcPr>
          <w:p>
            <w:pPr>
              <w:ind w:left="20"/>
              <w:spacing w:after="0"/>
              <w:rPr>
                <w:sz w:val="20"/>
                <w:szCs w:val="20"/>
                <w:color w:val="auto"/>
              </w:rPr>
            </w:pPr>
            <w:r>
              <w:rPr>
                <w:rFonts w:ascii="Arial" w:cs="Arial" w:eastAsia="Arial" w:hAnsi="Arial"/>
                <w:sz w:val="11"/>
                <w:szCs w:val="11"/>
                <w:color w:val="auto"/>
              </w:rPr>
              <w:t>Cancellations of incentive shares</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(477,582 )</w:t>
            </w:r>
          </w:p>
        </w:tc>
        <w:tc>
          <w:tcPr>
            <w:tcW w:w="10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0"/>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Reclassification of derivative tranches</w:t>
            </w: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liability upon settlement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31,483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920" w:type="dxa"/>
            <w:vAlign w:val="bottom"/>
          </w:tcPr>
          <w:p>
            <w:pPr>
              <w:ind w:left="20"/>
              <w:spacing w:after="0"/>
              <w:rPr>
                <w:sz w:val="20"/>
                <w:szCs w:val="20"/>
                <w:color w:val="auto"/>
              </w:rPr>
            </w:pPr>
            <w:r>
              <w:rPr>
                <w:rFonts w:ascii="Arial" w:cs="Arial" w:eastAsia="Arial" w:hAnsi="Arial"/>
                <w:sz w:val="11"/>
                <w:szCs w:val="11"/>
                <w:color w:val="auto"/>
              </w:rPr>
              <w:t>Share-based compensation expense</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526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 attributable to redeemable</w:t>
            </w: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noncontrolling interest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(3,336 )</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1920" w:type="dxa"/>
            <w:vAlign w:val="bottom"/>
          </w:tcPr>
          <w:p>
            <w:pPr>
              <w:ind w:left="20"/>
              <w:spacing w:after="0" w:line="125" w:lineRule="exact"/>
              <w:rPr>
                <w:sz w:val="20"/>
                <w:szCs w:val="20"/>
                <w:color w:val="auto"/>
              </w:rPr>
            </w:pPr>
            <w:r>
              <w:rPr>
                <w:rFonts w:ascii="Arial" w:cs="Arial" w:eastAsia="Arial" w:hAnsi="Arial"/>
                <w:sz w:val="11"/>
                <w:szCs w:val="11"/>
                <w:color w:val="auto"/>
              </w:rPr>
              <w:t>Transfer to redeemable noncontrolling</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20" w:type="dxa"/>
            <w:vAlign w:val="bottom"/>
          </w:tcPr>
          <w:p>
            <w:pPr>
              <w:ind w:left="20"/>
              <w:spacing w:after="0"/>
              <w:rPr>
                <w:sz w:val="20"/>
                <w:szCs w:val="20"/>
                <w:color w:val="auto"/>
              </w:rPr>
            </w:pPr>
            <w:r>
              <w:rPr>
                <w:rFonts w:ascii="Arial" w:cs="Arial" w:eastAsia="Arial" w:hAnsi="Arial"/>
                <w:sz w:val="11"/>
                <w:szCs w:val="11"/>
                <w:color w:val="auto"/>
                <w:w w:val="99"/>
              </w:rPr>
              <w:t>interest related to change in ownership</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3,551</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(3,551 )</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(3,551 )</w:t>
            </w:r>
          </w:p>
        </w:tc>
        <w:tc>
          <w:tcPr>
            <w:tcW w:w="0" w:type="dxa"/>
            <w:vAlign w:val="bottom"/>
          </w:tcPr>
          <w:p>
            <w:pPr>
              <w:spacing w:after="0"/>
              <w:rPr>
                <w:sz w:val="1"/>
                <w:szCs w:val="1"/>
                <w:color w:val="auto"/>
              </w:rPr>
            </w:pPr>
          </w:p>
        </w:tc>
      </w:tr>
      <w:tr>
        <w:trPr>
          <w:trHeight w:val="130"/>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 attributable to Day One</w:t>
            </w: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2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w w:val="99"/>
              </w:rPr>
              <w:t>Biopharmaceuticals Holding Company,</w:t>
            </w:r>
          </w:p>
        </w:tc>
        <w:tc>
          <w:tcPr>
            <w:tcW w:w="8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72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340" w:type="dxa"/>
            <w:vAlign w:val="bottom"/>
            <w:gridSpan w:val="2"/>
            <w:vMerge w:val="restart"/>
            <w:shd w:val="clear" w:color="auto" w:fill="CFF0FC"/>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4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5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(40,507 )</w:t>
            </w:r>
          </w:p>
        </w:tc>
        <w:tc>
          <w:tcPr>
            <w:tcW w:w="80" w:type="dxa"/>
            <w:vAlign w:val="bottom"/>
            <w:shd w:val="clear" w:color="auto" w:fill="CFF0FC"/>
          </w:tcPr>
          <w:p>
            <w:pPr>
              <w:spacing w:after="0"/>
              <w:rPr>
                <w:sz w:val="10"/>
                <w:szCs w:val="10"/>
                <w:color w:val="auto"/>
              </w:rPr>
            </w:pPr>
          </w:p>
        </w:tc>
        <w:tc>
          <w:tcPr>
            <w:tcW w:w="6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(40,507 )</w:t>
            </w:r>
          </w:p>
        </w:tc>
        <w:tc>
          <w:tcPr>
            <w:tcW w:w="0" w:type="dxa"/>
            <w:vAlign w:val="bottom"/>
          </w:tcPr>
          <w:p>
            <w:pPr>
              <w:spacing w:after="0"/>
              <w:rPr>
                <w:sz w:val="1"/>
                <w:szCs w:val="1"/>
                <w:color w:val="auto"/>
              </w:rPr>
            </w:pPr>
          </w:p>
        </w:tc>
      </w:tr>
      <w:tr>
        <w:trPr>
          <w:trHeight w:val="131"/>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LLC members</w:t>
            </w:r>
          </w:p>
        </w:tc>
        <w:tc>
          <w:tcPr>
            <w:tcW w:w="8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tcBorders>
              <w:right w:val="single" w:sz="8" w:color="auto"/>
            </w:tcBorders>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gridSpan w:val="2"/>
            <w:vMerge w:val="continue"/>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gridSpan w:val="2"/>
            <w:vMerge w:val="continue"/>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920" w:type="dxa"/>
            <w:vAlign w:val="bottom"/>
            <w:tcBorders>
              <w:top w:val="single" w:sz="8" w:color="CFF0FC"/>
            </w:tcBorders>
          </w:tcPr>
          <w:p>
            <w:pPr>
              <w:ind w:left="20"/>
              <w:spacing w:after="0" w:line="119" w:lineRule="exact"/>
              <w:rPr>
                <w:sz w:val="20"/>
                <w:szCs w:val="20"/>
                <w:color w:val="auto"/>
              </w:rPr>
            </w:pPr>
            <w:r>
              <w:rPr>
                <w:rFonts w:ascii="Arial" w:cs="Arial" w:eastAsia="Arial" w:hAnsi="Arial"/>
                <w:sz w:val="11"/>
                <w:szCs w:val="11"/>
                <w:b w:val="1"/>
                <w:bCs w:val="1"/>
                <w:color w:val="auto"/>
              </w:rPr>
              <w:t>Balance at December 31, 2020</w:t>
            </w: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22,851,25</w:t>
            </w: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40" w:type="dxa"/>
            <w:vAlign w:val="bottom"/>
            <w:tcBorders>
              <w:top w:val="single" w:sz="8" w:color="CFF0FC"/>
              <w:right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6,035,86</w:t>
            </w: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4,112,01</w:t>
            </w: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91,964</w:t>
            </w:r>
          </w:p>
        </w:tc>
        <w:tc>
          <w:tcPr>
            <w:tcW w:w="2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5,702</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w w:val="94"/>
              </w:rPr>
              <w:t>2,000</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637</w:t>
            </w:r>
          </w:p>
        </w:tc>
        <w:tc>
          <w:tcPr>
            <w:tcW w:w="2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ind w:left="220"/>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(56,842 )</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(54,205 )</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920" w:type="dxa"/>
            <w:vAlign w:val="bottom"/>
            <w:shd w:val="clear" w:color="auto" w:fill="CFF0FC"/>
          </w:tcPr>
          <w:p>
            <w:pPr>
              <w:ind w:left="20"/>
              <w:spacing w:after="0" w:line="110" w:lineRule="exact"/>
              <w:rPr>
                <w:sz w:val="20"/>
                <w:szCs w:val="20"/>
                <w:color w:val="auto"/>
              </w:rPr>
            </w:pPr>
            <w:r>
              <w:rPr>
                <w:rFonts w:ascii="Arial" w:cs="Arial" w:eastAsia="Arial" w:hAnsi="Arial"/>
                <w:sz w:val="11"/>
                <w:szCs w:val="11"/>
                <w:color w:val="auto"/>
              </w:rPr>
              <w:t>Issuance of Series B redeemable</w:t>
            </w: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20" w:type="dxa"/>
            <w:vAlign w:val="bottom"/>
            <w:shd w:val="clear" w:color="auto" w:fill="CFF0FC"/>
          </w:tcPr>
          <w:p>
            <w:pPr>
              <w:ind w:left="20"/>
              <w:spacing w:after="0" w:line="122" w:lineRule="exact"/>
              <w:rPr>
                <w:sz w:val="20"/>
                <w:szCs w:val="20"/>
                <w:color w:val="auto"/>
              </w:rPr>
            </w:pPr>
            <w:r>
              <w:rPr>
                <w:rFonts w:ascii="Arial" w:cs="Arial" w:eastAsia="Arial" w:hAnsi="Arial"/>
                <w:sz w:val="11"/>
                <w:szCs w:val="11"/>
                <w:color w:val="auto"/>
                <w:w w:val="93"/>
              </w:rPr>
              <w:t>convertible preferred shares for cash, net</w:t>
            </w: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of issuance costs of $243</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9,638,141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129,757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1920" w:type="dxa"/>
            <w:vAlign w:val="bottom"/>
          </w:tcPr>
          <w:p>
            <w:pPr>
              <w:ind w:left="20"/>
              <w:spacing w:after="0" w:line="125" w:lineRule="exact"/>
              <w:rPr>
                <w:sz w:val="20"/>
                <w:szCs w:val="20"/>
                <w:color w:val="auto"/>
              </w:rPr>
            </w:pPr>
            <w:r>
              <w:rPr>
                <w:rFonts w:ascii="Arial" w:cs="Arial" w:eastAsia="Arial" w:hAnsi="Arial"/>
                <w:sz w:val="11"/>
                <w:szCs w:val="11"/>
                <w:color w:val="auto"/>
              </w:rPr>
              <w:t>Issuance of incentive shares</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Arial" w:cs="Arial" w:eastAsia="Arial" w:hAnsi="Arial"/>
                <w:sz w:val="11"/>
                <w:szCs w:val="11"/>
                <w:color w:val="auto"/>
              </w:rPr>
              <w:t>2,959,79</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Cancellations of incentive shares</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(265,596 )</w:t>
            </w:r>
          </w:p>
        </w:tc>
        <w:tc>
          <w:tcPr>
            <w:tcW w:w="10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1920" w:type="dxa"/>
            <w:vAlign w:val="bottom"/>
          </w:tcPr>
          <w:p>
            <w:pPr>
              <w:ind w:left="20"/>
              <w:spacing w:after="0" w:line="125" w:lineRule="exact"/>
              <w:rPr>
                <w:sz w:val="20"/>
                <w:szCs w:val="20"/>
                <w:color w:val="auto"/>
              </w:rPr>
            </w:pPr>
            <w:r>
              <w:rPr>
                <w:rFonts w:ascii="Arial" w:cs="Arial" w:eastAsia="Arial" w:hAnsi="Arial"/>
                <w:sz w:val="11"/>
                <w:szCs w:val="11"/>
                <w:color w:val="auto"/>
              </w:rPr>
              <w:t>Conversion of redeemable convertible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20"/>
              <w:spacing w:after="0" w:line="122" w:lineRule="exact"/>
              <w:rPr>
                <w:sz w:val="20"/>
                <w:szCs w:val="20"/>
                <w:color w:val="auto"/>
              </w:rPr>
            </w:pPr>
            <w:r>
              <w:rPr>
                <w:rFonts w:ascii="Arial" w:cs="Arial" w:eastAsia="Arial" w:hAnsi="Arial"/>
                <w:sz w:val="11"/>
                <w:szCs w:val="11"/>
                <w:color w:val="auto"/>
                <w:w w:val="94"/>
              </w:rPr>
              <w:t>preferred, common, and incentive shares</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(32,489,39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43,958,55</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(6,035,8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(2,00</w:t>
            </w:r>
          </w:p>
        </w:tc>
        <w:tc>
          <w:tcPr>
            <w:tcW w:w="2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(6,806,2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Arial" w:cs="Arial" w:eastAsia="Arial" w:hAnsi="Arial"/>
                <w:sz w:val="11"/>
                <w:szCs w:val="11"/>
                <w:color w:val="auto"/>
              </w:rPr>
              <w:t>(1,17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w w:val="94"/>
              </w:rPr>
              <w:t>224,89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20" w:type="dxa"/>
            <w:vAlign w:val="bottom"/>
          </w:tcPr>
          <w:p>
            <w:pPr>
              <w:ind w:left="20"/>
              <w:spacing w:after="0"/>
              <w:rPr>
                <w:sz w:val="20"/>
                <w:szCs w:val="20"/>
                <w:color w:val="auto"/>
              </w:rPr>
            </w:pPr>
            <w:r>
              <w:rPr>
                <w:rFonts w:ascii="Arial" w:cs="Arial" w:eastAsia="Arial" w:hAnsi="Arial"/>
                <w:sz w:val="11"/>
                <w:szCs w:val="11"/>
                <w:color w:val="auto"/>
              </w:rPr>
              <w:t>into common stock</w:t>
            </w:r>
          </w:p>
        </w:tc>
        <w:tc>
          <w:tcPr>
            <w:tcW w:w="840" w:type="dxa"/>
            <w:vAlign w:val="bottom"/>
            <w:gridSpan w:val="2"/>
          </w:tcPr>
          <w:p>
            <w:pPr>
              <w:jc w:val="right"/>
              <w:ind w:right="180"/>
              <w:spacing w:after="0"/>
              <w:rPr>
                <w:sz w:val="20"/>
                <w:szCs w:val="20"/>
                <w:color w:val="auto"/>
              </w:rPr>
            </w:pPr>
            <w:r>
              <w:rPr>
                <w:rFonts w:ascii="Arial" w:cs="Arial" w:eastAsia="Arial" w:hAnsi="Arial"/>
                <w:sz w:val="11"/>
                <w:szCs w:val="11"/>
                <w:color w:val="auto"/>
              </w:rPr>
              <w:t>8 )</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w w:val="99"/>
              </w:rPr>
              <w:t>(221,721 )</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ind w:left="80"/>
              <w:spacing w:after="0"/>
              <w:rPr>
                <w:sz w:val="20"/>
                <w:szCs w:val="20"/>
                <w:color w:val="auto"/>
              </w:rPr>
            </w:pPr>
            <w:r>
              <w:rPr>
                <w:rFonts w:ascii="Arial" w:cs="Arial" w:eastAsia="Arial" w:hAnsi="Arial"/>
                <w:sz w:val="10"/>
                <w:szCs w:val="10"/>
                <w:color w:val="auto"/>
                <w:w w:val="71"/>
              </w:rPr>
              <w:t>4</w:t>
            </w:r>
          </w:p>
        </w:tc>
        <w:tc>
          <w:tcPr>
            <w:tcW w:w="2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69 )</w:t>
            </w:r>
          </w:p>
        </w:tc>
        <w:tc>
          <w:tcPr>
            <w:tcW w:w="10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0 )</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16 )</w:t>
            </w:r>
          </w:p>
        </w:tc>
        <w:tc>
          <w:tcPr>
            <w:tcW w:w="10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5 )</w:t>
            </w: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221,721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Conversion of redeemable</w:t>
            </w: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w w:val="96"/>
              </w:rPr>
              <w:t>noncontrolling interest to common stock</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(3,593 )</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6,470,382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ind w:left="80"/>
              <w:spacing w:after="0"/>
              <w:rPr>
                <w:sz w:val="20"/>
                <w:szCs w:val="20"/>
                <w:color w:val="auto"/>
              </w:rPr>
            </w:pPr>
            <w:r>
              <w:rPr>
                <w:rFonts w:ascii="Arial" w:cs="Arial" w:eastAsia="Arial" w:hAnsi="Arial"/>
                <w:sz w:val="10"/>
                <w:szCs w:val="10"/>
                <w:color w:val="auto"/>
                <w:w w:val="71"/>
              </w:rPr>
              <w:t>1</w:t>
            </w:r>
          </w:p>
        </w:tc>
        <w:tc>
          <w:tcPr>
            <w:tcW w:w="2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3,592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920" w:type="dxa"/>
            <w:vAlign w:val="bottom"/>
          </w:tcPr>
          <w:p>
            <w:pPr>
              <w:ind w:left="20"/>
              <w:spacing w:after="0" w:line="125" w:lineRule="exact"/>
              <w:rPr>
                <w:sz w:val="20"/>
                <w:szCs w:val="20"/>
                <w:color w:val="auto"/>
              </w:rPr>
            </w:pPr>
            <w:r>
              <w:rPr>
                <w:rFonts w:ascii="Arial" w:cs="Arial" w:eastAsia="Arial" w:hAnsi="Arial"/>
                <w:sz w:val="11"/>
                <w:szCs w:val="11"/>
                <w:color w:val="auto"/>
              </w:rPr>
              <w:t>Common stock issued in IPO, net of</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11,500,00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line="125" w:lineRule="exact"/>
              <w:rPr>
                <w:sz w:val="20"/>
                <w:szCs w:val="20"/>
                <w:color w:val="auto"/>
              </w:rPr>
            </w:pPr>
            <w:r>
              <w:rPr>
                <w:rFonts w:ascii="Arial" w:cs="Arial" w:eastAsia="Arial" w:hAnsi="Arial"/>
                <w:sz w:val="11"/>
                <w:szCs w:val="11"/>
                <w:color w:val="auto"/>
                <w:w w:val="94"/>
              </w:rPr>
              <w:t>167,04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20" w:type="dxa"/>
            <w:vAlign w:val="bottom"/>
          </w:tcPr>
          <w:p>
            <w:pPr>
              <w:ind w:left="20"/>
              <w:spacing w:after="0"/>
              <w:rPr>
                <w:sz w:val="20"/>
                <w:szCs w:val="20"/>
                <w:color w:val="auto"/>
              </w:rPr>
            </w:pPr>
            <w:r>
              <w:rPr>
                <w:rFonts w:ascii="Arial" w:cs="Arial" w:eastAsia="Arial" w:hAnsi="Arial"/>
                <w:sz w:val="11"/>
                <w:szCs w:val="11"/>
                <w:color w:val="auto"/>
              </w:rPr>
              <w:t>issuance costs of $16,995</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ind w:left="80"/>
              <w:spacing w:after="0"/>
              <w:rPr>
                <w:sz w:val="20"/>
                <w:szCs w:val="20"/>
                <w:color w:val="auto"/>
              </w:rPr>
            </w:pPr>
            <w:r>
              <w:rPr>
                <w:rFonts w:ascii="Arial" w:cs="Arial" w:eastAsia="Arial" w:hAnsi="Arial"/>
                <w:sz w:val="10"/>
                <w:szCs w:val="10"/>
                <w:color w:val="auto"/>
                <w:w w:val="71"/>
              </w:rPr>
              <w:t>1</w:t>
            </w:r>
          </w:p>
        </w:tc>
        <w:tc>
          <w:tcPr>
            <w:tcW w:w="2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167,045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w w:val="92"/>
              </w:rPr>
              <w:t>Issuance of shares pursuant to Employee</w:t>
            </w: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 Purchase Plan</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23,353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20" w:type="dxa"/>
            <w:vAlign w:val="bottom"/>
          </w:tcPr>
          <w:p>
            <w:pPr>
              <w:ind w:left="20"/>
              <w:spacing w:after="0"/>
              <w:rPr>
                <w:sz w:val="20"/>
                <w:szCs w:val="20"/>
                <w:color w:val="auto"/>
              </w:rPr>
            </w:pPr>
            <w:r>
              <w:rPr>
                <w:rFonts w:ascii="Arial" w:cs="Arial" w:eastAsia="Arial" w:hAnsi="Arial"/>
                <w:sz w:val="11"/>
                <w:szCs w:val="11"/>
                <w:color w:val="auto"/>
              </w:rPr>
              <w:t>Share-based compensation expenses</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538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w w:val="94"/>
              </w:rPr>
              <w:t>12,783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13,321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 attributable to redeemable</w:t>
            </w: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noncontrolling interest</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(2,109 )</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1920" w:type="dxa"/>
            <w:vAlign w:val="bottom"/>
          </w:tcPr>
          <w:p>
            <w:pPr>
              <w:ind w:left="20"/>
              <w:spacing w:after="0" w:line="125" w:lineRule="exact"/>
              <w:rPr>
                <w:sz w:val="20"/>
                <w:szCs w:val="20"/>
                <w:color w:val="auto"/>
              </w:rPr>
            </w:pPr>
            <w:r>
              <w:rPr>
                <w:rFonts w:ascii="Arial" w:cs="Arial" w:eastAsia="Arial" w:hAnsi="Arial"/>
                <w:sz w:val="11"/>
                <w:szCs w:val="11"/>
                <w:color w:val="auto"/>
              </w:rPr>
              <w:t>Net loss attributable to common</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(70,645 )</w:t>
            </w:r>
          </w:p>
        </w:tc>
        <w:tc>
          <w:tcPr>
            <w:tcW w:w="8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(70,645 )</w:t>
            </w:r>
          </w:p>
        </w:tc>
        <w:tc>
          <w:tcPr>
            <w:tcW w:w="0" w:type="dxa"/>
            <w:vAlign w:val="bottom"/>
          </w:tcPr>
          <w:p>
            <w:pPr>
              <w:spacing w:after="0"/>
              <w:rPr>
                <w:sz w:val="1"/>
                <w:szCs w:val="1"/>
                <w:color w:val="auto"/>
              </w:rPr>
            </w:pPr>
          </w:p>
        </w:tc>
      </w:tr>
      <w:tr>
        <w:trPr>
          <w:trHeight w:val="131"/>
        </w:trPr>
        <w:tc>
          <w:tcPr>
            <w:tcW w:w="1920" w:type="dxa"/>
            <w:vAlign w:val="bottom"/>
          </w:tcPr>
          <w:p>
            <w:pPr>
              <w:ind w:left="20"/>
              <w:spacing w:after="0"/>
              <w:rPr>
                <w:sz w:val="20"/>
                <w:szCs w:val="20"/>
                <w:color w:val="auto"/>
              </w:rPr>
            </w:pPr>
            <w:r>
              <w:rPr>
                <w:rFonts w:ascii="Arial" w:cs="Arial" w:eastAsia="Arial" w:hAnsi="Arial"/>
                <w:sz w:val="11"/>
                <w:szCs w:val="11"/>
                <w:color w:val="auto"/>
              </w:rPr>
              <w:t>stockholders/members</w:t>
            </w: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920" w:type="dxa"/>
            <w:vAlign w:val="bottom"/>
            <w:shd w:val="clear" w:color="auto" w:fill="CFF0FC"/>
          </w:tcPr>
          <w:p>
            <w:pPr>
              <w:ind w:left="20"/>
              <w:spacing w:after="0" w:line="119" w:lineRule="exact"/>
              <w:rPr>
                <w:sz w:val="20"/>
                <w:szCs w:val="20"/>
                <w:color w:val="auto"/>
              </w:rPr>
            </w:pPr>
            <w:r>
              <w:rPr>
                <w:rFonts w:ascii="Arial" w:cs="Arial" w:eastAsia="Arial" w:hAnsi="Arial"/>
                <w:sz w:val="11"/>
                <w:szCs w:val="11"/>
                <w:b w:val="1"/>
                <w:bCs w:val="1"/>
                <w:color w:val="auto"/>
              </w:rPr>
              <w:t>Balance at December 31, 2021</w:t>
            </w:r>
          </w:p>
        </w:tc>
        <w:tc>
          <w:tcPr>
            <w:tcW w:w="6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9" w:lineRule="exact"/>
              <w:rPr>
                <w:sz w:val="20"/>
                <w:szCs w:val="20"/>
                <w:color w:val="auto"/>
              </w:rPr>
            </w:pPr>
            <w:r>
              <w:rPr>
                <w:rFonts w:ascii="Arial" w:cs="Arial" w:eastAsia="Arial" w:hAnsi="Arial"/>
                <w:sz w:val="11"/>
                <w:szCs w:val="11"/>
                <w:color w:val="auto"/>
              </w:rPr>
              <w:t>61,952,29</w:t>
            </w: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jc w:val="right"/>
              <w:spacing w:after="0" w:line="119" w:lineRule="exact"/>
              <w:rPr>
                <w:sz w:val="20"/>
                <w:szCs w:val="20"/>
                <w:color w:val="auto"/>
              </w:rPr>
            </w:pPr>
            <w:r>
              <w:rPr>
                <w:rFonts w:ascii="Arial" w:cs="Arial" w:eastAsia="Arial" w:hAnsi="Arial"/>
                <w:sz w:val="11"/>
                <w:szCs w:val="11"/>
                <w:color w:val="auto"/>
                <w:w w:val="94"/>
              </w:rPr>
              <w:t>408,62</w:t>
            </w: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ind w:left="80"/>
              <w:spacing w:after="0"/>
              <w:rPr>
                <w:sz w:val="20"/>
                <w:szCs w:val="20"/>
                <w:color w:val="auto"/>
              </w:rPr>
            </w:pPr>
            <w:r>
              <w:rPr>
                <w:rFonts w:ascii="Arial" w:cs="Arial" w:eastAsia="Arial" w:hAnsi="Arial"/>
                <w:sz w:val="10"/>
                <w:szCs w:val="10"/>
                <w:color w:val="auto"/>
                <w:w w:val="71"/>
              </w:rPr>
              <w:t>6</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w:t>
            </w:r>
          </w:p>
        </w:tc>
        <w:tc>
          <w:tcPr>
            <w:tcW w:w="30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(127,487 )</w:t>
            </w:r>
          </w:p>
        </w:tc>
        <w:tc>
          <w:tcPr>
            <w:tcW w:w="80" w:type="dxa"/>
            <w:vAlign w:val="bottom"/>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281,148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1920" w:type="dxa"/>
            <w:vAlign w:val="bottom"/>
            <w:tcBorders>
              <w:top w:val="single" w:sz="8" w:color="CFF0FC"/>
            </w:tcBorders>
          </w:tcPr>
          <w:p>
            <w:pPr>
              <w:ind w:left="20"/>
              <w:spacing w:after="0" w:line="110" w:lineRule="exact"/>
              <w:rPr>
                <w:sz w:val="20"/>
                <w:szCs w:val="20"/>
                <w:color w:val="auto"/>
              </w:rPr>
            </w:pPr>
            <w:r>
              <w:rPr>
                <w:rFonts w:ascii="Arial" w:cs="Arial" w:eastAsia="Arial" w:hAnsi="Arial"/>
                <w:sz w:val="11"/>
                <w:szCs w:val="11"/>
                <w:color w:val="auto"/>
                <w:w w:val="99"/>
              </w:rPr>
              <w:t>Issuance of common stock pursuant to</w:t>
            </w: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Borders>
              <w:top w:val="single" w:sz="8" w:color="CFF0FC"/>
              <w:right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20"/>
              <w:spacing w:after="0" w:line="122" w:lineRule="exact"/>
              <w:rPr>
                <w:sz w:val="20"/>
                <w:szCs w:val="20"/>
                <w:color w:val="auto"/>
              </w:rPr>
            </w:pPr>
            <w:r>
              <w:rPr>
                <w:rFonts w:ascii="Arial" w:cs="Arial" w:eastAsia="Arial" w:hAnsi="Arial"/>
                <w:sz w:val="11"/>
                <w:szCs w:val="11"/>
                <w:color w:val="auto"/>
                <w:w w:val="97"/>
              </w:rPr>
              <w:t>follow-on offering, net of issuance costs</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11,500,00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Arial" w:cs="Arial" w:eastAsia="Arial" w:hAnsi="Arial"/>
                <w:sz w:val="11"/>
                <w:szCs w:val="11"/>
                <w:color w:val="auto"/>
                <w:w w:val="94"/>
              </w:rPr>
              <w:t>161,60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20" w:type="dxa"/>
            <w:vAlign w:val="bottom"/>
          </w:tcPr>
          <w:p>
            <w:pPr>
              <w:ind w:left="20"/>
              <w:spacing w:after="0"/>
              <w:rPr>
                <w:sz w:val="20"/>
                <w:szCs w:val="20"/>
                <w:color w:val="auto"/>
              </w:rPr>
            </w:pPr>
            <w:r>
              <w:rPr>
                <w:rFonts w:ascii="Arial" w:cs="Arial" w:eastAsia="Arial" w:hAnsi="Arial"/>
                <w:sz w:val="11"/>
                <w:szCs w:val="11"/>
                <w:color w:val="auto"/>
              </w:rPr>
              <w:t>of $10,864</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ind w:left="80"/>
              <w:spacing w:after="0"/>
              <w:rPr>
                <w:sz w:val="20"/>
                <w:szCs w:val="20"/>
                <w:color w:val="auto"/>
              </w:rPr>
            </w:pPr>
            <w:r>
              <w:rPr>
                <w:rFonts w:ascii="Arial" w:cs="Arial" w:eastAsia="Arial" w:hAnsi="Arial"/>
                <w:sz w:val="10"/>
                <w:szCs w:val="10"/>
                <w:color w:val="auto"/>
                <w:w w:val="71"/>
              </w:rPr>
              <w:t>1</w:t>
            </w:r>
          </w:p>
        </w:tc>
        <w:tc>
          <w:tcPr>
            <w:tcW w:w="2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161,610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 stock upon</w:t>
            </w: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exercise of stock options</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235,474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3,649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920" w:type="dxa"/>
            <w:vAlign w:val="bottom"/>
          </w:tcPr>
          <w:p>
            <w:pPr>
              <w:ind w:left="20"/>
              <w:spacing w:after="0" w:line="125" w:lineRule="exact"/>
              <w:rPr>
                <w:sz w:val="20"/>
                <w:szCs w:val="20"/>
                <w:color w:val="auto"/>
              </w:rPr>
            </w:pPr>
            <w:r>
              <w:rPr>
                <w:rFonts w:ascii="Arial" w:cs="Arial" w:eastAsia="Arial" w:hAnsi="Arial"/>
                <w:sz w:val="11"/>
                <w:szCs w:val="11"/>
                <w:color w:val="auto"/>
                <w:w w:val="95"/>
              </w:rPr>
              <w:t>Issuance of common stock upon release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20" w:type="dxa"/>
            <w:vAlign w:val="bottom"/>
          </w:tcPr>
          <w:p>
            <w:pPr>
              <w:ind w:left="20"/>
              <w:spacing w:after="0"/>
              <w:rPr>
                <w:sz w:val="20"/>
                <w:szCs w:val="20"/>
                <w:color w:val="auto"/>
              </w:rPr>
            </w:pPr>
            <w:r>
              <w:rPr>
                <w:rFonts w:ascii="Arial" w:cs="Arial" w:eastAsia="Arial" w:hAnsi="Arial"/>
                <w:sz w:val="11"/>
                <w:szCs w:val="11"/>
                <w:color w:val="auto"/>
              </w:rPr>
              <w:t>of restricted stock units</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79,441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0"/>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w w:val="99"/>
              </w:rPr>
              <w:t>Issuance of common stock pursuant to</w:t>
            </w: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Employee Stock Purchase Plan</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97,413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20" w:type="dxa"/>
            <w:vAlign w:val="bottom"/>
          </w:tcPr>
          <w:p>
            <w:pPr>
              <w:ind w:left="20"/>
              <w:spacing w:after="0"/>
              <w:rPr>
                <w:sz w:val="20"/>
                <w:szCs w:val="20"/>
                <w:color w:val="auto"/>
              </w:rPr>
            </w:pPr>
            <w:r>
              <w:rPr>
                <w:rFonts w:ascii="Arial" w:cs="Arial" w:eastAsia="Arial" w:hAnsi="Arial"/>
                <w:sz w:val="11"/>
                <w:szCs w:val="11"/>
                <w:color w:val="auto"/>
              </w:rPr>
              <w:t>Unvested common stock forfeiture</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color w:val="auto"/>
              </w:rPr>
              <w:t>(406,444 )</w:t>
            </w:r>
          </w:p>
        </w:tc>
        <w:tc>
          <w:tcPr>
            <w:tcW w:w="80" w:type="dxa"/>
            <w:vAlign w:val="bottom"/>
          </w:tcPr>
          <w:p>
            <w:pPr>
              <w:spacing w:after="0"/>
              <w:rPr>
                <w:sz w:val="12"/>
                <w:szCs w:val="12"/>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Share-based compensation expenses</w:t>
            </w: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4"/>
              </w:rPr>
              <w:t>27,242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27,242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920" w:type="dxa"/>
            <w:vAlign w:val="bottom"/>
          </w:tcPr>
          <w:p>
            <w:pPr>
              <w:ind w:left="20"/>
              <w:spacing w:after="0" w:line="125" w:lineRule="exact"/>
              <w:rPr>
                <w:sz w:val="20"/>
                <w:szCs w:val="20"/>
                <w:color w:val="auto"/>
              </w:rPr>
            </w:pPr>
            <w:r>
              <w:rPr>
                <w:rFonts w:ascii="Arial" w:cs="Arial" w:eastAsia="Arial" w:hAnsi="Arial"/>
                <w:sz w:val="11"/>
                <w:szCs w:val="11"/>
                <w:color w:val="auto"/>
              </w:rPr>
              <w:t>Unrealized loss on available-for-sale</w:t>
            </w: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20" w:type="dxa"/>
            <w:vAlign w:val="bottom"/>
          </w:tcPr>
          <w:p>
            <w:pPr>
              <w:ind w:left="20"/>
              <w:spacing w:after="0"/>
              <w:rPr>
                <w:sz w:val="20"/>
                <w:szCs w:val="20"/>
                <w:color w:val="auto"/>
              </w:rPr>
            </w:pPr>
            <w:r>
              <w:rPr>
                <w:rFonts w:ascii="Arial" w:cs="Arial" w:eastAsia="Arial" w:hAnsi="Arial"/>
                <w:sz w:val="11"/>
                <w:szCs w:val="11"/>
                <w:color w:val="auto"/>
              </w:rPr>
              <w:t>securities</w:t>
            </w: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3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(71 )</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(71 )</w:t>
            </w:r>
          </w:p>
        </w:tc>
        <w:tc>
          <w:tcPr>
            <w:tcW w:w="0" w:type="dxa"/>
            <w:vAlign w:val="bottom"/>
          </w:tcPr>
          <w:p>
            <w:pPr>
              <w:spacing w:after="0"/>
              <w:rPr>
                <w:sz w:val="1"/>
                <w:szCs w:val="1"/>
                <w:color w:val="auto"/>
              </w:rPr>
            </w:pPr>
          </w:p>
        </w:tc>
      </w:tr>
      <w:tr>
        <w:trPr>
          <w:trHeight w:val="130"/>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 attributable to common</w:t>
            </w:r>
          </w:p>
        </w:tc>
        <w:tc>
          <w:tcPr>
            <w:tcW w:w="8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72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340" w:type="dxa"/>
            <w:vAlign w:val="bottom"/>
            <w:gridSpan w:val="2"/>
            <w:vMerge w:val="restart"/>
            <w:shd w:val="clear" w:color="auto" w:fill="CFF0FC"/>
          </w:tcPr>
          <w:p>
            <w:pPr>
              <w:ind w:left="6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4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(142,181 )</w:t>
            </w:r>
          </w:p>
        </w:tc>
        <w:tc>
          <w:tcPr>
            <w:tcW w:w="8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(142,181 )</w:t>
            </w:r>
          </w:p>
        </w:tc>
        <w:tc>
          <w:tcPr>
            <w:tcW w:w="0" w:type="dxa"/>
            <w:vAlign w:val="bottom"/>
          </w:tcPr>
          <w:p>
            <w:pPr>
              <w:spacing w:after="0"/>
              <w:rPr>
                <w:sz w:val="1"/>
                <w:szCs w:val="1"/>
                <w:color w:val="auto"/>
              </w:rPr>
            </w:pPr>
          </w:p>
        </w:tc>
      </w:tr>
      <w:tr>
        <w:trPr>
          <w:trHeight w:val="131"/>
        </w:trPr>
        <w:tc>
          <w:tcPr>
            <w:tcW w:w="192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stockholders/members'</w:t>
            </w:r>
          </w:p>
        </w:tc>
        <w:tc>
          <w:tcPr>
            <w:tcW w:w="8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tcBorders>
              <w:right w:val="single" w:sz="8" w:color="auto"/>
            </w:tcBorders>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gridSpan w:val="2"/>
            <w:vMerge w:val="continue"/>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gridSpan w:val="2"/>
            <w:vMerge w:val="continue"/>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920" w:type="dxa"/>
            <w:vAlign w:val="bottom"/>
            <w:tcBorders>
              <w:top w:val="single" w:sz="8" w:color="CFF0FC"/>
            </w:tcBorders>
          </w:tcPr>
          <w:p>
            <w:pPr>
              <w:ind w:left="20"/>
              <w:spacing w:after="0" w:line="119" w:lineRule="exact"/>
              <w:rPr>
                <w:sz w:val="20"/>
                <w:szCs w:val="20"/>
                <w:color w:val="auto"/>
              </w:rPr>
            </w:pPr>
            <w:r>
              <w:rPr>
                <w:rFonts w:ascii="Arial" w:cs="Arial" w:eastAsia="Arial" w:hAnsi="Arial"/>
                <w:sz w:val="11"/>
                <w:szCs w:val="11"/>
                <w:b w:val="1"/>
                <w:bCs w:val="1"/>
                <w:color w:val="auto"/>
              </w:rPr>
              <w:t>Balance at December 31, 2022</w:t>
            </w: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40" w:type="dxa"/>
            <w:vAlign w:val="bottom"/>
            <w:tcBorders>
              <w:top w:val="single" w:sz="8" w:color="CFF0FC"/>
              <w:right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73,458,17</w:t>
            </w: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w w:val="94"/>
              </w:rPr>
              <w:t>601,77</w:t>
            </w: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9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40" w:type="dxa"/>
            <w:vAlign w:val="bottom"/>
          </w:tcPr>
          <w:p>
            <w:pPr>
              <w:ind w:left="80"/>
              <w:spacing w:after="0"/>
              <w:rPr>
                <w:sz w:val="20"/>
                <w:szCs w:val="20"/>
                <w:color w:val="auto"/>
              </w:rPr>
            </w:pPr>
            <w:r>
              <w:rPr>
                <w:rFonts w:ascii="Arial" w:cs="Arial" w:eastAsia="Arial" w:hAnsi="Arial"/>
                <w:sz w:val="10"/>
                <w:szCs w:val="10"/>
                <w:color w:val="auto"/>
                <w:w w:val="71"/>
              </w:rPr>
              <w:t>7</w:t>
            </w:r>
          </w:p>
        </w:tc>
        <w:tc>
          <w:tcPr>
            <w:tcW w:w="20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1</w:t>
            </w:r>
          </w:p>
        </w:tc>
        <w:tc>
          <w:tcPr>
            <w:tcW w:w="300" w:type="dxa"/>
            <w:vAlign w:val="bottom"/>
            <w:gridSpan w:val="2"/>
          </w:tcPr>
          <w:p>
            <w:pPr>
              <w:ind w:left="220"/>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(71 )</w:t>
            </w: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(269,668 )</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332,039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-4979670</wp:posOffset>
            </wp:positionV>
            <wp:extent cx="76835" cy="2571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-4979670</wp:posOffset>
            </wp:positionV>
            <wp:extent cx="76835" cy="2571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-4979670</wp:posOffset>
            </wp:positionV>
            <wp:extent cx="76835" cy="2571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-4979670</wp:posOffset>
            </wp:positionV>
            <wp:extent cx="76835" cy="2571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-4979670</wp:posOffset>
            </wp:positionV>
            <wp:extent cx="68580" cy="2571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-4979670</wp:posOffset>
            </wp:positionV>
            <wp:extent cx="68580" cy="2571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-4979670</wp:posOffset>
            </wp:positionV>
            <wp:extent cx="68580" cy="2571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-4979670</wp:posOffset>
            </wp:positionV>
            <wp:extent cx="68580" cy="2571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-4979670</wp:posOffset>
            </wp:positionV>
            <wp:extent cx="68580" cy="2571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-4979670</wp:posOffset>
            </wp:positionV>
            <wp:extent cx="68580" cy="2571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-4979670</wp:posOffset>
            </wp:positionV>
            <wp:extent cx="68580" cy="2571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-4979670</wp:posOffset>
            </wp:positionV>
            <wp:extent cx="68580" cy="2571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-4979670</wp:posOffset>
            </wp:positionV>
            <wp:extent cx="68580" cy="2571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-3608070</wp:posOffset>
            </wp:positionV>
            <wp:extent cx="76835" cy="2057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-3608070</wp:posOffset>
            </wp:positionV>
            <wp:extent cx="76835" cy="2057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-3608070</wp:posOffset>
            </wp:positionV>
            <wp:extent cx="76835" cy="2057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-3608070</wp:posOffset>
            </wp:positionV>
            <wp:extent cx="76835" cy="2057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-3608070</wp:posOffset>
            </wp:positionV>
            <wp:extent cx="68580" cy="2057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-3608070</wp:posOffset>
            </wp:positionV>
            <wp:extent cx="68580" cy="2057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-3608070</wp:posOffset>
            </wp:positionV>
            <wp:extent cx="68580" cy="2057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-3608070</wp:posOffset>
            </wp:positionV>
            <wp:extent cx="68580" cy="2057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-3608070</wp:posOffset>
            </wp:positionV>
            <wp:extent cx="68580" cy="2057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-3608070</wp:posOffset>
            </wp:positionV>
            <wp:extent cx="68580" cy="2057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-3608070</wp:posOffset>
            </wp:positionV>
            <wp:extent cx="68580" cy="2057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-3608070</wp:posOffset>
            </wp:positionV>
            <wp:extent cx="68580" cy="2057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2057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-1516380</wp:posOffset>
            </wp:positionV>
            <wp:extent cx="5528945" cy="2743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5528945" cy="27432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-205105</wp:posOffset>
            </wp:positionV>
            <wp:extent cx="76835" cy="2057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-205105</wp:posOffset>
            </wp:positionV>
            <wp:extent cx="76835" cy="2057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-205105</wp:posOffset>
            </wp:positionV>
            <wp:extent cx="76835" cy="2057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-205105</wp:posOffset>
            </wp:positionV>
            <wp:extent cx="76835" cy="205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-205105</wp:posOffset>
            </wp:positionV>
            <wp:extent cx="68580" cy="2057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-205105</wp:posOffset>
            </wp:positionV>
            <wp:extent cx="68580" cy="2057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-205105</wp:posOffset>
            </wp:positionV>
            <wp:extent cx="68580" cy="2057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-205105</wp:posOffset>
            </wp:positionV>
            <wp:extent cx="68580" cy="205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-205105</wp:posOffset>
            </wp:positionV>
            <wp:extent cx="68580"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-205105</wp:posOffset>
            </wp:positionV>
            <wp:extent cx="68580" cy="205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-205105</wp:posOffset>
            </wp:positionV>
            <wp:extent cx="68580" cy="2057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-205105</wp:posOffset>
            </wp:positionV>
            <wp:extent cx="68580" cy="2057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2057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2" w:name="page153"/>
    <w:bookmarkEnd w:id="152"/>
    <w:p>
      <w:pPr>
        <w:ind w:left="4280"/>
        <w:spacing w:after="0"/>
        <w:rPr>
          <w:sz w:val="20"/>
          <w:szCs w:val="20"/>
          <w:color w:val="auto"/>
        </w:rPr>
      </w:pPr>
      <w:r>
        <w:rPr>
          <w:rFonts w:ascii="Arial" w:cs="Arial" w:eastAsia="Arial" w:hAnsi="Arial"/>
          <w:sz w:val="18"/>
          <w:szCs w:val="18"/>
          <w:b w:val="1"/>
          <w:bCs w:val="1"/>
          <w:color w:val="auto"/>
        </w:rPr>
        <w:t>Day One Biopharmaceuticals, Inc.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w w:val="94"/>
              </w:rPr>
              <w:t>Year Ended December 31,</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7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23"/>
        </w:trPr>
        <w:tc>
          <w:tcPr>
            <w:tcW w:w="712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7"/>
                <w:szCs w:val="17"/>
                <w:color w:val="auto"/>
              </w:rPr>
              <w:t>Net loss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98"/>
              <w:spacing w:after="0"/>
              <w:rPr>
                <w:sz w:val="20"/>
                <w:szCs w:val="20"/>
                <w:color w:val="auto"/>
              </w:rPr>
            </w:pPr>
            <w:r>
              <w:rPr>
                <w:rFonts w:ascii="Arial" w:cs="Arial" w:eastAsia="Arial" w:hAnsi="Arial"/>
                <w:sz w:val="17"/>
                <w:szCs w:val="17"/>
                <w:color w:val="auto"/>
              </w:rPr>
              <w:t>(142,181 )</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(72,754 )</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(43,843 )</w:t>
            </w:r>
          </w:p>
        </w:tc>
      </w:tr>
      <w:tr>
        <w:trPr>
          <w:trHeight w:val="236"/>
        </w:trPr>
        <w:tc>
          <w:tcPr>
            <w:tcW w:w="7120" w:type="dxa"/>
            <w:vAlign w:val="bottom"/>
            <w:shd w:val="clear" w:color="auto" w:fill="CFF0FC"/>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7120" w:type="dxa"/>
            <w:vAlign w:val="bottom"/>
          </w:tcPr>
          <w:p>
            <w:pPr>
              <w:ind w:left="200"/>
              <w:spacing w:after="0"/>
              <w:rPr>
                <w:sz w:val="20"/>
                <w:szCs w:val="20"/>
                <w:color w:val="auto"/>
              </w:rPr>
            </w:pPr>
            <w:r>
              <w:rPr>
                <w:rFonts w:ascii="Arial" w:cs="Arial" w:eastAsia="Arial" w:hAnsi="Arial"/>
                <w:sz w:val="17"/>
                <w:szCs w:val="17"/>
                <w:color w:val="auto"/>
              </w:rPr>
              <w:t>Acquired in-process research and development assets</w:t>
            </w:r>
          </w:p>
        </w:tc>
        <w:tc>
          <w:tcPr>
            <w:tcW w:w="280" w:type="dxa"/>
            <w:vAlign w:val="bottom"/>
          </w:tcPr>
          <w:p>
            <w:pPr>
              <w:spacing w:after="0"/>
              <w:rPr>
                <w:sz w:val="19"/>
                <w:szCs w:val="19"/>
                <w:color w:val="auto"/>
              </w:rPr>
            </w:pPr>
          </w:p>
        </w:tc>
        <w:tc>
          <w:tcPr>
            <w:tcW w:w="1160" w:type="dxa"/>
            <w:vAlign w:val="bottom"/>
            <w:gridSpan w:val="2"/>
          </w:tcPr>
          <w:p>
            <w:pPr>
              <w:jc w:val="right"/>
              <w:ind w:right="178"/>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8,000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36"/>
        </w:trPr>
        <w:tc>
          <w:tcPr>
            <w:tcW w:w="71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Share-based compensation expense</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27,242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13,321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526</w:t>
            </w:r>
          </w:p>
        </w:tc>
        <w:tc>
          <w:tcPr>
            <w:tcW w:w="100" w:type="dxa"/>
            <w:vAlign w:val="bottom"/>
            <w:shd w:val="clear" w:color="auto" w:fill="CFF0FC"/>
          </w:tcPr>
          <w:p>
            <w:pPr>
              <w:spacing w:after="0"/>
              <w:rPr>
                <w:sz w:val="20"/>
                <w:szCs w:val="20"/>
                <w:color w:val="auto"/>
              </w:rPr>
            </w:pPr>
          </w:p>
        </w:tc>
      </w:tr>
      <w:tr>
        <w:trPr>
          <w:trHeight w:val="223"/>
        </w:trPr>
        <w:tc>
          <w:tcPr>
            <w:tcW w:w="7120" w:type="dxa"/>
            <w:vAlign w:val="bottom"/>
          </w:tcPr>
          <w:p>
            <w:pPr>
              <w:ind w:left="200"/>
              <w:spacing w:after="0"/>
              <w:rPr>
                <w:sz w:val="20"/>
                <w:szCs w:val="20"/>
                <w:color w:val="auto"/>
              </w:rPr>
            </w:pPr>
            <w:r>
              <w:rPr>
                <w:rFonts w:ascii="Arial" w:cs="Arial" w:eastAsia="Arial" w:hAnsi="Arial"/>
                <w:sz w:val="17"/>
                <w:szCs w:val="17"/>
                <w:color w:val="auto"/>
              </w:rPr>
              <w:t>Depreciation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r>
      <w:tr>
        <w:trPr>
          <w:trHeight w:val="236"/>
        </w:trPr>
        <w:tc>
          <w:tcPr>
            <w:tcW w:w="71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Accretion of discounts on short-term investments, net</w:t>
            </w: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8"/>
              <w:spacing w:after="0"/>
              <w:rPr>
                <w:sz w:val="20"/>
                <w:szCs w:val="20"/>
                <w:color w:val="auto"/>
              </w:rPr>
            </w:pPr>
            <w:r>
              <w:rPr>
                <w:rFonts w:ascii="Arial" w:cs="Arial" w:eastAsia="Arial" w:hAnsi="Arial"/>
                <w:sz w:val="17"/>
                <w:szCs w:val="17"/>
                <w:color w:val="auto"/>
              </w:rPr>
              <w:t>(2,030 )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23"/>
        </w:trPr>
        <w:tc>
          <w:tcPr>
            <w:tcW w:w="7120" w:type="dxa"/>
            <w:vAlign w:val="bottom"/>
          </w:tcPr>
          <w:p>
            <w:pPr>
              <w:ind w:left="200"/>
              <w:spacing w:after="0"/>
              <w:rPr>
                <w:sz w:val="20"/>
                <w:szCs w:val="20"/>
                <w:color w:val="auto"/>
              </w:rPr>
            </w:pPr>
            <w:r>
              <w:rPr>
                <w:rFonts w:ascii="Arial" w:cs="Arial" w:eastAsia="Arial" w:hAnsi="Arial"/>
                <w:sz w:val="17"/>
                <w:szCs w:val="17"/>
                <w:color w:val="auto"/>
              </w:rPr>
              <w:t>Amortization of operating right-of-use assets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9"/>
                <w:szCs w:val="19"/>
                <w:color w:val="auto"/>
              </w:rPr>
            </w:pPr>
          </w:p>
        </w:tc>
      </w:tr>
      <w:tr>
        <w:trPr>
          <w:trHeight w:val="236"/>
        </w:trPr>
        <w:tc>
          <w:tcPr>
            <w:tcW w:w="71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Non-cash interest expense</w:t>
            </w: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78"/>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FF0FC"/>
          </w:tcPr>
          <w:p>
            <w:pPr>
              <w:spacing w:after="0"/>
              <w:rPr>
                <w:sz w:val="20"/>
                <w:szCs w:val="20"/>
                <w:color w:val="auto"/>
              </w:rPr>
            </w:pPr>
          </w:p>
        </w:tc>
      </w:tr>
      <w:tr>
        <w:trPr>
          <w:trHeight w:val="223"/>
        </w:trPr>
        <w:tc>
          <w:tcPr>
            <w:tcW w:w="7120" w:type="dxa"/>
            <w:vAlign w:val="bottom"/>
          </w:tcPr>
          <w:p>
            <w:pPr>
              <w:ind w:left="200"/>
              <w:spacing w:after="0"/>
              <w:rPr>
                <w:sz w:val="20"/>
                <w:szCs w:val="20"/>
                <w:color w:val="auto"/>
              </w:rPr>
            </w:pPr>
            <w:r>
              <w:rPr>
                <w:rFonts w:ascii="Arial" w:cs="Arial" w:eastAsia="Arial" w:hAnsi="Arial"/>
                <w:sz w:val="17"/>
                <w:szCs w:val="17"/>
                <w:color w:val="auto"/>
              </w:rPr>
              <w:t>Changes in derivative tranche liabilities</w:t>
            </w:r>
          </w:p>
        </w:tc>
        <w:tc>
          <w:tcPr>
            <w:tcW w:w="280" w:type="dxa"/>
            <w:vAlign w:val="bottom"/>
          </w:tcPr>
          <w:p>
            <w:pPr>
              <w:spacing w:after="0"/>
              <w:rPr>
                <w:sz w:val="19"/>
                <w:szCs w:val="19"/>
                <w:color w:val="auto"/>
              </w:rPr>
            </w:pPr>
          </w:p>
        </w:tc>
        <w:tc>
          <w:tcPr>
            <w:tcW w:w="1160" w:type="dxa"/>
            <w:vAlign w:val="bottom"/>
            <w:gridSpan w:val="2"/>
          </w:tcPr>
          <w:p>
            <w:pPr>
              <w:jc w:val="right"/>
              <w:ind w:right="178"/>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30,000</w:t>
            </w:r>
          </w:p>
        </w:tc>
        <w:tc>
          <w:tcPr>
            <w:tcW w:w="100" w:type="dxa"/>
            <w:vAlign w:val="bottom"/>
          </w:tcPr>
          <w:p>
            <w:pPr>
              <w:spacing w:after="0"/>
              <w:rPr>
                <w:sz w:val="19"/>
                <w:szCs w:val="19"/>
                <w:color w:val="auto"/>
              </w:rPr>
            </w:pPr>
          </w:p>
        </w:tc>
      </w:tr>
      <w:tr>
        <w:trPr>
          <w:trHeight w:val="236"/>
        </w:trPr>
        <w:tc>
          <w:tcPr>
            <w:tcW w:w="71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Changes in operating assets and liabilities: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7120" w:type="dxa"/>
            <w:vAlign w:val="bottom"/>
          </w:tcPr>
          <w:p>
            <w:pPr>
              <w:ind w:left="38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Pr>
          <w:p>
            <w:pPr>
              <w:spacing w:after="0"/>
              <w:rPr>
                <w:sz w:val="19"/>
                <w:szCs w:val="19"/>
                <w:color w:val="auto"/>
              </w:rPr>
            </w:pPr>
          </w:p>
        </w:tc>
        <w:tc>
          <w:tcPr>
            <w:tcW w:w="1160" w:type="dxa"/>
            <w:vAlign w:val="bottom"/>
            <w:gridSpan w:val="2"/>
          </w:tcPr>
          <w:p>
            <w:pPr>
              <w:jc w:val="right"/>
              <w:ind w:right="98"/>
              <w:spacing w:after="0"/>
              <w:rPr>
                <w:sz w:val="20"/>
                <w:szCs w:val="20"/>
                <w:color w:val="auto"/>
              </w:rPr>
            </w:pPr>
            <w:r>
              <w:rPr>
                <w:rFonts w:ascii="Arial" w:cs="Arial" w:eastAsia="Arial" w:hAnsi="Arial"/>
                <w:sz w:val="17"/>
                <w:szCs w:val="17"/>
                <w:color w:val="auto"/>
              </w:rPr>
              <w:t>(546 )</w:t>
            </w: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(3,717 )</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(1,336 )</w:t>
            </w:r>
          </w:p>
        </w:tc>
      </w:tr>
      <w:tr>
        <w:trPr>
          <w:trHeight w:val="236"/>
        </w:trPr>
        <w:tc>
          <w:tcPr>
            <w:tcW w:w="71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Deposits and other long-term assets</w:t>
            </w: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8"/>
              <w:spacing w:after="0"/>
              <w:rPr>
                <w:sz w:val="20"/>
                <w:szCs w:val="20"/>
                <w:color w:val="auto"/>
              </w:rPr>
            </w:pPr>
            <w:r>
              <w:rPr>
                <w:rFonts w:ascii="Arial" w:cs="Arial" w:eastAsia="Arial" w:hAnsi="Arial"/>
                <w:sz w:val="17"/>
                <w:szCs w:val="17"/>
                <w:color w:val="auto"/>
              </w:rPr>
              <w:t>(300 )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(62 )</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(107 )</w:t>
            </w:r>
          </w:p>
        </w:tc>
      </w:tr>
      <w:tr>
        <w:trPr>
          <w:trHeight w:val="223"/>
        </w:trPr>
        <w:tc>
          <w:tcPr>
            <w:tcW w:w="7120" w:type="dxa"/>
            <w:vAlign w:val="bottom"/>
          </w:tcPr>
          <w:p>
            <w:pPr>
              <w:ind w:left="38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19"/>
                <w:szCs w:val="19"/>
                <w:color w:val="auto"/>
              </w:rPr>
            </w:pPr>
          </w:p>
        </w:tc>
        <w:tc>
          <w:tcPr>
            <w:tcW w:w="1160" w:type="dxa"/>
            <w:vAlign w:val="bottom"/>
            <w:gridSpan w:val="2"/>
          </w:tcPr>
          <w:p>
            <w:pPr>
              <w:jc w:val="right"/>
              <w:ind w:right="98"/>
              <w:spacing w:after="0"/>
              <w:rPr>
                <w:sz w:val="20"/>
                <w:szCs w:val="20"/>
                <w:color w:val="auto"/>
              </w:rPr>
            </w:pPr>
            <w:r>
              <w:rPr>
                <w:rFonts w:ascii="Arial" w:cs="Arial" w:eastAsia="Arial" w:hAnsi="Arial"/>
                <w:sz w:val="17"/>
                <w:szCs w:val="17"/>
                <w:color w:val="auto"/>
              </w:rPr>
              <w:t>(1,484 )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r>
      <w:tr>
        <w:trPr>
          <w:trHeight w:val="236"/>
        </w:trPr>
        <w:tc>
          <w:tcPr>
            <w:tcW w:w="71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9,241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1,127</w:t>
            </w:r>
          </w:p>
        </w:tc>
        <w:tc>
          <w:tcPr>
            <w:tcW w:w="100" w:type="dxa"/>
            <w:vAlign w:val="bottom"/>
            <w:shd w:val="clear" w:color="auto" w:fill="CFF0FC"/>
          </w:tcPr>
          <w:p>
            <w:pPr>
              <w:spacing w:after="0"/>
              <w:rPr>
                <w:sz w:val="20"/>
                <w:szCs w:val="20"/>
                <w:color w:val="auto"/>
              </w:rPr>
            </w:pPr>
          </w:p>
        </w:tc>
      </w:tr>
      <w:tr>
        <w:trPr>
          <w:trHeight w:val="223"/>
        </w:trPr>
        <w:tc>
          <w:tcPr>
            <w:tcW w:w="7120" w:type="dxa"/>
            <w:vAlign w:val="bottom"/>
          </w:tcPr>
          <w:p>
            <w:pPr>
              <w:ind w:left="380"/>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19"/>
                <w:szCs w:val="19"/>
                <w:color w:val="auto"/>
              </w:rPr>
            </w:pPr>
          </w:p>
        </w:tc>
        <w:tc>
          <w:tcPr>
            <w:tcW w:w="1160" w:type="dxa"/>
            <w:vAlign w:val="bottom"/>
            <w:gridSpan w:val="2"/>
          </w:tcPr>
          <w:p>
            <w:pPr>
              <w:jc w:val="right"/>
              <w:ind w:right="98"/>
              <w:spacing w:after="0"/>
              <w:rPr>
                <w:sz w:val="20"/>
                <w:szCs w:val="20"/>
                <w:color w:val="auto"/>
              </w:rPr>
            </w:pPr>
            <w:r>
              <w:rPr>
                <w:rFonts w:ascii="Arial" w:cs="Arial" w:eastAsia="Arial" w:hAnsi="Arial"/>
                <w:sz w:val="17"/>
                <w:szCs w:val="17"/>
                <w:color w:val="auto"/>
              </w:rPr>
              <w:t>(347 )</w:t>
            </w: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(182 )</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(173 )</w:t>
            </w:r>
          </w:p>
        </w:tc>
      </w:tr>
      <w:tr>
        <w:trPr>
          <w:trHeight w:val="229"/>
        </w:trPr>
        <w:tc>
          <w:tcPr>
            <w:tcW w:w="7120" w:type="dxa"/>
            <w:vAlign w:val="bottom"/>
            <w:shd w:val="clear" w:color="auto" w:fill="CFF0FC"/>
          </w:tcPr>
          <w:p>
            <w:pPr>
              <w:ind w:left="560"/>
              <w:spacing w:after="0"/>
              <w:rPr>
                <w:sz w:val="20"/>
                <w:szCs w:val="20"/>
                <w:color w:val="auto"/>
              </w:rPr>
            </w:pPr>
            <w:r>
              <w:rPr>
                <w:rFonts w:ascii="Arial" w:cs="Arial" w:eastAsia="Arial" w:hAnsi="Arial"/>
                <w:sz w:val="17"/>
                <w:szCs w:val="17"/>
                <w:color w:val="auto"/>
              </w:rPr>
              <w:t>Net cash used in operating activities</w:t>
            </w: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(109,874</w:t>
            </w:r>
          </w:p>
        </w:tc>
        <w:tc>
          <w:tcPr>
            <w:tcW w:w="2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(48,539</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(13,489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5"/>
        </w:trPr>
        <w:tc>
          <w:tcPr>
            <w:tcW w:w="712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1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Cash paid for purchase of short-term investments</w:t>
            </w: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8"/>
              <w:spacing w:after="0"/>
              <w:rPr>
                <w:sz w:val="20"/>
                <w:szCs w:val="20"/>
                <w:color w:val="auto"/>
              </w:rPr>
            </w:pPr>
            <w:r>
              <w:rPr>
                <w:rFonts w:ascii="Arial" w:cs="Arial" w:eastAsia="Arial" w:hAnsi="Arial"/>
                <w:sz w:val="17"/>
                <w:szCs w:val="17"/>
                <w:color w:val="auto"/>
              </w:rPr>
              <w:t>(394,206 )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23"/>
        </w:trPr>
        <w:tc>
          <w:tcPr>
            <w:tcW w:w="7120" w:type="dxa"/>
            <w:vAlign w:val="bottom"/>
          </w:tcPr>
          <w:p>
            <w:pPr>
              <w:ind w:left="200"/>
              <w:spacing w:after="0"/>
              <w:rPr>
                <w:sz w:val="20"/>
                <w:szCs w:val="20"/>
                <w:color w:val="auto"/>
              </w:rPr>
            </w:pPr>
            <w:r>
              <w:rPr>
                <w:rFonts w:ascii="Arial" w:cs="Arial" w:eastAsia="Arial" w:hAnsi="Arial"/>
                <w:sz w:val="17"/>
                <w:szCs w:val="17"/>
                <w:color w:val="auto"/>
              </w:rPr>
              <w:t>Proceeds from maturity of short-term investment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139,158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36"/>
        </w:trPr>
        <w:tc>
          <w:tcPr>
            <w:tcW w:w="71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Cash paid for purchase of property and equipment</w:t>
            </w: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8"/>
              <w:spacing w:after="0"/>
              <w:rPr>
                <w:sz w:val="20"/>
                <w:szCs w:val="20"/>
                <w:color w:val="auto"/>
              </w:rPr>
            </w:pPr>
            <w:r>
              <w:rPr>
                <w:rFonts w:ascii="Arial" w:cs="Arial" w:eastAsia="Arial" w:hAnsi="Arial"/>
                <w:sz w:val="17"/>
                <w:szCs w:val="17"/>
                <w:color w:val="auto"/>
              </w:rPr>
              <w:t>(26 )</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(92 )</w:t>
            </w:r>
          </w:p>
        </w:tc>
      </w:tr>
      <w:tr>
        <w:trPr>
          <w:trHeight w:val="223"/>
        </w:trPr>
        <w:tc>
          <w:tcPr>
            <w:tcW w:w="7120" w:type="dxa"/>
            <w:vAlign w:val="bottom"/>
          </w:tcPr>
          <w:p>
            <w:pPr>
              <w:ind w:left="200"/>
              <w:spacing w:after="0"/>
              <w:rPr>
                <w:sz w:val="20"/>
                <w:szCs w:val="20"/>
                <w:color w:val="auto"/>
              </w:rPr>
            </w:pPr>
            <w:r>
              <w:rPr>
                <w:rFonts w:ascii="Arial" w:cs="Arial" w:eastAsia="Arial" w:hAnsi="Arial"/>
                <w:sz w:val="17"/>
                <w:szCs w:val="17"/>
                <w:color w:val="auto"/>
              </w:rPr>
              <w:t>Cash paid for acquired in-process research and development assets</w:t>
            </w:r>
          </w:p>
        </w:tc>
        <w:tc>
          <w:tcPr>
            <w:tcW w:w="280" w:type="dxa"/>
            <w:vAlign w:val="bottom"/>
          </w:tcPr>
          <w:p>
            <w:pPr>
              <w:spacing w:after="0"/>
              <w:rPr>
                <w:sz w:val="19"/>
                <w:szCs w:val="19"/>
                <w:color w:val="auto"/>
              </w:rPr>
            </w:pPr>
          </w:p>
        </w:tc>
        <w:tc>
          <w:tcPr>
            <w:tcW w:w="1160" w:type="dxa"/>
            <w:vAlign w:val="bottom"/>
            <w:gridSpan w:val="2"/>
          </w:tcPr>
          <w:p>
            <w:pPr>
              <w:jc w:val="right"/>
              <w:ind w:right="178"/>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(8,000 )</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29"/>
        </w:trPr>
        <w:tc>
          <w:tcPr>
            <w:tcW w:w="7120" w:type="dxa"/>
            <w:vAlign w:val="bottom"/>
            <w:shd w:val="clear" w:color="auto" w:fill="CFF0FC"/>
          </w:tcPr>
          <w:p>
            <w:pPr>
              <w:ind w:left="56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(255,074</w:t>
            </w:r>
          </w:p>
        </w:tc>
        <w:tc>
          <w:tcPr>
            <w:tcW w:w="2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(8,000</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5"/>
        </w:trPr>
        <w:tc>
          <w:tcPr>
            <w:tcW w:w="712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120" w:type="dxa"/>
            <w:vAlign w:val="bottom"/>
            <w:shd w:val="clear" w:color="auto" w:fill="CFF0FC"/>
          </w:tcPr>
          <w:p>
            <w:pPr>
              <w:ind w:left="200"/>
              <w:spacing w:after="0"/>
              <w:rPr>
                <w:sz w:val="20"/>
                <w:szCs w:val="20"/>
                <w:color w:val="auto"/>
              </w:rPr>
            </w:pPr>
            <w:r>
              <w:rPr>
                <w:rFonts w:ascii="Arial" w:cs="Arial" w:eastAsia="Arial" w:hAnsi="Arial"/>
                <w:sz w:val="17"/>
                <w:szCs w:val="17"/>
                <w:color w:val="auto"/>
                <w:w w:val="92"/>
              </w:rPr>
              <w:t>Proceeds from issuance of Series A redeemable convertible preferred shares, net of issuance costs</w:t>
            </w: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78"/>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29,977</w:t>
            </w:r>
          </w:p>
        </w:tc>
        <w:tc>
          <w:tcPr>
            <w:tcW w:w="100" w:type="dxa"/>
            <w:vAlign w:val="bottom"/>
            <w:shd w:val="clear" w:color="auto" w:fill="CFF0FC"/>
          </w:tcPr>
          <w:p>
            <w:pPr>
              <w:spacing w:after="0"/>
              <w:rPr>
                <w:sz w:val="20"/>
                <w:szCs w:val="20"/>
                <w:color w:val="auto"/>
              </w:rPr>
            </w:pPr>
          </w:p>
        </w:tc>
      </w:tr>
      <w:tr>
        <w:trPr>
          <w:trHeight w:val="223"/>
        </w:trPr>
        <w:tc>
          <w:tcPr>
            <w:tcW w:w="7120" w:type="dxa"/>
            <w:vAlign w:val="bottom"/>
          </w:tcPr>
          <w:p>
            <w:pPr>
              <w:ind w:left="200"/>
              <w:spacing w:after="0"/>
              <w:rPr>
                <w:sz w:val="20"/>
                <w:szCs w:val="20"/>
                <w:color w:val="auto"/>
              </w:rPr>
            </w:pPr>
            <w:r>
              <w:rPr>
                <w:rFonts w:ascii="Arial" w:cs="Arial" w:eastAsia="Arial" w:hAnsi="Arial"/>
                <w:sz w:val="17"/>
                <w:szCs w:val="17"/>
                <w:color w:val="auto"/>
                <w:w w:val="92"/>
              </w:rPr>
              <w:t>Proceeds from issuance of Series B redeemable convertible preferred shares, net of issuance costs</w:t>
            </w:r>
          </w:p>
        </w:tc>
        <w:tc>
          <w:tcPr>
            <w:tcW w:w="280" w:type="dxa"/>
            <w:vAlign w:val="bottom"/>
          </w:tcPr>
          <w:p>
            <w:pPr>
              <w:spacing w:after="0"/>
              <w:rPr>
                <w:sz w:val="19"/>
                <w:szCs w:val="19"/>
                <w:color w:val="auto"/>
              </w:rPr>
            </w:pPr>
          </w:p>
        </w:tc>
        <w:tc>
          <w:tcPr>
            <w:tcW w:w="1160" w:type="dxa"/>
            <w:vAlign w:val="bottom"/>
            <w:gridSpan w:val="2"/>
          </w:tcPr>
          <w:p>
            <w:pPr>
              <w:jc w:val="right"/>
              <w:ind w:right="178"/>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129,757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36"/>
        </w:trPr>
        <w:tc>
          <w:tcPr>
            <w:tcW w:w="71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Proceeds from issuance of common stock, net</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161,610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167,045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23"/>
        </w:trPr>
        <w:tc>
          <w:tcPr>
            <w:tcW w:w="7120" w:type="dxa"/>
            <w:vAlign w:val="bottom"/>
          </w:tcPr>
          <w:p>
            <w:pPr>
              <w:ind w:left="200"/>
              <w:spacing w:after="0"/>
              <w:rPr>
                <w:sz w:val="20"/>
                <w:szCs w:val="20"/>
                <w:color w:val="auto"/>
              </w:rPr>
            </w:pPr>
            <w:r>
              <w:rPr>
                <w:rFonts w:ascii="Arial" w:cs="Arial" w:eastAsia="Arial" w:hAnsi="Arial"/>
                <w:sz w:val="17"/>
                <w:szCs w:val="17"/>
                <w:color w:val="auto"/>
              </w:rPr>
              <w:t>Proceeds from issuance of common stock upon stock option exercises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3,649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30"/>
        </w:trPr>
        <w:tc>
          <w:tcPr>
            <w:tcW w:w="71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Proceeds from issuance of common stock upon ESPP purchase</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23"/>
        </w:trPr>
        <w:tc>
          <w:tcPr>
            <w:tcW w:w="7120" w:type="dxa"/>
            <w:vAlign w:val="bottom"/>
            <w:tcBorders>
              <w:top w:val="single" w:sz="8" w:color="CFF0FC"/>
            </w:tcBorders>
          </w:tcPr>
          <w:p>
            <w:pPr>
              <w:ind w:left="560"/>
              <w:spacing w:after="0"/>
              <w:rPr>
                <w:sz w:val="20"/>
                <w:szCs w:val="20"/>
                <w:color w:val="auto"/>
              </w:rPr>
            </w:pPr>
            <w:r>
              <w:rPr>
                <w:rFonts w:ascii="Arial" w:cs="Arial" w:eastAsia="Arial" w:hAnsi="Arial"/>
                <w:sz w:val="17"/>
                <w:szCs w:val="17"/>
                <w:color w:val="auto"/>
              </w:rPr>
              <w:t>Net cash provided by financing activities</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165,901</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297,120</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29,977</w:t>
            </w:r>
          </w:p>
        </w:tc>
        <w:tc>
          <w:tcPr>
            <w:tcW w:w="100" w:type="dxa"/>
            <w:vAlign w:val="bottom"/>
            <w:tcBorders>
              <w:top w:val="single" w:sz="8" w:color="CFF0FC"/>
            </w:tcBorders>
          </w:tcPr>
          <w:p>
            <w:pPr>
              <w:spacing w:after="0"/>
              <w:rPr>
                <w:sz w:val="19"/>
                <w:szCs w:val="19"/>
                <w:color w:val="auto"/>
              </w:rPr>
            </w:pPr>
          </w:p>
        </w:tc>
      </w:tr>
      <w:tr>
        <w:trPr>
          <w:trHeight w:val="230"/>
        </w:trPr>
        <w:tc>
          <w:tcPr>
            <w:tcW w:w="71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(199,047</w:t>
            </w:r>
          </w:p>
        </w:tc>
        <w:tc>
          <w:tcPr>
            <w:tcW w:w="2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240,581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16,396</w:t>
            </w:r>
          </w:p>
        </w:tc>
        <w:tc>
          <w:tcPr>
            <w:tcW w:w="100" w:type="dxa"/>
            <w:vAlign w:val="bottom"/>
            <w:shd w:val="clear" w:color="auto" w:fill="CFF0FC"/>
          </w:tcPr>
          <w:p>
            <w:pPr>
              <w:spacing w:after="0"/>
              <w:rPr>
                <w:sz w:val="19"/>
                <w:szCs w:val="19"/>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284,309</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43,728</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27,332</w:t>
            </w:r>
          </w:p>
        </w:tc>
        <w:tc>
          <w:tcPr>
            <w:tcW w:w="100" w:type="dxa"/>
            <w:vAlign w:val="bottom"/>
          </w:tcPr>
          <w:p>
            <w:pPr>
              <w:spacing w:after="0"/>
              <w:rPr>
                <w:sz w:val="19"/>
                <w:szCs w:val="19"/>
                <w:color w:val="auto"/>
              </w:rPr>
            </w:pPr>
          </w:p>
        </w:tc>
      </w:tr>
      <w:tr>
        <w:trPr>
          <w:trHeight w:val="263"/>
        </w:trPr>
        <w:tc>
          <w:tcPr>
            <w:tcW w:w="7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85,262</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284,309</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43,728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2"/>
        </w:trPr>
        <w:tc>
          <w:tcPr>
            <w:tcW w:w="712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disclosures of noncash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1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Lease liability obtained in exchange for right-of-use asset</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545</w:t>
            </w:r>
          </w:p>
        </w:tc>
        <w:tc>
          <w:tcPr>
            <w:tcW w:w="100" w:type="dxa"/>
            <w:vAlign w:val="bottom"/>
            <w:shd w:val="clear" w:color="auto" w:fill="CFF0FC"/>
          </w:tcPr>
          <w:p>
            <w:pPr>
              <w:spacing w:after="0"/>
              <w:rPr>
                <w:sz w:val="20"/>
                <w:szCs w:val="20"/>
                <w:color w:val="auto"/>
              </w:rPr>
            </w:pPr>
          </w:p>
        </w:tc>
      </w:tr>
      <w:tr>
        <w:trPr>
          <w:trHeight w:val="223"/>
        </w:trPr>
        <w:tc>
          <w:tcPr>
            <w:tcW w:w="7120" w:type="dxa"/>
            <w:vAlign w:val="bottom"/>
          </w:tcPr>
          <w:p>
            <w:pPr>
              <w:ind w:left="200"/>
              <w:spacing w:after="0"/>
              <w:rPr>
                <w:sz w:val="20"/>
                <w:szCs w:val="20"/>
                <w:color w:val="auto"/>
              </w:rPr>
            </w:pPr>
            <w:r>
              <w:rPr>
                <w:rFonts w:ascii="Arial" w:cs="Arial" w:eastAsia="Arial" w:hAnsi="Arial"/>
                <w:sz w:val="17"/>
                <w:szCs w:val="17"/>
                <w:color w:val="auto"/>
              </w:rPr>
              <w:t>Transfers to redeemable convertible noncontrolling interest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78"/>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3,551</w:t>
            </w:r>
          </w:p>
        </w:tc>
        <w:tc>
          <w:tcPr>
            <w:tcW w:w="100" w:type="dxa"/>
            <w:vAlign w:val="bottom"/>
          </w:tcPr>
          <w:p>
            <w:pPr>
              <w:spacing w:after="0"/>
              <w:rPr>
                <w:sz w:val="19"/>
                <w:szCs w:val="19"/>
                <w:color w:val="auto"/>
              </w:rPr>
            </w:pPr>
          </w:p>
        </w:tc>
      </w:tr>
      <w:tr>
        <w:trPr>
          <w:trHeight w:val="205"/>
        </w:trPr>
        <w:tc>
          <w:tcPr>
            <w:tcW w:w="71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Exchange of 45,331,483 preferred, common, and incentive shares in connection with the</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12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Conversion (Note 1)</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FF0FC"/>
          </w:tcPr>
          <w:p>
            <w:pPr>
              <w:jc w:val="right"/>
              <w:ind w:right="178"/>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224,892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198"/>
        </w:trPr>
        <w:tc>
          <w:tcPr>
            <w:tcW w:w="7120" w:type="dxa"/>
            <w:vAlign w:val="bottom"/>
          </w:tcPr>
          <w:p>
            <w:pPr>
              <w:ind w:left="200"/>
              <w:spacing w:after="0"/>
              <w:rPr>
                <w:sz w:val="20"/>
                <w:szCs w:val="20"/>
                <w:color w:val="auto"/>
              </w:rPr>
            </w:pPr>
            <w:r>
              <w:rPr>
                <w:rFonts w:ascii="Arial" w:cs="Arial" w:eastAsia="Arial" w:hAnsi="Arial"/>
                <w:sz w:val="17"/>
                <w:szCs w:val="17"/>
                <w:color w:val="auto"/>
                <w:w w:val="93"/>
              </w:rPr>
              <w:t>Exchange of redeemable convertible noncontrolling interest to 6,470,382 shares of common stock</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20" w:type="dxa"/>
            <w:vAlign w:val="bottom"/>
          </w:tcPr>
          <w:p>
            <w:pPr>
              <w:ind w:left="200"/>
              <w:spacing w:after="0"/>
              <w:rPr>
                <w:sz w:val="20"/>
                <w:szCs w:val="20"/>
                <w:color w:val="auto"/>
              </w:rPr>
            </w:pPr>
            <w:r>
              <w:rPr>
                <w:rFonts w:ascii="Arial" w:cs="Arial" w:eastAsia="Arial" w:hAnsi="Arial"/>
                <w:sz w:val="17"/>
                <w:szCs w:val="17"/>
                <w:color w:val="auto"/>
              </w:rPr>
              <w:t>(Note 11)</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78"/>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3,592</w:t>
            </w:r>
          </w:p>
        </w:tc>
        <w:tc>
          <w:tcPr>
            <w:tcW w:w="24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-1608455</wp:posOffset>
            </wp:positionV>
            <wp:extent cx="68580" cy="1631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-1608455</wp:posOffset>
            </wp:positionV>
            <wp:extent cx="68580" cy="1631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-1608455</wp:posOffset>
            </wp:positionV>
            <wp:extent cx="68580" cy="1631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-999490</wp:posOffset>
            </wp:positionV>
            <wp:extent cx="1859915"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1859915" cy="171450"/>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Day One Biopharmaceuticals,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Organization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20" w:firstLine="562"/>
        <w:spacing w:after="0" w:line="257" w:lineRule="auto"/>
        <w:rPr>
          <w:sz w:val="20"/>
          <w:szCs w:val="20"/>
          <w:color w:val="auto"/>
        </w:rPr>
      </w:pPr>
      <w:r>
        <w:rPr>
          <w:rFonts w:ascii="Arial" w:cs="Arial" w:eastAsia="Arial" w:hAnsi="Arial"/>
          <w:sz w:val="18"/>
          <w:szCs w:val="18"/>
          <w:color w:val="auto"/>
        </w:rPr>
        <w:t>Day One Biopharmaceuticals, Inc., or the Company, is a clinical-stage biopharmaceutical company dedicated to developing and commercializing targeted therapies for patients of all ages with life-threatening diseases. The Company was formed as a limited liability company under the laws of the State of Delaware in November 2018, under the name Hero Therapeutics Holding Company, LLC. Subsequently, the Company changed its name to Day One Therapeutics Holding Company, LLC in December 2018 and to Day One Biopharmaceuticals Holding Company, LLC, or Day One Holding LLC, in March 2020.</w:t>
      </w:r>
    </w:p>
    <w:p>
      <w:pPr>
        <w:spacing w:after="0" w:line="80" w:lineRule="exact"/>
        <w:rPr>
          <w:sz w:val="20"/>
          <w:szCs w:val="20"/>
          <w:color w:val="auto"/>
        </w:rPr>
      </w:pPr>
    </w:p>
    <w:p>
      <w:pPr>
        <w:ind w:right="60" w:firstLine="562"/>
        <w:spacing w:after="0" w:line="301" w:lineRule="auto"/>
        <w:rPr>
          <w:sz w:val="20"/>
          <w:szCs w:val="20"/>
          <w:color w:val="auto"/>
        </w:rPr>
      </w:pPr>
      <w:r>
        <w:rPr>
          <w:rFonts w:ascii="Arial" w:cs="Arial" w:eastAsia="Arial" w:hAnsi="Arial"/>
          <w:sz w:val="16"/>
          <w:szCs w:val="16"/>
          <w:color w:val="auto"/>
        </w:rPr>
        <w:t>On May 26, 2021, the Company completed a conversion by filing a certificate of conversion with the Secretary of State of the State of Delaware and changed its name to Day One Biopharmaceuticals, Inc. Prior to December 31, 2021, the Company had two subsidiaries: DOT Therapeutics-2, Inc. (formerly Hero Therapeutics Inc. and Day One Biopharmaceuticals, Inc.), or DOT-2, incorporated in Delaware in November 2018, and DOT Therapeutics-1, Inc., or DOT-1, incorporated in Delaware in December 2019. DOT-2 and DOT-1 are collectively referred to herein as the Subsidiaries.</w:t>
      </w:r>
    </w:p>
    <w:p>
      <w:pPr>
        <w:spacing w:after="0" w:line="49" w:lineRule="exact"/>
        <w:rPr>
          <w:sz w:val="20"/>
          <w:szCs w:val="20"/>
          <w:color w:val="auto"/>
        </w:rPr>
      </w:pPr>
    </w:p>
    <w:p>
      <w:pPr>
        <w:jc w:val="both"/>
        <w:ind w:right="60" w:firstLine="562"/>
        <w:spacing w:after="0" w:line="263" w:lineRule="auto"/>
        <w:rPr>
          <w:sz w:val="20"/>
          <w:szCs w:val="20"/>
          <w:color w:val="auto"/>
        </w:rPr>
      </w:pPr>
      <w:r>
        <w:rPr>
          <w:rFonts w:ascii="Arial" w:cs="Arial" w:eastAsia="Arial" w:hAnsi="Arial"/>
          <w:sz w:val="18"/>
          <w:szCs w:val="18"/>
          <w:color w:val="auto"/>
        </w:rPr>
        <w:t>In December 2021, the Company’s board of directors approved the merger, or the Merger, of the Subsidiaries with and into the Company, with the Company being the surviving corporation, effective December 31, 2021. For more information on the financial statement impact of the Merger, refer to the section titled “Basis of Presentation.”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Corporate Conversion and Exchange of Takeda’s shares</w:t>
      </w:r>
    </w:p>
    <w:p>
      <w:pPr>
        <w:spacing w:after="0" w:line="117" w:lineRule="exact"/>
        <w:rPr>
          <w:sz w:val="20"/>
          <w:szCs w:val="20"/>
          <w:color w:val="auto"/>
        </w:rPr>
      </w:pPr>
    </w:p>
    <w:p>
      <w:pPr>
        <w:ind w:firstLine="562"/>
        <w:spacing w:after="0" w:line="257" w:lineRule="auto"/>
        <w:rPr>
          <w:sz w:val="20"/>
          <w:szCs w:val="20"/>
          <w:color w:val="auto"/>
        </w:rPr>
      </w:pPr>
      <w:r>
        <w:rPr>
          <w:rFonts w:ascii="Arial" w:cs="Arial" w:eastAsia="Arial" w:hAnsi="Arial"/>
          <w:sz w:val="18"/>
          <w:szCs w:val="18"/>
          <w:color w:val="auto"/>
        </w:rPr>
        <w:t>On June 1, 2021, the Company closed its initial public offering, or the IPO, in which it sold an aggregate of 11,500,000 shares of common stock at a price to the public of $16.00 per share, which included 1,500,000 shares issued upon the full exercise by the underwriters of their option to purchase additional shares of common stock. The Company received aggregate net proceeds from the IPO of $167.0 million, after deducting underwriting discounts and commissions and offering costs, of $17.0 million. The common stock began trading on the Nasdaq Global Select Market on May 27, 2021 under the symbol “DAWN.”</w:t>
      </w:r>
    </w:p>
    <w:p>
      <w:pPr>
        <w:spacing w:after="0" w:line="80" w:lineRule="exact"/>
        <w:rPr>
          <w:sz w:val="20"/>
          <w:szCs w:val="20"/>
          <w:color w:val="auto"/>
        </w:rPr>
      </w:pPr>
    </w:p>
    <w:p>
      <w:pPr>
        <w:ind w:right="40" w:firstLine="562"/>
        <w:spacing w:after="0" w:line="263" w:lineRule="auto"/>
        <w:rPr>
          <w:sz w:val="20"/>
          <w:szCs w:val="20"/>
          <w:color w:val="auto"/>
        </w:rPr>
      </w:pPr>
      <w:r>
        <w:rPr>
          <w:rFonts w:ascii="Arial" w:cs="Arial" w:eastAsia="Arial" w:hAnsi="Arial"/>
          <w:sz w:val="18"/>
          <w:szCs w:val="18"/>
          <w:color w:val="auto"/>
        </w:rPr>
        <w:t>In contemplation of the IPO, on May 26, 2021, the Company completed a legal entity conversion, or the Conversion, which included the following: Day One Holding LLC (i) converted from a Delaware limited liability company to a Delaware corporation by filing a certificate of conversion with the Secretary of State of the State of Delaware and (ii) changed its name to Day One Biopharmaceuticals, Inc.</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part of the Conversion:</w:t>
      </w:r>
    </w:p>
    <w:p>
      <w:pPr>
        <w:spacing w:after="0" w:line="117" w:lineRule="exact"/>
        <w:rPr>
          <w:sz w:val="20"/>
          <w:szCs w:val="20"/>
          <w:color w:val="auto"/>
        </w:rPr>
      </w:pPr>
    </w:p>
    <w:p>
      <w:pPr>
        <w:ind w:left="1020" w:right="40" w:hanging="503"/>
        <w:spacing w:after="0" w:line="342"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holders of Series A redeemable convertible preferred shares of Day One Holding LLC received one share of Series A redeemable convertible preferred stock of the Company for each Series A redeemable convertible preferred share held immediately prior to the Conversion;</w:t>
      </w:r>
    </w:p>
    <w:p>
      <w:pPr>
        <w:spacing w:after="0" w:line="15" w:lineRule="exact"/>
        <w:rPr>
          <w:rFonts w:ascii="Arial" w:cs="Arial" w:eastAsia="Arial" w:hAnsi="Arial"/>
          <w:sz w:val="16"/>
          <w:szCs w:val="16"/>
          <w:color w:val="auto"/>
        </w:rPr>
      </w:pPr>
    </w:p>
    <w:p>
      <w:pPr>
        <w:ind w:left="1020" w:right="60" w:hanging="503"/>
        <w:spacing w:after="0" w:line="342"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holders of Series B redeemable convertible preferred shares of Day One Holding LLC received one share of Series B redeemable convertible preferred stock of the Company for each Series B redeemable convertible preferred share held immediately prior to the Conversion;</w:t>
      </w:r>
    </w:p>
    <w:p>
      <w:pPr>
        <w:spacing w:after="0" w:line="15" w:lineRule="exact"/>
        <w:rPr>
          <w:rFonts w:ascii="Arial" w:cs="Arial" w:eastAsia="Arial" w:hAnsi="Arial"/>
          <w:sz w:val="16"/>
          <w:szCs w:val="16"/>
          <w:color w:val="auto"/>
        </w:rPr>
      </w:pPr>
    </w:p>
    <w:p>
      <w:pPr>
        <w:ind w:left="1020" w:right="460" w:hanging="503"/>
        <w:spacing w:after="0" w:line="277"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holders of common shares of Day One Holding LLC received one share of common stock of the Company for each common share held immediately prior to the Conversion;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4" w:name="page155"/>
    <w:bookmarkEnd w:id="154"/>
    <w:p>
      <w:pPr>
        <w:ind w:left="1020" w:hanging="503"/>
        <w:spacing w:after="0" w:line="25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outstanding incentive share in Day One Holding LLC converted into a number of shares of common stock of the Company based upon a conversion price determined by the board of directors. The conversion price was determined as a difference between the IPO price of $16.00 per share and the participating threshold for each incentive share. The Company issued 5,433,290 common stock shares upon the conversion of incentive shares of Day One Holding LLC, of which 4,719,605 common stock shares continue to vest as per the original vesting terms of the incentive shares awards.</w:t>
      </w:r>
    </w:p>
    <w:p>
      <w:pPr>
        <w:spacing w:after="0" w:line="80" w:lineRule="exact"/>
        <w:rPr>
          <w:sz w:val="20"/>
          <w:szCs w:val="20"/>
          <w:color w:val="auto"/>
        </w:rPr>
      </w:pPr>
    </w:p>
    <w:p>
      <w:pPr>
        <w:ind w:right="300" w:firstLine="562"/>
        <w:spacing w:after="0" w:line="311" w:lineRule="auto"/>
        <w:rPr>
          <w:sz w:val="20"/>
          <w:szCs w:val="20"/>
          <w:color w:val="auto"/>
        </w:rPr>
      </w:pPr>
      <w:r>
        <w:rPr>
          <w:rFonts w:ascii="Arial" w:cs="Arial" w:eastAsia="Arial" w:hAnsi="Arial"/>
          <w:sz w:val="16"/>
          <w:szCs w:val="16"/>
          <w:color w:val="auto"/>
        </w:rPr>
        <w:t>In connection with the IPO and the Conversion, pursuant to the terms of the Millennium Stock Exchange Agreement, or the Millennium Stock Exchange Agreement, and the Conversion, Millennium Pharmaceuticals, Inc. exchanged 9,857,143 shares of Series A redeemable convertible preferred stock of DOT-1, a subsidiary of Day One Holding LLC, for 6,470,382 shares of common stock of the Company, or the Exchange.</w:t>
      </w:r>
    </w:p>
    <w:p>
      <w:pPr>
        <w:spacing w:after="0" w:line="41" w:lineRule="exact"/>
        <w:rPr>
          <w:sz w:val="20"/>
          <w:szCs w:val="20"/>
          <w:color w:val="auto"/>
        </w:rPr>
      </w:pPr>
    </w:p>
    <w:p>
      <w:pPr>
        <w:ind w:firstLine="562"/>
        <w:spacing w:after="0" w:line="301" w:lineRule="auto"/>
        <w:rPr>
          <w:sz w:val="20"/>
          <w:szCs w:val="20"/>
          <w:color w:val="auto"/>
        </w:rPr>
      </w:pPr>
      <w:r>
        <w:rPr>
          <w:rFonts w:ascii="Arial" w:cs="Arial" w:eastAsia="Arial" w:hAnsi="Arial"/>
          <w:sz w:val="16"/>
          <w:szCs w:val="16"/>
          <w:color w:val="auto"/>
        </w:rPr>
        <w:t>The Company holds all property and assets of Day One Holding LLC and assumed all of the debts and obligations of Day One Holding LLC. Effective on the date of the Conversion, each member of the board of directors and each officer of Day One Holding LLC became a member of the board of directors and an officer of the Company. The Conversion was a tax-free reorganization, that included authorization to issue capital stock consisting of 500,000,000 shares of common stock, $0.0001 par value per share, and 10,000,000 shares of undesignated preferred stock, $0.0001 par value per share.</w:t>
      </w:r>
    </w:p>
    <w:p>
      <w:pPr>
        <w:spacing w:after="0" w:line="49" w:lineRule="exact"/>
        <w:rPr>
          <w:sz w:val="20"/>
          <w:szCs w:val="20"/>
          <w:color w:val="auto"/>
        </w:rPr>
      </w:pPr>
    </w:p>
    <w:p>
      <w:pPr>
        <w:ind w:right="60" w:firstLine="562"/>
        <w:spacing w:after="0" w:line="263" w:lineRule="auto"/>
        <w:rPr>
          <w:sz w:val="20"/>
          <w:szCs w:val="20"/>
          <w:color w:val="auto"/>
        </w:rPr>
      </w:pPr>
      <w:r>
        <w:rPr>
          <w:rFonts w:ascii="Arial" w:cs="Arial" w:eastAsia="Arial" w:hAnsi="Arial"/>
          <w:sz w:val="18"/>
          <w:szCs w:val="18"/>
          <w:color w:val="auto"/>
        </w:rPr>
        <w:t>Upon the closing of the IPO, 32,489,398 shares of redeemable convertible preferred stock issued by the Company in the Conversion converted into an equal number of shares of common stock. The Company also granted options for 4,418,874 shares of common stock at an exercise price of $16.00 per share upon the IPO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Split</w:t>
      </w:r>
    </w:p>
    <w:p>
      <w:pPr>
        <w:spacing w:after="0" w:line="117" w:lineRule="exact"/>
        <w:rPr>
          <w:sz w:val="20"/>
          <w:szCs w:val="20"/>
          <w:color w:val="auto"/>
        </w:rPr>
      </w:pPr>
    </w:p>
    <w:p>
      <w:pPr>
        <w:ind w:right="80" w:firstLine="562"/>
        <w:spacing w:after="0" w:line="257" w:lineRule="auto"/>
        <w:rPr>
          <w:sz w:val="20"/>
          <w:szCs w:val="20"/>
          <w:color w:val="auto"/>
        </w:rPr>
      </w:pPr>
      <w:r>
        <w:rPr>
          <w:rFonts w:ascii="Arial" w:cs="Arial" w:eastAsia="Arial" w:hAnsi="Arial"/>
          <w:sz w:val="18"/>
          <w:szCs w:val="18"/>
          <w:color w:val="auto"/>
        </w:rPr>
        <w:t>On May 23, 2021, the board of directors of Day One Holding LLC approved an amendment to its operating agreement to effect a forward split of the Company’s shares at a 2.325-for-1 ratio, or the Stock Split. The Stock Split became effective on May 23, 2021, upon approval by the members and execution of the amended LLC operating agreement. All issued and outstanding common shares, redeemable convertible preferred shares, incentive shares and per share amounts contained in these consolidated financial statements have been retroactively adjusted to reflect this Stock Split for all periods presented.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Related to COVID-19</w:t>
      </w:r>
    </w:p>
    <w:p>
      <w:pPr>
        <w:spacing w:after="0" w:line="117" w:lineRule="exact"/>
        <w:rPr>
          <w:sz w:val="20"/>
          <w:szCs w:val="20"/>
          <w:color w:val="auto"/>
        </w:rPr>
      </w:pPr>
    </w:p>
    <w:p>
      <w:pPr>
        <w:ind w:firstLine="562"/>
        <w:spacing w:after="0" w:line="293" w:lineRule="auto"/>
        <w:rPr>
          <w:sz w:val="20"/>
          <w:szCs w:val="20"/>
          <w:color w:val="auto"/>
        </w:rPr>
      </w:pPr>
      <w:r>
        <w:rPr>
          <w:rFonts w:ascii="Arial" w:cs="Arial" w:eastAsia="Arial" w:hAnsi="Arial"/>
          <w:sz w:val="16"/>
          <w:szCs w:val="16"/>
          <w:color w:val="auto"/>
        </w:rPr>
        <w:t>The full impact of the ongoing COVID-19 pandemic remains highly uncertain and subject to change. There are many uncertainties around the COVID-19 pandemic and future developments, which are unpredictable, may result in a material, negative impact to the Company's operations and financial condition. The Company has experienced and expect to continue to experience volatility in services rendered from its third-party service providers as local governments respond to resurgences and the emergence of new strains, each of which may result in the prolonged reinstitution, extension or enhancement of protective measures. With respect to manufacturing and supply, the Company does not anticipate disruptions to its drug supply chain, and it cannot be sure if lock-down measures or restrictions will be implemented and what, if any, impact that may have on its facilities and operations.</w:t>
      </w:r>
    </w:p>
    <w:p>
      <w:pPr>
        <w:spacing w:after="0" w:line="272" w:lineRule="exact"/>
        <w:rPr>
          <w:sz w:val="20"/>
          <w:szCs w:val="20"/>
          <w:color w:val="auto"/>
        </w:rPr>
      </w:pPr>
    </w:p>
    <w:p>
      <w:pPr>
        <w:ind w:right="600" w:firstLine="562"/>
        <w:spacing w:after="0" w:line="277" w:lineRule="auto"/>
        <w:rPr>
          <w:sz w:val="20"/>
          <w:szCs w:val="20"/>
          <w:color w:val="auto"/>
        </w:rPr>
      </w:pPr>
      <w:r>
        <w:rPr>
          <w:rFonts w:ascii="Arial" w:cs="Arial" w:eastAsia="Arial" w:hAnsi="Arial"/>
          <w:sz w:val="18"/>
          <w:szCs w:val="18"/>
          <w:color w:val="auto"/>
        </w:rPr>
        <w:t>The Company's management team continues to actively monitor this evolving health crisis and its effects on its operations, key vendors and workforce.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62"/>
        <w:spacing w:after="0" w:line="263" w:lineRule="auto"/>
        <w:rPr>
          <w:sz w:val="20"/>
          <w:szCs w:val="20"/>
          <w:color w:val="auto"/>
        </w:rPr>
      </w:pPr>
      <w:r>
        <w:rPr>
          <w:rFonts w:ascii="Arial" w:cs="Arial" w:eastAsia="Arial" w:hAnsi="Arial"/>
          <w:sz w:val="18"/>
          <w:szCs w:val="18"/>
          <w:color w:val="auto"/>
        </w:rPr>
        <w:t>The accompanying consolidated financial statements are prepared in conformity with accounting principles generally accepted in the United States of America, or U.S. GAAP, and include the accounts of the Company’s subsidiaries. All intercompany transactions and balances have been eliminated in consolidation.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5" w:name="page156"/>
    <w:bookmarkEnd w:id="155"/>
    <w:p>
      <w:pPr>
        <w:ind w:right="120" w:firstLine="562"/>
        <w:spacing w:after="0" w:line="263" w:lineRule="auto"/>
        <w:rPr>
          <w:sz w:val="20"/>
          <w:szCs w:val="20"/>
          <w:color w:val="auto"/>
        </w:rPr>
      </w:pPr>
      <w:r>
        <w:rPr>
          <w:rFonts w:ascii="Arial" w:cs="Arial" w:eastAsia="Arial" w:hAnsi="Arial"/>
          <w:sz w:val="18"/>
          <w:szCs w:val="18"/>
          <w:color w:val="auto"/>
        </w:rPr>
        <w:t xml:space="preserve">Because the Merger (refer to the section “Organization and Business”) did not constitute a change in the reporting entity, as defined in Accounting Standard Codification, or ASC, 250,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the Company has reported the assets and liabilities transferred from its Subsidiaries at historical carrying value, prospectively from December 31, 2021.</w:t>
      </w:r>
    </w:p>
    <w:p>
      <w:pPr>
        <w:spacing w:after="0" w:line="76" w:lineRule="exact"/>
        <w:rPr>
          <w:sz w:val="20"/>
          <w:szCs w:val="20"/>
          <w:color w:val="auto"/>
        </w:rPr>
      </w:pPr>
    </w:p>
    <w:p>
      <w:pPr>
        <w:ind w:right="600" w:firstLine="562"/>
        <w:spacing w:after="0" w:line="277" w:lineRule="auto"/>
        <w:rPr>
          <w:sz w:val="20"/>
          <w:szCs w:val="20"/>
          <w:color w:val="auto"/>
        </w:rPr>
      </w:pPr>
      <w:r>
        <w:rPr>
          <w:rFonts w:ascii="Arial" w:cs="Arial" w:eastAsia="Arial" w:hAnsi="Arial"/>
          <w:sz w:val="18"/>
          <w:szCs w:val="18"/>
          <w:color w:val="auto"/>
        </w:rPr>
        <w:t>Any reference in these notes to applicable guidance is meant to refer to the authoritative GAAP as found in ASC and Accounting Standards Updates, or ASU, of the Financial Accounting Standards Board, or FASB.</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562"/>
        <w:spacing w:after="0" w:line="273"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liabilities and disclosure of contingent assets and liabilities at the date of the consolidated financial statements, and the reported amounts of expenses during the reporting period. Significant estimates and assumptions made in the accompanying consolidated financial statements include, but are not limited to, the valuation of share-based awards, the valuation of deferred tax assets and income tax uncertainties, and accruals for research and development activities. The Company bases its estimates on historical experience and on various other assumptions that are believed to be reasonable. Actual results may differ from those estimates or assumptions.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40" w:firstLine="562"/>
        <w:spacing w:after="0" w:line="279" w:lineRule="auto"/>
        <w:rPr>
          <w:sz w:val="20"/>
          <w:szCs w:val="20"/>
          <w:color w:val="auto"/>
        </w:rPr>
      </w:pPr>
      <w:r>
        <w:rPr>
          <w:rFonts w:ascii="Arial" w:cs="Arial" w:eastAsia="Arial" w:hAnsi="Arial"/>
          <w:sz w:val="17"/>
          <w:szCs w:val="17"/>
          <w:color w:val="auto"/>
        </w:rPr>
        <w:t>The Company has determined that its chief executive officer is the chief operating decision maker, or CODM. The Company operates and manages the business as one reporting and one operating segment, which is the business of identifying and advancing targeted therapies for patients of all ages with genomically defined cancers. The Company’s CODM reviews financial information on an aggregate basis for purposes of allocating resources and evaluating financial performance. All of the Company’s assets are located in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260" w:firstLine="562"/>
        <w:spacing w:after="0" w:line="257" w:lineRule="auto"/>
        <w:rPr>
          <w:sz w:val="20"/>
          <w:szCs w:val="20"/>
          <w:color w:val="auto"/>
        </w:rPr>
      </w:pPr>
      <w:r>
        <w:rPr>
          <w:rFonts w:ascii="Arial" w:cs="Arial" w:eastAsia="Arial" w:hAnsi="Arial"/>
          <w:sz w:val="18"/>
          <w:szCs w:val="18"/>
          <w:color w:val="auto"/>
        </w:rPr>
        <w:t>Financial instruments that subject the Company to significant concentrations of credit risk consist primarily of cash, cash equivalents and short-term investments. The Company’s cash, cash equivalents and short-term investments are held in more than one financial institution in the United States. Amounts on deposit may at times exceed federally insured limits. Management believes that the financial institutions that the Company's cash, cash equivalents and short-term investments are held at are financially sound and, accordingly, minimal credit risk exists with respect to the financial institutions.</w:t>
      </w:r>
    </w:p>
    <w:p>
      <w:pPr>
        <w:spacing w:after="0" w:line="80"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The Company is subject to certain risks and uncertainties and believes that changes in any of the following areas could have a material adverse effect on the Company's future financial position or results of its operations: ability to obtain future financing; regulatory requirements for approval and market acceptance of, and reimbursement for, product candidates; performance of third-party clinical research organizations and manufacturers upon which the Company relies; development of sales channels; protection of the Company’s intellectual property; litigation or claims against the Company based on intellectual property, patent, product, regulatory or other factors; changes to the market landscape; and the Company’s ability to attract and retain employees necessary to support its growth.</w:t>
      </w:r>
    </w:p>
    <w:p>
      <w:pPr>
        <w:spacing w:after="0" w:line="84" w:lineRule="exact"/>
        <w:rPr>
          <w:sz w:val="20"/>
          <w:szCs w:val="20"/>
          <w:color w:val="auto"/>
        </w:rPr>
      </w:pPr>
    </w:p>
    <w:p>
      <w:pPr>
        <w:ind w:right="20" w:firstLine="562"/>
        <w:spacing w:after="0" w:line="259"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firstLine="562"/>
        <w:spacing w:after="0" w:line="263"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purchase to be cash equivalents. The Company’s cash equivalents consist of investments in money market funds and U.S. government agency securities. Cash equivalents are recognized at amortized cost, which approximates fair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 Company’s investments are comprised of U.S. government agency securities and U.S. treasury securities. Investments are classified at the time of purchase, based on management’s intent, as held-to-maturity, available-for-sale, or trading. All of the Company’s investments are classified as available-for-sale. Available-for-sale securities are carried at estimated fair value with unrealized holdings gains and losses (net of tax effects) on such investments reported in other comprehensive (loss) income as a separate component on the consolidated statements of comprehensive loss. Fair value is determined based on quoted market rates when observable or by utilizing data points that are observable, such as quoted prices, interest rates, and yield curves.</w:t>
      </w:r>
    </w:p>
    <w:p>
      <w:pPr>
        <w:spacing w:after="0" w:line="53" w:lineRule="exact"/>
        <w:rPr>
          <w:sz w:val="20"/>
          <w:szCs w:val="20"/>
          <w:color w:val="auto"/>
        </w:rPr>
      </w:pPr>
    </w:p>
    <w:p>
      <w:pPr>
        <w:jc w:val="both"/>
        <w:ind w:right="60" w:firstLine="509"/>
        <w:spacing w:after="0" w:line="272" w:lineRule="auto"/>
        <w:rPr>
          <w:sz w:val="20"/>
          <w:szCs w:val="20"/>
          <w:color w:val="auto"/>
        </w:rPr>
      </w:pPr>
      <w:r>
        <w:rPr>
          <w:rFonts w:ascii="Arial" w:cs="Arial" w:eastAsia="Arial" w:hAnsi="Arial"/>
          <w:sz w:val="17"/>
          <w:szCs w:val="17"/>
          <w:color w:val="auto"/>
        </w:rPr>
        <w:t>For available-for-sale securities, the Company determines if any impairment is related to credit loss or non-credit loss. In making the assessment of whether a loss is from credit or other factors, management considers the extent to which fair value is less than amortized cost, any changes to the rating of the security by a rating agency and adverse conditions related to the security, among other factors. If this assessment indicates that a credit loss exists, the present value of cash flows expected to be collected from the security are compared to the amortized cost basis of the security. If the present value of cash flows is less than the amortized cost basis, a credit loss exists and an allowance is created, limited by the amount that the fair value is less than amortized cost basis. Subsequent activity related to the credit loss component in the form of write-offs or recoveries is recognized as part of the allowance for credit losses on available-for-sale securities.</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237" w:lineRule="exact"/>
        <w:rPr>
          <w:sz w:val="20"/>
          <w:szCs w:val="20"/>
          <w:color w:val="auto"/>
        </w:rPr>
      </w:pPr>
    </w:p>
    <w:p>
      <w:pPr>
        <w:jc w:val="both"/>
        <w:ind w:left="520" w:right="280"/>
        <w:spacing w:after="0" w:line="263"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40" w:lineRule="exact"/>
        <w:rPr>
          <w:sz w:val="20"/>
          <w:szCs w:val="20"/>
          <w:color w:val="auto"/>
        </w:rPr>
      </w:pPr>
    </w:p>
    <w:p>
      <w:pPr>
        <w:ind w:firstLine="562"/>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79" w:lineRule="exact"/>
        <w:rPr>
          <w:sz w:val="20"/>
          <w:szCs w:val="20"/>
          <w:color w:val="auto"/>
        </w:rPr>
      </w:pPr>
    </w:p>
    <w:p>
      <w:pPr>
        <w:ind w:right="480" w:firstLine="562"/>
        <w:spacing w:after="0" w:line="308" w:lineRule="auto"/>
        <w:rPr>
          <w:sz w:val="20"/>
          <w:szCs w:val="20"/>
          <w:color w:val="auto"/>
        </w:rPr>
      </w:pPr>
      <w:r>
        <w:rPr>
          <w:rFonts w:ascii="Arial" w:cs="Arial" w:eastAsia="Arial" w:hAnsi="Arial"/>
          <w:sz w:val="17"/>
          <w:szCs w:val="17"/>
          <w:color w:val="auto"/>
        </w:rPr>
        <w:t>The carrying amounts reflected in the accompanying consolidated balance sheets for cash equivalents, prepaid expenses, other current assets, accounts payable, accrued expenses and other current liabilities approximate their fair values, due to their short-term nature.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100" w:firstLine="562"/>
        <w:spacing w:after="0" w:line="263" w:lineRule="auto"/>
        <w:rPr>
          <w:sz w:val="20"/>
          <w:szCs w:val="20"/>
          <w:color w:val="auto"/>
        </w:rPr>
      </w:pPr>
      <w:r>
        <w:rPr>
          <w:rFonts w:ascii="Arial" w:cs="Arial" w:eastAsia="Arial" w:hAnsi="Arial"/>
          <w:sz w:val="18"/>
          <w:szCs w:val="18"/>
          <w:color w:val="auto"/>
        </w:rPr>
        <w:t>Property and equipment are recorded at cost, less accumulated depreciation and amortization. Depreciation is recognized using the straight-line method over the estimated useful lives of the related assets ranging from three to five years, and leasehold improvements are amortized over the shorter of the lease term or the estimated useful life of the asset.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 w:lineRule="exact"/>
        <w:rPr>
          <w:sz w:val="20"/>
          <w:szCs w:val="20"/>
          <w:color w:val="auto"/>
        </w:rPr>
      </w:pPr>
    </w:p>
    <w:p>
      <w:pPr>
        <w:ind w:right="160" w:firstLine="562"/>
        <w:spacing w:after="0" w:line="295" w:lineRule="auto"/>
        <w:rPr>
          <w:sz w:val="20"/>
          <w:szCs w:val="20"/>
          <w:color w:val="auto"/>
        </w:rPr>
      </w:pPr>
      <w:r>
        <w:rPr>
          <w:rFonts w:ascii="Arial" w:cs="Arial" w:eastAsia="Arial" w:hAnsi="Arial"/>
          <w:sz w:val="16"/>
          <w:szCs w:val="16"/>
          <w:color w:val="auto"/>
        </w:rPr>
        <w:t>Contractual arrangements that meet the definition of a lease are classified as operating or finance leases and are recorded on the consolidated balance sheets as both a right-of-use asset, or ROU asset, and lease liability, calculated by discounting fixed lease payments over the lease term at the rate implicit in the lease or the Company’s incremental borrowing rate, or IBR. Lease ROU assets and lease obligations are recognized based on the present value of the future minimum lease payments over the lease term at commencement date. The Company currently does not have any finance leases.</w:t>
      </w:r>
    </w:p>
    <w:p>
      <w:pPr>
        <w:spacing w:after="0" w:line="53"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Operating lease ROU assets are adjusted for (i) payments made at or before the commencement date, (ii) initial direct costs incurred, and (iii) tenant incentives under the lease. As the implicit rate for the operating leases are not determinable, the Company determines its IBR based on the information available at the applicable lease commencement date. The IBR is determined by using the rate of interest that the Company would pay to borrow on a collateralized basis an amount equal to the lease payments for a similar term and in a similar economic environment where the asset is located. The Company considers a lease term to be the noncancelable period that it has the right to use the underlying asset, including any periods where it is reasonably certain the Company will exercise any option to extend the contract.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58" w:name="page159"/>
    <w:bookmarkEnd w:id="158"/>
    <w:p>
      <w:pPr>
        <w:ind w:right="40" w:firstLine="562"/>
        <w:spacing w:after="0" w:line="257" w:lineRule="auto"/>
        <w:rPr>
          <w:sz w:val="20"/>
          <w:szCs w:val="20"/>
          <w:color w:val="auto"/>
        </w:rPr>
      </w:pPr>
      <w:r>
        <w:rPr>
          <w:rFonts w:ascii="Arial" w:cs="Arial" w:eastAsia="Arial" w:hAnsi="Arial"/>
          <w:sz w:val="18"/>
          <w:szCs w:val="18"/>
          <w:color w:val="auto"/>
        </w:rPr>
        <w:t>Lease costs for minimum lease payments for operating leases are recognized on a straight-line basis over the lease term. Lease liabilities are increased by interest and reduced by payments each period, and the ROU asset is amortized over the lease term. Variable lease costs are recorded when incurred. In measuring the ROU assets and lease liabilities, the Company has elected to combine lease and non-lease components. The Company excludes short-term leases, if any, having initial terms of 12 months or less at lease commencement as an accounting policy election, and recognizes rent expense on a straight-line basis over the lease term for these types of leases.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60" w:firstLine="562"/>
        <w:spacing w:after="0" w:line="275" w:lineRule="auto"/>
        <w:rPr>
          <w:sz w:val="20"/>
          <w:szCs w:val="20"/>
          <w:color w:val="auto"/>
        </w:rPr>
      </w:pPr>
      <w:r>
        <w:rPr>
          <w:rFonts w:ascii="Arial" w:cs="Arial" w:eastAsia="Arial" w:hAnsi="Arial"/>
          <w:sz w:val="17"/>
          <w:szCs w:val="17"/>
          <w:color w:val="auto"/>
        </w:rPr>
        <w:t>The Company evaluates long-lived assets, which consist of property and equipment and right-of-use assets,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no impairments have been recognized in the consolidated financial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62"/>
        <w:spacing w:after="0" w:line="289" w:lineRule="auto"/>
        <w:rPr>
          <w:sz w:val="20"/>
          <w:szCs w:val="20"/>
          <w:color w:val="auto"/>
        </w:rPr>
      </w:pPr>
      <w:r>
        <w:rPr>
          <w:rFonts w:ascii="Arial" w:cs="Arial" w:eastAsia="Arial" w:hAnsi="Arial"/>
          <w:sz w:val="16"/>
          <w:szCs w:val="16"/>
          <w:color w:val="auto"/>
        </w:rPr>
        <w:t>Research and development expenses consist of costs associated with acquiring technology and intellectual property licenses that have no alternative future uses; costs incurred under agreements with third-party contract research organizations, contract manufacturing organizations and other third parties that conduct clinical trials on the Company’s behalf; other costs associated with research and development programs, including laboratory materials and supplies; employee-related costs, including salaries, benefits and share-based compensation expense, for the Company’s research and development personnel; and facilities and other overhead expenses, including expenses for rent and facilities maintenance, and amortization. The Company’s expense research and development costs as incurred. The Company is obligated to make upfront payments upon execution of certain research and development agreements. Advance payments, including nonrefundable amounts, for goods or services that will be used or rendered for future research and development activities are deferred. Such amounts are recognized as expense as the related goods are delivered or the related services are performed, or such time when the Company does not expect the goods to be delivered or services to be performed.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firstLine="569"/>
        <w:spacing w:after="0" w:line="290" w:lineRule="auto"/>
        <w:rPr>
          <w:sz w:val="20"/>
          <w:szCs w:val="20"/>
          <w:color w:val="auto"/>
        </w:rPr>
      </w:pPr>
      <w:r>
        <w:rPr>
          <w:rFonts w:ascii="Arial" w:cs="Arial" w:eastAsia="Arial" w:hAnsi="Arial"/>
          <w:sz w:val="16"/>
          <w:szCs w:val="16"/>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expenses in the consolidated statements of operations. These costs are a significant component of our research and development expenses. The Company accrues for these costs based on factors such as estimates of the work completed and in accordance with agreements established with third-party service providers under the service agreements. The Company makes judgments and estimates in determining the accrued liabilities balance in each reporting period. As actual costs become known, the Company adjusts its accrued liabilities. The Company has not experienced any material differences between accrued costs and actual costs incurred.</w:t>
      </w:r>
    </w:p>
    <w:p>
      <w:pPr>
        <w:spacing w:after="0" w:line="57" w:lineRule="exact"/>
        <w:rPr>
          <w:sz w:val="20"/>
          <w:szCs w:val="20"/>
          <w:color w:val="auto"/>
        </w:rPr>
      </w:pPr>
    </w:p>
    <w:p>
      <w:pPr>
        <w:ind w:right="60" w:firstLine="562"/>
        <w:spacing w:after="0" w:line="272" w:lineRule="auto"/>
        <w:rPr>
          <w:sz w:val="20"/>
          <w:szCs w:val="20"/>
          <w:color w:val="auto"/>
        </w:rPr>
      </w:pPr>
      <w:r>
        <w:rPr>
          <w:rFonts w:ascii="Arial" w:cs="Arial" w:eastAsia="Arial" w:hAnsi="Arial"/>
          <w:sz w:val="17"/>
          <w:szCs w:val="17"/>
          <w:color w:val="auto"/>
        </w:rPr>
        <w:t>The Company makes payments in connection with clinical trials under contracts with contract manufacturing organizations and contract research organizations that support conducting and managing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In the event the Company makes advance payments for goods or services that will be used or rendered for future research and development activities, the payments are deferred and capitalized as a prepaid expense and recognized as expense as the goods are received or the related services are rendered. Such payments are evaluated for current or long-term classification based on when they are expected to be realized.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60" w:firstLine="562"/>
        <w:spacing w:after="0" w:line="342" w:lineRule="auto"/>
        <w:rPr>
          <w:sz w:val="20"/>
          <w:szCs w:val="20"/>
          <w:color w:val="auto"/>
        </w:rPr>
      </w:pPr>
      <w:r>
        <w:rPr>
          <w:rFonts w:ascii="Arial" w:cs="Arial" w:eastAsia="Arial" w:hAnsi="Arial"/>
          <w:sz w:val="16"/>
          <w:szCs w:val="16"/>
          <w:color w:val="auto"/>
        </w:rPr>
        <w:t>All patent-related costs incurred in connection with filing and prosecuting patent applications are expensed as incurred due to the uncertainty of the recovery of the expenditure. Amounts incurred are classified as general and administrative expenses in the consolidated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Shares</w:t>
      </w:r>
    </w:p>
    <w:p>
      <w:pPr>
        <w:spacing w:after="0" w:line="117" w:lineRule="exact"/>
        <w:rPr>
          <w:sz w:val="20"/>
          <w:szCs w:val="20"/>
          <w:color w:val="auto"/>
        </w:rPr>
      </w:pPr>
    </w:p>
    <w:p>
      <w:pPr>
        <w:ind w:firstLine="562"/>
        <w:spacing w:after="0" w:line="272" w:lineRule="auto"/>
        <w:rPr>
          <w:sz w:val="20"/>
          <w:szCs w:val="20"/>
          <w:color w:val="auto"/>
        </w:rPr>
      </w:pPr>
      <w:r>
        <w:rPr>
          <w:rFonts w:ascii="Arial" w:cs="Arial" w:eastAsia="Arial" w:hAnsi="Arial"/>
          <w:sz w:val="17"/>
          <w:szCs w:val="17"/>
          <w:color w:val="auto"/>
        </w:rPr>
        <w:t>The Company recorded redeemable convertible preferred shares at their respective fair values on the dates of issuance, net of issuance costs. The redeemable convertible preferred shares were recorded outside of members’ deficit because while they were not mandatorily redeemable, in the event of a deemed liquidation event, which was outside of the Company’s control, the proceeds were distributed first to the redeemable convertible preferred shareholders in accordance with their liquidation preferences. The Company had not adjusted the carrying values of the redeemable convertible preferred shares to their liquidation preferences because it is uncertain whether or when a deemed liquidation event would occur that would obligate it to pay the liquidation preferences to holders of redeemable convertible preferred shares. Redeemable convertible preferred shares were all converted to common stock shares upon the closing of the IPO in May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17" w:lineRule="exact"/>
        <w:rPr>
          <w:sz w:val="20"/>
          <w:szCs w:val="20"/>
          <w:color w:val="auto"/>
        </w:rPr>
      </w:pPr>
    </w:p>
    <w:p>
      <w:pPr>
        <w:ind w:right="20" w:firstLine="562"/>
        <w:spacing w:after="0" w:line="263" w:lineRule="auto"/>
        <w:rPr>
          <w:sz w:val="20"/>
          <w:szCs w:val="20"/>
          <w:color w:val="auto"/>
        </w:rPr>
      </w:pPr>
      <w:r>
        <w:rPr>
          <w:rFonts w:ascii="Arial" w:cs="Arial" w:eastAsia="Arial" w:hAnsi="Arial"/>
          <w:sz w:val="18"/>
          <w:szCs w:val="18"/>
          <w:color w:val="auto"/>
        </w:rPr>
        <w:t>Redeemable noncontrolling interest represented the portion of equity (net assets) in DOT-1 that was neither directly nor indirectly attributable to the Company. Redeemable noncontrolling interest is classified as temporary equity because preferred shares issued to a holder contained certain redemption features that were not solely within the control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40" w:firstLine="562"/>
        <w:spacing w:after="0" w:line="288" w:lineRule="auto"/>
        <w:rPr>
          <w:sz w:val="20"/>
          <w:szCs w:val="20"/>
          <w:color w:val="auto"/>
        </w:rPr>
      </w:pPr>
      <w:r>
        <w:rPr>
          <w:rFonts w:ascii="Arial" w:cs="Arial" w:eastAsia="Arial" w:hAnsi="Arial"/>
          <w:sz w:val="16"/>
          <w:szCs w:val="16"/>
          <w:color w:val="auto"/>
        </w:rPr>
        <w:t xml:space="preserve">Prior to the IPO, the Company recognized share-based compensation expense based on the estimated fair value of all share-based awards, incentive shares and restricted share awards, on the date of grant using the option-pricing model. The option-pricing model requires the input of subjective assumptions, including the fair value of the underlying common shares, the expected term of the award, the expected volatility, risk-free interest rates, and the dividend yield. In determining the fair value of common shares, the methodologies used to estimate the enterprise value were performed using methodologies, approaches, and assumptions consistent with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The participation threshold amounts were determined by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at the time of grant. The expected life of the awards granted during the period was determined based on an expected time to the liquidation event. The Company applied the risk-free interest rate based on the U.S. Treasury yield in effect at the time of the grant consistent with the life of the award. The expected volatility was based on a peer group in the industry in which the Company did business consistent with the expected time to liquidity. The dividend yield was set at zero as the underlying security did not and was not expected to pay a dividend.</w:t>
      </w:r>
    </w:p>
    <w:p>
      <w:pPr>
        <w:spacing w:after="0" w:line="60" w:lineRule="exact"/>
        <w:rPr>
          <w:sz w:val="20"/>
          <w:szCs w:val="20"/>
          <w:color w:val="auto"/>
        </w:rPr>
      </w:pPr>
    </w:p>
    <w:p>
      <w:pPr>
        <w:jc w:val="both"/>
        <w:ind w:right="100" w:firstLine="606"/>
        <w:spacing w:after="0" w:line="263" w:lineRule="auto"/>
        <w:rPr>
          <w:sz w:val="20"/>
          <w:szCs w:val="20"/>
          <w:color w:val="auto"/>
        </w:rPr>
      </w:pPr>
      <w:r>
        <w:rPr>
          <w:rFonts w:ascii="Arial" w:cs="Arial" w:eastAsia="Arial" w:hAnsi="Arial"/>
          <w:sz w:val="18"/>
          <w:szCs w:val="18"/>
          <w:color w:val="auto"/>
        </w:rPr>
        <w:t>Subsequent to closing of the IPO, the Company uses the Black-Scholes valuation model to estimate the fair value of options granted to employees and non-employees, intrinsic value to estimate the fair value of restricted stock award, and fair value of the Company’s common stock at the grant date for restricted stock units.</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Black-Scholes option-pricing model, used to estimate fair value of stock options awards, requires the use of the following assumptions:</w:t>
      </w:r>
    </w:p>
    <w:p>
      <w:pPr>
        <w:spacing w:after="0" w:line="117" w:lineRule="exact"/>
        <w:rPr>
          <w:sz w:val="20"/>
          <w:szCs w:val="20"/>
          <w:color w:val="auto"/>
        </w:rPr>
      </w:pPr>
    </w:p>
    <w:p>
      <w:pPr>
        <w:ind w:left="760" w:hanging="378"/>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Company’s closing price on the Nasdaq market at the grant date.</w:t>
      </w:r>
    </w:p>
    <w:p>
      <w:pPr>
        <w:spacing w:after="0" w:line="117" w:lineRule="exact"/>
        <w:rPr>
          <w:rFonts w:ascii="Arial" w:cs="Arial" w:eastAsia="Arial" w:hAnsi="Arial"/>
          <w:sz w:val="18"/>
          <w:szCs w:val="18"/>
          <w:color w:val="auto"/>
        </w:rPr>
      </w:pPr>
    </w:p>
    <w:p>
      <w:pPr>
        <w:ind w:left="760" w:right="100" w:hanging="378"/>
        <w:spacing w:after="0" w:line="255"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share-based awards are expected to be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is calculated using the simplified method, as the weighted-average vesting term of the award and the award’s contract period. The Company utilizes this method due to lack of historical exercise data and the plain-vanilla nature of the Company’s service condition share-based awards. For the Company's performance condition stock option awards, the Company calculated the expected term by taking into consideration the options' contractual life, the timing of when milestones are expected to be achieved, and the expected exercise period by a holder from the vesting date until the contractual term.</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0" w:name="page161"/>
    <w:bookmarkEnd w:id="160"/>
    <w:p>
      <w:pPr>
        <w:ind w:left="760" w:right="40" w:hanging="378"/>
        <w:spacing w:after="0" w:line="257"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does not have sufficient trading history for its common stock, the expected volatility is estimated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average historical volatilities of common stock of comparable publicly traded biopharmaceutical companies over a period equal to the expected term of the stock option grants. The comparable biopharmaceutical companies are chosen based on their size, stage in the life cycle or area of specialty. The Company will continue to apply this process until sufficient historical information regarding the volatility of the common stock price becomes available.</w:t>
      </w:r>
    </w:p>
    <w:p>
      <w:pPr>
        <w:spacing w:after="0" w:line="79" w:lineRule="exact"/>
        <w:rPr>
          <w:rFonts w:ascii="Arial" w:cs="Arial" w:eastAsia="Arial" w:hAnsi="Arial"/>
          <w:sz w:val="18"/>
          <w:szCs w:val="18"/>
          <w:color w:val="auto"/>
        </w:rPr>
      </w:pPr>
    </w:p>
    <w:p>
      <w:pPr>
        <w:ind w:left="760" w:right="600" w:hanging="378"/>
        <w:spacing w:after="0" w:line="277"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 at the time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to the expected term of the awards.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the common stock and has no plans to pay dividends on its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the expected dividend yield use is zero.</w:t>
      </w:r>
    </w:p>
    <w:p>
      <w:pPr>
        <w:spacing w:after="0" w:line="62" w:lineRule="exact"/>
        <w:rPr>
          <w:sz w:val="20"/>
          <w:szCs w:val="20"/>
          <w:color w:val="auto"/>
        </w:rPr>
      </w:pPr>
    </w:p>
    <w:p>
      <w:pPr>
        <w:ind w:right="40" w:firstLine="562"/>
        <w:spacing w:after="0" w:line="257" w:lineRule="auto"/>
        <w:rPr>
          <w:sz w:val="20"/>
          <w:szCs w:val="20"/>
          <w:color w:val="auto"/>
        </w:rPr>
      </w:pPr>
      <w:r>
        <w:rPr>
          <w:rFonts w:ascii="Arial" w:cs="Arial" w:eastAsia="Arial" w:hAnsi="Arial"/>
          <w:sz w:val="18"/>
          <w:szCs w:val="18"/>
          <w:color w:val="auto"/>
        </w:rPr>
        <w:t>The Company uses the straight-line attribution method for recognizing share-based compensation expense. The Company recognizes forfeitures by reducing the expense in the same period the forfeitures occur. The Company recognizes share-based compensation expense for awards with performance conditions when it is probable that the condition will be met, and the award will vest. The Company classifies share-based compensation expense in the consolidated statements of operations in the same manner in which the award recipients’ payroll costs are classified or in which the award recipients’ service payments are classified.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80" w:firstLine="562"/>
        <w:spacing w:after="0" w:line="259" w:lineRule="auto"/>
        <w:rPr>
          <w:sz w:val="20"/>
          <w:szCs w:val="20"/>
          <w:color w:val="auto"/>
        </w:rPr>
      </w:pPr>
      <w:r>
        <w:rPr>
          <w:rFonts w:ascii="Arial" w:cs="Arial" w:eastAsia="Arial" w:hAnsi="Arial"/>
          <w:sz w:val="18"/>
          <w:szCs w:val="18"/>
          <w:color w:val="auto"/>
        </w:rPr>
        <w:t>Prior to the IPO, the Company was a “pass-through” entity under the Internal Revenue Code with two corporate subsidiaries. Prior to the Conversion, the members of the Company, formerly Day One Biopharmaceuticals Holding Company, LLC, were taxed directly on their respective ownership interests and activity in Day One Biopharmaceuticals Holding Company, LLC. The Company’s consolidated corporate subsidiaries accounted for income taxes under the asset and liability method, as discussed below.</w:t>
      </w:r>
    </w:p>
    <w:p>
      <w:pPr>
        <w:spacing w:after="0" w:line="79" w:lineRule="exact"/>
        <w:rPr>
          <w:sz w:val="20"/>
          <w:szCs w:val="20"/>
          <w:color w:val="auto"/>
        </w:rPr>
      </w:pPr>
    </w:p>
    <w:p>
      <w:pPr>
        <w:ind w:right="40" w:firstLine="562"/>
        <w:spacing w:after="0" w:line="293" w:lineRule="auto"/>
        <w:rPr>
          <w:sz w:val="20"/>
          <w:szCs w:val="20"/>
          <w:color w:val="auto"/>
        </w:rPr>
      </w:pPr>
      <w:r>
        <w:rPr>
          <w:rFonts w:ascii="Arial" w:cs="Arial" w:eastAsia="Arial" w:hAnsi="Arial"/>
          <w:sz w:val="16"/>
          <w:szCs w:val="16"/>
          <w:color w:val="auto"/>
        </w:rPr>
        <w:t>Upon the closing of the IPO and the Conversion, the Company’s 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 and net operating loss and tax credit carryforwards. Deferred tax assets and liabilities are determined based upon the difference between the consolidated financial statement carrying amounts and the tax basis of assets and liabilities and are measured using the enacted tax rate expected to apply to taxable income in the years in which the differences are expected to be reversed. Deferred tax assets are reduced by a valuation allowance if it is more likely than not that some portion or all of the deferred tax asset will not be realized.</w:t>
      </w:r>
    </w:p>
    <w:p>
      <w:pPr>
        <w:spacing w:after="0" w:line="56" w:lineRule="exact"/>
        <w:rPr>
          <w:sz w:val="20"/>
          <w:szCs w:val="20"/>
          <w:color w:val="auto"/>
        </w:rPr>
      </w:pPr>
    </w:p>
    <w:p>
      <w:pPr>
        <w:ind w:firstLine="562"/>
        <w:spacing w:after="0" w:line="259" w:lineRule="auto"/>
        <w:rPr>
          <w:sz w:val="20"/>
          <w:szCs w:val="20"/>
          <w:color w:val="auto"/>
        </w:rPr>
      </w:pPr>
      <w:r>
        <w:rPr>
          <w:rFonts w:ascii="Arial" w:cs="Arial" w:eastAsia="Arial" w:hAnsi="Arial"/>
          <w:sz w:val="18"/>
          <w:szCs w:val="18"/>
          <w:color w:val="auto"/>
        </w:rPr>
        <w:t>The uncertain income tax positions are recognized at the largest amount that is more likely than not to be sustained upon audit by the relevant taxing authority. Changes in recognition or measurement are reflected in the period in which judgment occurs. The Company’s policy is to recognize interest and penalties related to the underpayment of income taxes as a component of the provision for income taxes. To date, there have been no interest or penalties recorded in relation to unrecognized tax benefits.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60" w:firstLine="562"/>
        <w:spacing w:after="0" w:line="290" w:lineRule="auto"/>
        <w:rPr>
          <w:sz w:val="20"/>
          <w:szCs w:val="20"/>
          <w:color w:val="auto"/>
        </w:rPr>
      </w:pPr>
      <w:r>
        <w:rPr>
          <w:rFonts w:ascii="Arial" w:cs="Arial" w:eastAsia="Arial" w:hAnsi="Arial"/>
          <w:sz w:val="16"/>
          <w:szCs w:val="16"/>
          <w:color w:val="auto"/>
        </w:rPr>
        <w:t>The Company calculates basic and diluted net loss per share in conformity with the two-class method required for participating securities. Under the two-class method, basic net loss per share is computed by dividing the net loss by the weighted average number of common shares outstanding during the period, without consideration of potential dilutive securities. Diluted net loss per share is computed by dividing the net loss, after adjusting it for loss attributable to redeemable noncontrolling interest, in any, by the sum of the weighted average number of common stock shares outstanding during the period plus the dilutive effects of potentially dilutive securities outstanding during the period. Potentially dilutive securities include incentive shares, unvested restricted common shares and redeemable convertible preferred shares, prior to the IPO. Potentially dilutive securities include unvested restricted stock awards, unvested restricted stock units and stock options, after the IPO. For all periods presented, diluted net loss per share is the same as basic net loss per share since the effect of including potential common stock shares is anti-dilutive and incentive shares participation thresholds were not met.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right="200" w:firstLine="562"/>
        <w:spacing w:after="0" w:line="263" w:lineRule="auto"/>
        <w:rPr>
          <w:sz w:val="20"/>
          <w:szCs w:val="20"/>
          <w:color w:val="auto"/>
        </w:rPr>
      </w:pPr>
      <w:r>
        <w:rPr>
          <w:rFonts w:ascii="Arial" w:cs="Arial" w:eastAsia="Arial" w:hAnsi="Arial"/>
          <w:sz w:val="18"/>
          <w:szCs w:val="18"/>
          <w:color w:val="auto"/>
        </w:rPr>
        <w:t>Comprehensive loss represents all changes in stockholders' equity except those resulting from and distributions to stockholders. The Company’s unrealized gains and losses on available-for-sale securities represent the only component of other comprehensive loss that are excluded from the reported net loss and that are presented in the consolidated statements of comprehensive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100" w:firstLine="606"/>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87" w:lineRule="exact"/>
        <w:rPr>
          <w:sz w:val="20"/>
          <w:szCs w:val="20"/>
          <w:color w:val="auto"/>
        </w:rPr>
      </w:pPr>
    </w:p>
    <w:p>
      <w:pPr>
        <w:ind w:right="20" w:firstLine="562"/>
        <w:spacing w:after="0" w:line="263" w:lineRule="auto"/>
        <w:rPr>
          <w:sz w:val="20"/>
          <w:szCs w:val="20"/>
          <w:color w:val="auto"/>
        </w:rPr>
      </w:pPr>
      <w:r>
        <w:rPr>
          <w:rFonts w:ascii="Arial" w:cs="Arial" w:eastAsia="Arial" w:hAnsi="Arial"/>
          <w:sz w:val="18"/>
          <w:szCs w:val="18"/>
          <w:color w:val="auto"/>
        </w:rPr>
        <w:t>The JOBS Act does not preclude an emerging growth company from adopting a new or revised accounting standard earlier than the time that such standard applies to private companies. The Company expects to use the extended transition period for any other new or revised accounting standards during the period in which it remains an emerging growth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or ASU 2019-12, which eliminates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standard is effective for fiscal years, and interim periods within those fiscal years, beginning after December 15, 2020, with early adoption permitted. The Company adopted ASU 2019-12 on January 1, 2022, and this adoption had no material impact on the Company’s financial statements and related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Recurring Fair Value Measurements</w:t>
      </w:r>
    </w:p>
    <w:p>
      <w:pPr>
        <w:spacing w:after="0" w:line="121"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The following table sets forth the Company’s financial instruments as of December 31, 2022 and 2021, which are measured at fair value on a recurring basis by level within the fair value hierarchy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4"/>
                <w:szCs w:val="14"/>
                <w:b w:val="1"/>
                <w:bCs w:val="1"/>
                <w:color w:val="auto"/>
              </w:rPr>
              <w:t>December 31, 2022</w:t>
            </w: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1220" w:type="dxa"/>
            <w:vAlign w:val="bottom"/>
          </w:tcPr>
          <w:p>
            <w:pPr>
              <w:jc w:val="right"/>
              <w:ind w:right="457"/>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1140" w:type="dxa"/>
            <w:vAlign w:val="bottom"/>
          </w:tcPr>
          <w:p>
            <w:pPr>
              <w:jc w:val="right"/>
              <w:ind w:right="77"/>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3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20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18,765</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57"/>
              <w:spacing w:after="0"/>
              <w:rPr>
                <w:sz w:val="20"/>
                <w:szCs w:val="20"/>
                <w:color w:val="auto"/>
              </w:rPr>
            </w:pPr>
            <w:r>
              <w:rPr>
                <w:rFonts w:ascii="Arial" w:cs="Arial" w:eastAsia="Arial" w:hAnsi="Arial"/>
                <w:sz w:val="18"/>
                <w:szCs w:val="18"/>
                <w:color w:val="auto"/>
              </w:rPr>
              <w:t>$</w:t>
            </w: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18,765</w:t>
            </w:r>
          </w:p>
        </w:tc>
        <w:tc>
          <w:tcPr>
            <w:tcW w:w="100" w:type="dxa"/>
            <w:vAlign w:val="bottom"/>
          </w:tcPr>
          <w:p>
            <w:pPr>
              <w:spacing w:after="0"/>
              <w:rPr>
                <w:sz w:val="20"/>
                <w:szCs w:val="20"/>
                <w:color w:val="auto"/>
              </w:rPr>
            </w:pPr>
          </w:p>
        </w:tc>
      </w:tr>
      <w:tr>
        <w:trPr>
          <w:trHeight w:val="249"/>
        </w:trPr>
        <w:tc>
          <w:tcPr>
            <w:tcW w:w="4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145,785</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145,785</w:t>
            </w:r>
          </w:p>
        </w:tc>
        <w:tc>
          <w:tcPr>
            <w:tcW w:w="100" w:type="dxa"/>
            <w:vAlign w:val="bottom"/>
            <w:shd w:val="clear" w:color="auto" w:fill="CFF0FC"/>
          </w:tcPr>
          <w:p>
            <w:pPr>
              <w:spacing w:after="0"/>
              <w:rPr>
                <w:sz w:val="21"/>
                <w:szCs w:val="21"/>
                <w:color w:val="auto"/>
              </w:rPr>
            </w:pPr>
          </w:p>
        </w:tc>
      </w:tr>
      <w:tr>
        <w:trPr>
          <w:trHeight w:val="237"/>
        </w:trPr>
        <w:tc>
          <w:tcPr>
            <w:tcW w:w="4200" w:type="dxa"/>
            <w:vAlign w:val="bottom"/>
          </w:tcPr>
          <w:p>
            <w:pPr>
              <w:ind w:left="120"/>
              <w:spacing w:after="0"/>
              <w:rPr>
                <w:sz w:val="20"/>
                <w:szCs w:val="20"/>
                <w:color w:val="auto"/>
              </w:rPr>
            </w:pPr>
            <w:r>
              <w:rPr>
                <w:rFonts w:ascii="Arial" w:cs="Arial" w:eastAsia="Arial" w:hAnsi="Arial"/>
                <w:sz w:val="18"/>
                <w:szCs w:val="18"/>
                <w:color w:val="auto"/>
              </w:rPr>
              <w:t>U.S. government agency securities</w:t>
            </w:r>
          </w:p>
        </w:tc>
        <w:tc>
          <w:tcPr>
            <w:tcW w:w="34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136,022</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136,022</w:t>
            </w:r>
          </w:p>
        </w:tc>
        <w:tc>
          <w:tcPr>
            <w:tcW w:w="100" w:type="dxa"/>
            <w:vAlign w:val="bottom"/>
          </w:tcPr>
          <w:p>
            <w:pPr>
              <w:spacing w:after="0"/>
              <w:rPr>
                <w:sz w:val="20"/>
                <w:szCs w:val="20"/>
                <w:color w:val="auto"/>
              </w:rPr>
            </w:pPr>
          </w:p>
        </w:tc>
      </w:tr>
      <w:tr>
        <w:trPr>
          <w:trHeight w:val="276"/>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 measured at fair value</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18,765</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281,807</w:t>
            </w: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ind w:right="95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300,572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86"/>
        </w:trPr>
        <w:tc>
          <w:tcPr>
            <w:tcW w:w="4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1220" w:type="dxa"/>
            <w:vAlign w:val="bottom"/>
          </w:tcPr>
          <w:p>
            <w:pPr>
              <w:jc w:val="right"/>
              <w:ind w:right="457"/>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1140" w:type="dxa"/>
            <w:vAlign w:val="bottom"/>
          </w:tcPr>
          <w:p>
            <w:pPr>
              <w:jc w:val="right"/>
              <w:ind w:right="77"/>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Financial assets: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2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111,221</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957"/>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20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111,221</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957"/>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111,221</w:t>
            </w:r>
          </w:p>
        </w:tc>
        <w:tc>
          <w:tcPr>
            <w:tcW w:w="100" w:type="dxa"/>
            <w:vAlign w:val="bottom"/>
          </w:tcPr>
          <w:p>
            <w:pPr>
              <w:spacing w:after="0"/>
              <w:rPr>
                <w:sz w:val="20"/>
                <w:szCs w:val="20"/>
                <w:color w:val="auto"/>
              </w:rPr>
            </w:pPr>
          </w:p>
        </w:tc>
      </w:tr>
      <w:tr>
        <w:trPr>
          <w:trHeight w:val="20"/>
        </w:trPr>
        <w:tc>
          <w:tcPr>
            <w:tcW w:w="4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4"/>
        </w:trPr>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ind w:left="920"/>
              <w:spacing w:after="0"/>
              <w:rPr>
                <w:sz w:val="20"/>
                <w:szCs w:val="20"/>
                <w:color w:val="auto"/>
              </w:rPr>
            </w:pPr>
            <w:r>
              <w:rPr>
                <w:rFonts w:ascii="Arial" w:cs="Arial" w:eastAsia="Arial" w:hAnsi="Arial"/>
                <w:sz w:val="18"/>
                <w:szCs w:val="18"/>
                <w:color w:val="auto"/>
              </w:rPr>
              <w:t>F-16</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2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-1431290</wp:posOffset>
            </wp:positionV>
            <wp:extent cx="774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-1414145</wp:posOffset>
            </wp:positionV>
            <wp:extent cx="774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-1431290</wp:posOffset>
            </wp:positionV>
            <wp:extent cx="768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-1414145</wp:posOffset>
            </wp:positionV>
            <wp:extent cx="768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-1431290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-1414145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-650875</wp:posOffset>
            </wp:positionV>
            <wp:extent cx="77470" cy="1885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-650875</wp:posOffset>
            </wp:positionV>
            <wp:extent cx="76835" cy="188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-650875</wp:posOffset>
            </wp:positionV>
            <wp:extent cx="68580"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2" w:name="page163"/>
    <w:bookmarkEnd w:id="162"/>
    <w:p>
      <w:pPr>
        <w:ind w:right="600" w:firstLine="749"/>
        <w:spacing w:after="0" w:line="277" w:lineRule="auto"/>
        <w:rPr>
          <w:sz w:val="20"/>
          <w:szCs w:val="20"/>
          <w:color w:val="auto"/>
        </w:rPr>
      </w:pPr>
      <w:r>
        <w:rPr>
          <w:rFonts w:ascii="Arial" w:cs="Arial" w:eastAsia="Arial" w:hAnsi="Arial"/>
          <w:sz w:val="18"/>
          <w:szCs w:val="18"/>
          <w:color w:val="auto"/>
        </w:rPr>
        <w:t>The Company's money market funds are classified as Level 1 because they are measured using observable inputs from active markets for identical assets.</w:t>
      </w:r>
    </w:p>
    <w:p>
      <w:pPr>
        <w:spacing w:after="0" w:line="62" w:lineRule="exact"/>
        <w:rPr>
          <w:sz w:val="20"/>
          <w:szCs w:val="20"/>
          <w:color w:val="auto"/>
        </w:rPr>
      </w:pPr>
    </w:p>
    <w:p>
      <w:pPr>
        <w:jc w:val="both"/>
        <w:ind w:right="140" w:firstLine="749"/>
        <w:spacing w:after="0" w:line="263" w:lineRule="auto"/>
        <w:rPr>
          <w:sz w:val="20"/>
          <w:szCs w:val="20"/>
          <w:color w:val="auto"/>
        </w:rPr>
      </w:pPr>
      <w:r>
        <w:rPr>
          <w:rFonts w:ascii="Arial" w:cs="Arial" w:eastAsia="Arial" w:hAnsi="Arial"/>
          <w:sz w:val="18"/>
          <w:szCs w:val="18"/>
          <w:color w:val="auto"/>
        </w:rPr>
        <w:t>The Company's U.S. treasury securities and U.S. government agency securities are classified as Level 2 because they are measured with inputs that are either directly or indirectly observable for the asset which include quoted prices for similar assets in active markets and quoted prices for identical or similar assets in markets that are not active.</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assets or liabilities classified as Level 3 as of December 31, 2022 and 2021.</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were no transfers between Level 1, Level 2 or Level 3 categories during the periods presented.</w:t>
      </w:r>
    </w:p>
    <w:p>
      <w:pPr>
        <w:spacing w:after="0" w:line="117"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following tables summarize the estimated fair value of the Company's cash equivalents, available-for-sale securities classified as short-term investments, and associated unrealized gains and losses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 Gains</w:t>
            </w:r>
          </w:p>
        </w:tc>
        <w:tc>
          <w:tcPr>
            <w:tcW w:w="160" w:type="dxa"/>
            <w:vAlign w:val="bottom"/>
          </w:tcPr>
          <w:p>
            <w:pPr>
              <w:spacing w:after="0"/>
              <w:rPr>
                <w:sz w:val="14"/>
                <w:szCs w:val="14"/>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Unrealized Losses</w:t>
            </w:r>
          </w:p>
        </w:tc>
        <w:tc>
          <w:tcPr>
            <w:tcW w:w="100" w:type="dxa"/>
            <w:vAlign w:val="bottom"/>
          </w:tcPr>
          <w:p>
            <w:pPr>
              <w:spacing w:after="0"/>
              <w:rPr>
                <w:sz w:val="14"/>
                <w:szCs w:val="14"/>
                <w:color w:val="auto"/>
              </w:rPr>
            </w:pPr>
          </w:p>
        </w:tc>
        <w:tc>
          <w:tcPr>
            <w:tcW w:w="146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Estimated Fair Value</w:t>
            </w:r>
          </w:p>
        </w:tc>
        <w:tc>
          <w:tcPr>
            <w:tcW w:w="100" w:type="dxa"/>
            <w:vAlign w:val="bottom"/>
          </w:tcPr>
          <w:p>
            <w:pPr>
              <w:spacing w:after="0"/>
              <w:rPr>
                <w:sz w:val="14"/>
                <w:szCs w:val="14"/>
                <w:color w:val="auto"/>
              </w:rPr>
            </w:pPr>
          </w:p>
        </w:tc>
      </w:tr>
      <w:tr>
        <w:trPr>
          <w:trHeight w:val="237"/>
        </w:trPr>
        <w:tc>
          <w:tcPr>
            <w:tcW w:w="41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right w:val="single" w:sz="8" w:color="CFF0FC"/>
            </w:tcBorders>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1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18,765</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18,765</w:t>
            </w:r>
          </w:p>
        </w:tc>
        <w:tc>
          <w:tcPr>
            <w:tcW w:w="100" w:type="dxa"/>
            <w:vAlign w:val="bottom"/>
          </w:tcPr>
          <w:p>
            <w:pPr>
              <w:spacing w:after="0"/>
              <w:rPr>
                <w:sz w:val="20"/>
                <w:szCs w:val="20"/>
                <w:color w:val="auto"/>
              </w:rPr>
            </w:pPr>
          </w:p>
        </w:tc>
      </w:tr>
      <w:tr>
        <w:trPr>
          <w:trHeight w:val="243"/>
        </w:trPr>
        <w:tc>
          <w:tcPr>
            <w:tcW w:w="418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24,800</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Total cash equivalents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43,565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43,565</w:t>
            </w:r>
          </w:p>
        </w:tc>
        <w:tc>
          <w:tcPr>
            <w:tcW w:w="100" w:type="dxa"/>
            <w:vAlign w:val="bottom"/>
          </w:tcPr>
          <w:p>
            <w:pPr>
              <w:spacing w:after="0"/>
              <w:rPr>
                <w:sz w:val="20"/>
                <w:szCs w:val="20"/>
                <w:color w:val="auto"/>
              </w:rPr>
            </w:pPr>
          </w:p>
        </w:tc>
      </w:tr>
      <w:tr>
        <w:trPr>
          <w:trHeight w:val="243"/>
        </w:trPr>
        <w:tc>
          <w:tcPr>
            <w:tcW w:w="41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1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tcBorders>
              <w:right w:val="single" w:sz="8" w:color="CFF0FC"/>
            </w:tcBorders>
            <w:shd w:val="clear" w:color="auto" w:fill="CFF0FC"/>
          </w:tcPr>
          <w:p>
            <w:pPr>
              <w:spacing w:after="0"/>
              <w:rPr>
                <w:sz w:val="21"/>
                <w:szCs w:val="21"/>
                <w:color w:val="auto"/>
              </w:rPr>
            </w:pPr>
          </w:p>
        </w:tc>
        <w:tc>
          <w:tcPr>
            <w:tcW w:w="2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180" w:type="dxa"/>
            <w:vAlign w:val="bottom"/>
          </w:tcPr>
          <w:p>
            <w:pPr>
              <w:ind w:left="12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145,880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145,785</w:t>
            </w:r>
          </w:p>
        </w:tc>
        <w:tc>
          <w:tcPr>
            <w:tcW w:w="100" w:type="dxa"/>
            <w:vAlign w:val="bottom"/>
          </w:tcPr>
          <w:p>
            <w:pPr>
              <w:spacing w:after="0"/>
              <w:rPr>
                <w:sz w:val="20"/>
                <w:szCs w:val="20"/>
                <w:color w:val="auto"/>
              </w:rPr>
            </w:pPr>
          </w:p>
        </w:tc>
      </w:tr>
      <w:tr>
        <w:trPr>
          <w:trHeight w:val="243"/>
        </w:trPr>
        <w:tc>
          <w:tcPr>
            <w:tcW w:w="418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U.S. government agency securities</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111,197</w:t>
            </w:r>
          </w:p>
        </w:tc>
        <w:tc>
          <w:tcPr>
            <w:tcW w:w="26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111,222</w:t>
            </w:r>
          </w:p>
        </w:tc>
        <w:tc>
          <w:tcPr>
            <w:tcW w:w="100" w:type="dxa"/>
            <w:vAlign w:val="bottom"/>
            <w:shd w:val="clear" w:color="auto" w:fill="CFF0FC"/>
          </w:tcPr>
          <w:p>
            <w:pPr>
              <w:spacing w:after="0"/>
              <w:rPr>
                <w:sz w:val="21"/>
                <w:szCs w:val="21"/>
                <w:color w:val="auto"/>
              </w:rPr>
            </w:pPr>
          </w:p>
        </w:tc>
      </w:tr>
      <w:tr>
        <w:trPr>
          <w:trHeight w:val="20"/>
        </w:trPr>
        <w:tc>
          <w:tcPr>
            <w:tcW w:w="418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257,077</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(108 )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257,007</w:t>
            </w:r>
          </w:p>
        </w:tc>
        <w:tc>
          <w:tcPr>
            <w:tcW w:w="100" w:type="dxa"/>
            <w:vAlign w:val="bottom"/>
          </w:tcPr>
          <w:p>
            <w:pPr>
              <w:spacing w:after="0"/>
              <w:rPr>
                <w:sz w:val="20"/>
                <w:szCs w:val="20"/>
                <w:color w:val="auto"/>
              </w:rPr>
            </w:pPr>
          </w:p>
        </w:tc>
      </w:tr>
      <w:tr>
        <w:trPr>
          <w:trHeight w:val="20"/>
        </w:trPr>
        <w:tc>
          <w:tcPr>
            <w:tcW w:w="4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6"/>
        </w:trPr>
        <w:tc>
          <w:tcPr>
            <w:tcW w:w="4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Gains</w:t>
            </w:r>
          </w:p>
        </w:tc>
        <w:tc>
          <w:tcPr>
            <w:tcW w:w="160" w:type="dxa"/>
            <w:vAlign w:val="bottom"/>
          </w:tcPr>
          <w:p>
            <w:pPr>
              <w:spacing w:after="0"/>
              <w:rPr>
                <w:sz w:val="14"/>
                <w:szCs w:val="14"/>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Unrealized Losses</w:t>
            </w:r>
          </w:p>
        </w:tc>
        <w:tc>
          <w:tcPr>
            <w:tcW w:w="100" w:type="dxa"/>
            <w:vAlign w:val="bottom"/>
          </w:tcPr>
          <w:p>
            <w:pPr>
              <w:spacing w:after="0"/>
              <w:rPr>
                <w:sz w:val="14"/>
                <w:szCs w:val="14"/>
                <w:color w:val="auto"/>
              </w:rPr>
            </w:pPr>
          </w:p>
        </w:tc>
        <w:tc>
          <w:tcPr>
            <w:tcW w:w="146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Estimated Fair Value</w:t>
            </w:r>
          </w:p>
        </w:tc>
        <w:tc>
          <w:tcPr>
            <w:tcW w:w="100" w:type="dxa"/>
            <w:vAlign w:val="bottom"/>
          </w:tcPr>
          <w:p>
            <w:pPr>
              <w:spacing w:after="0"/>
              <w:rPr>
                <w:sz w:val="14"/>
                <w:szCs w:val="14"/>
                <w:color w:val="auto"/>
              </w:rPr>
            </w:pPr>
          </w:p>
        </w:tc>
      </w:tr>
      <w:tr>
        <w:trPr>
          <w:trHeight w:val="236"/>
        </w:trPr>
        <w:tc>
          <w:tcPr>
            <w:tcW w:w="41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right w:val="single" w:sz="8" w:color="CFF0FC"/>
            </w:tcBorders>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18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111,221</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111,221</w:t>
            </w:r>
          </w:p>
        </w:tc>
        <w:tc>
          <w:tcPr>
            <w:tcW w:w="100" w:type="dxa"/>
            <w:vAlign w:val="bottom"/>
          </w:tcPr>
          <w:p>
            <w:pPr>
              <w:spacing w:after="0"/>
              <w:rPr>
                <w:sz w:val="20"/>
                <w:szCs w:val="20"/>
                <w:color w:val="auto"/>
              </w:rPr>
            </w:pPr>
          </w:p>
        </w:tc>
      </w:tr>
      <w:tr>
        <w:trPr>
          <w:trHeight w:val="277"/>
        </w:trPr>
        <w:tc>
          <w:tcPr>
            <w:tcW w:w="418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111,221</w:t>
            </w:r>
          </w:p>
        </w:tc>
        <w:tc>
          <w:tcPr>
            <w:tcW w:w="260" w:type="dxa"/>
            <w:vAlign w:val="bottom"/>
            <w:tcBorders>
              <w:bottom w:val="single" w:sz="8" w:color="CFF0FC"/>
              <w:right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right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right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111,221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-1919605</wp:posOffset>
            </wp:positionV>
            <wp:extent cx="76835" cy="3257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1">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-1919605</wp:posOffset>
            </wp:positionV>
            <wp:extent cx="68580" cy="3257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2">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-1919605</wp:posOffset>
            </wp:positionV>
            <wp:extent cx="68580" cy="3257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3">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3257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-1130935</wp:posOffset>
            </wp:positionV>
            <wp:extent cx="76835"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-1130935</wp:posOffset>
            </wp:positionV>
            <wp:extent cx="68580" cy="1885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-1130935</wp:posOffset>
            </wp:positionV>
            <wp:extent cx="68580" cy="1885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774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the maturities of our cash equivalents and available-for-sale securities as of December 31, 2022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Amortized Cost</w:t>
            </w:r>
          </w:p>
        </w:tc>
        <w:tc>
          <w:tcPr>
            <w:tcW w:w="6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Mature in one year or less</w:t>
            </w:r>
          </w:p>
        </w:tc>
        <w:tc>
          <w:tcPr>
            <w:tcW w:w="1700" w:type="dxa"/>
            <w:vAlign w:val="bottom"/>
            <w:tcBorders>
              <w:bottom w:val="single" w:sz="8" w:color="auto"/>
            </w:tcBorders>
          </w:tcPr>
          <w:p>
            <w:pPr>
              <w:jc w:val="right"/>
              <w:ind w:right="15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300,642</w:t>
            </w:r>
          </w:p>
        </w:tc>
        <w:tc>
          <w:tcPr>
            <w:tcW w:w="28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300,572</w:t>
            </w:r>
          </w:p>
        </w:tc>
        <w:tc>
          <w:tcPr>
            <w:tcW w:w="100" w:type="dxa"/>
            <w:vAlign w:val="bottom"/>
          </w:tcPr>
          <w:p>
            <w:pPr>
              <w:spacing w:after="0"/>
              <w:rPr>
                <w:sz w:val="20"/>
                <w:szCs w:val="20"/>
                <w:color w:val="auto"/>
              </w:rPr>
            </w:pPr>
          </w:p>
        </w:tc>
      </w:tr>
      <w:tr>
        <w:trPr>
          <w:trHeight w:val="277"/>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FF0FC"/>
          </w:tcPr>
          <w:p>
            <w:pPr>
              <w:jc w:val="right"/>
              <w:ind w:right="15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300,642</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300,572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The following table presents the breakdown of the Company's available-for-sale securities with gross unrealized losses and the duration that those losses had been unrealized as December 31, 2022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2740" w:type="dxa"/>
            <w:vAlign w:val="bottom"/>
            <w:gridSpan w:val="6"/>
            <w:vMerge w:val="restart"/>
          </w:tcPr>
          <w:p>
            <w:pPr>
              <w:jc w:val="right"/>
              <w:ind w:right="161"/>
              <w:spacing w:after="0"/>
              <w:rPr>
                <w:sz w:val="20"/>
                <w:szCs w:val="20"/>
                <w:color w:val="auto"/>
              </w:rPr>
            </w:pPr>
            <w:r>
              <w:rPr>
                <w:rFonts w:ascii="Arial" w:cs="Arial" w:eastAsia="Arial" w:hAnsi="Arial"/>
                <w:sz w:val="14"/>
                <w:szCs w:val="14"/>
                <w:b w:val="1"/>
                <w:bCs w:val="1"/>
                <w:color w:val="auto"/>
                <w:w w:val="92"/>
              </w:rPr>
              <w:t>Unrealized Losses Less Than 12 Months</w:t>
            </w:r>
          </w:p>
        </w:tc>
        <w:tc>
          <w:tcPr>
            <w:tcW w:w="180" w:type="dxa"/>
            <w:vAlign w:val="bottom"/>
          </w:tcPr>
          <w:p>
            <w:pPr>
              <w:spacing w:after="0"/>
              <w:rPr>
                <w:sz w:val="11"/>
                <w:szCs w:val="11"/>
                <w:color w:val="auto"/>
              </w:rPr>
            </w:pPr>
          </w:p>
        </w:tc>
        <w:tc>
          <w:tcPr>
            <w:tcW w:w="208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2"/>
              </w:rPr>
              <w:t>Unrealized Losses 12 Months or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2740" w:type="dxa"/>
            <w:vAlign w:val="bottom"/>
            <w:gridSpan w:val="6"/>
            <w:vMerge w:val="continue"/>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3"/>
          </w:tcPr>
          <w:p>
            <w:pPr>
              <w:ind w:left="820"/>
              <w:spacing w:after="0"/>
              <w:rPr>
                <w:sz w:val="20"/>
                <w:szCs w:val="20"/>
                <w:color w:val="auto"/>
              </w:rPr>
            </w:pPr>
            <w:r>
              <w:rPr>
                <w:rFonts w:ascii="Arial" w:cs="Arial" w:eastAsia="Arial" w:hAnsi="Arial"/>
                <w:sz w:val="14"/>
                <w:szCs w:val="14"/>
                <w:b w:val="1"/>
                <w:bCs w:val="1"/>
                <w:color w:val="auto"/>
              </w:rPr>
              <w:t>Greater</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55"/>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1380" w:type="dxa"/>
            <w:vAlign w:val="bottom"/>
            <w:gridSpan w:val="3"/>
          </w:tcPr>
          <w:p>
            <w:pPr>
              <w:jc w:val="right"/>
              <w:ind w:right="161"/>
              <w:spacing w:after="0"/>
              <w:rPr>
                <w:sz w:val="20"/>
                <w:szCs w:val="20"/>
                <w:color w:val="auto"/>
              </w:rPr>
            </w:pPr>
            <w:r>
              <w:rPr>
                <w:rFonts w:ascii="Arial" w:cs="Arial" w:eastAsia="Arial" w:hAnsi="Arial"/>
                <w:sz w:val="14"/>
                <w:szCs w:val="14"/>
                <w:b w:val="1"/>
                <w:bCs w:val="1"/>
                <w:color w:val="auto"/>
                <w:w w:val="91"/>
              </w:rPr>
              <w:t>Unrealized Losses</w:t>
            </w:r>
          </w:p>
        </w:tc>
        <w:tc>
          <w:tcPr>
            <w:tcW w:w="180" w:type="dxa"/>
            <w:vAlign w:val="bottom"/>
          </w:tcPr>
          <w:p>
            <w:pPr>
              <w:spacing w:after="0"/>
              <w:rPr>
                <w:sz w:val="16"/>
                <w:szCs w:val="16"/>
                <w:color w:val="auto"/>
              </w:rPr>
            </w:pP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Unrealized Losses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57"/>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Unrealized Losses</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Financial assets: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140,822</w:t>
            </w:r>
          </w:p>
        </w:tc>
        <w:tc>
          <w:tcPr>
            <w:tcW w:w="680" w:type="dxa"/>
            <w:vAlign w:val="bottom"/>
            <w:gridSpan w:val="2"/>
            <w:shd w:val="clear" w:color="auto" w:fill="CFF0FC"/>
          </w:tcPr>
          <w:p>
            <w:pPr>
              <w:jc w:val="right"/>
              <w:ind w:right="279"/>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(96 )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71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140,822</w:t>
            </w:r>
          </w:p>
        </w:tc>
        <w:tc>
          <w:tcPr>
            <w:tcW w:w="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37"/>
        </w:trPr>
        <w:tc>
          <w:tcPr>
            <w:tcW w:w="3240" w:type="dxa"/>
            <w:vAlign w:val="bottom"/>
          </w:tcPr>
          <w:p>
            <w:pPr>
              <w:ind w:left="1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26,811</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(12 )</w:t>
            </w:r>
          </w:p>
        </w:tc>
        <w:tc>
          <w:tcPr>
            <w:tcW w:w="18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26,811</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7"/>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167,633</w:t>
            </w:r>
          </w:p>
        </w:tc>
        <w:tc>
          <w:tcPr>
            <w:tcW w:w="22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167,633</w:t>
            </w: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594"/>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gridSpan w:val="2"/>
          </w:tcPr>
          <w:p>
            <w:pPr>
              <w:jc w:val="right"/>
              <w:ind w:right="101"/>
              <w:spacing w:after="0"/>
              <w:rPr>
                <w:sz w:val="20"/>
                <w:szCs w:val="20"/>
                <w:color w:val="auto"/>
              </w:rPr>
            </w:pPr>
            <w:r>
              <w:rPr>
                <w:rFonts w:ascii="Arial" w:cs="Arial" w:eastAsia="Arial" w:hAnsi="Arial"/>
                <w:sz w:val="18"/>
                <w:szCs w:val="18"/>
                <w:color w:val="auto"/>
              </w:rPr>
              <w:t>F-17</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-487680</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-470535</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-487680</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-470535</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-487680</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-470535</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-487680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-470535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-487680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-470535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3" w:name="page164"/>
    <w:bookmarkEnd w:id="163"/>
    <w:p>
      <w:pPr>
        <w:ind w:left="760"/>
        <w:spacing w:after="0"/>
        <w:rPr>
          <w:sz w:val="20"/>
          <w:szCs w:val="20"/>
          <w:color w:val="auto"/>
        </w:rPr>
      </w:pPr>
      <w:r>
        <w:rPr>
          <w:rFonts w:ascii="Arial" w:cs="Arial" w:eastAsia="Arial" w:hAnsi="Arial"/>
          <w:sz w:val="18"/>
          <w:szCs w:val="18"/>
          <w:color w:val="auto"/>
        </w:rPr>
        <w:t>The Company did not have available-for-sale securities with gross unrealized losses as of December 31, 2021.</w:t>
      </w:r>
    </w:p>
    <w:p>
      <w:pPr>
        <w:spacing w:after="0" w:line="117"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The Company regularly reviews the changes to the rating of its securities and monitors the surrounding economic conditions to assess the risk of expected credit losses. As of December 31, 2022, there were no securities that were in an unrealized loss position for more than 12 months. As of December 31, 2022, the unrealized losses on the Company’s investments in U.S. treasury securities and U.S. government securities were caused by interest rate increases. The current credit ratings are all within the guidelines of the investment policy of the Company and the Company does not expect the issuers to settle any security at a price less than the amortized cost basis of the investment with the contractual cash flows of these investments guaranteed by the issuer. No allowance for credit losses has been recorded since it is not more likely than not that the Company will be required to sell the investments before recovery of their amortized cost basis.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Items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and other current assets consisted of the following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 expenses</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3,007</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Prepaid insurance</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1,592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prepaid expenses and other assets</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1,006</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5,605</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6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17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gross</w:t>
            </w:r>
          </w:p>
        </w:tc>
        <w:tc>
          <w:tcPr>
            <w:tcW w:w="40" w:type="dxa"/>
            <w:vAlign w:val="bottom"/>
            <w:tcBorders>
              <w:top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(6 )</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-1696720</wp:posOffset>
            </wp:positionV>
            <wp:extent cx="51435" cy="1885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-1696720</wp:posOffset>
            </wp:positionV>
            <wp:extent cx="43180" cy="1885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514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expense for the years ended December 31, 2022, 2021, and 2020 was approximately $63,000, $20,000, and $16,000,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5"/>
        </w:trPr>
        <w:tc>
          <w:tcPr>
            <w:tcW w:w="13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6"/>
        </w:trPr>
        <w:tc>
          <w:tcPr>
            <w:tcW w:w="1360" w:type="dxa"/>
            <w:vAlign w:val="bottom"/>
          </w:tcPr>
          <w:p>
            <w:pPr>
              <w:spacing w:after="0"/>
              <w:rPr>
                <w:sz w:val="20"/>
                <w:szCs w:val="20"/>
                <w:color w:val="auto"/>
              </w:rPr>
            </w:pPr>
          </w:p>
        </w:tc>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16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7,554</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80" w:type="dxa"/>
            <w:vAlign w:val="bottom"/>
            <w:shd w:val="clear" w:color="auto" w:fill="CFF0FC"/>
          </w:tcPr>
          <w:p>
            <w:pPr>
              <w:spacing w:after="0"/>
              <w:rPr>
                <w:sz w:val="20"/>
                <w:szCs w:val="20"/>
                <w:color w:val="auto"/>
              </w:rPr>
            </w:pPr>
          </w:p>
        </w:tc>
        <w:tc>
          <w:tcPr>
            <w:tcW w:w="1360" w:type="dxa"/>
            <w:vAlign w:val="bottom"/>
          </w:tcPr>
          <w:p>
            <w:pPr>
              <w:spacing w:after="0"/>
              <w:rPr>
                <w:sz w:val="20"/>
                <w:szCs w:val="20"/>
                <w:color w:val="auto"/>
              </w:rPr>
            </w:pPr>
          </w:p>
        </w:tc>
      </w:tr>
      <w:tr>
        <w:trPr>
          <w:trHeight w:val="237"/>
        </w:trPr>
        <w:tc>
          <w:tcPr>
            <w:tcW w:w="136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Accrued payroll related expenses</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6,129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2,565</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9"/>
        </w:trPr>
        <w:tc>
          <w:tcPr>
            <w:tcW w:w="1360" w:type="dxa"/>
            <w:vAlign w:val="bottom"/>
          </w:tcPr>
          <w:p>
            <w:pPr>
              <w:spacing w:after="0"/>
              <w:rPr>
                <w:sz w:val="21"/>
                <w:szCs w:val="21"/>
                <w:color w:val="auto"/>
              </w:rPr>
            </w:pPr>
          </w:p>
        </w:tc>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service expenses</w:t>
            </w:r>
          </w:p>
        </w:tc>
        <w:tc>
          <w:tcPr>
            <w:tcW w:w="1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FF0FC"/>
          </w:tcPr>
          <w:p>
            <w:pPr>
              <w:spacing w:after="0"/>
              <w:rPr>
                <w:sz w:val="21"/>
                <w:szCs w:val="21"/>
                <w:color w:val="auto"/>
              </w:rPr>
            </w:pPr>
          </w:p>
        </w:tc>
        <w:tc>
          <w:tcPr>
            <w:tcW w:w="1360" w:type="dxa"/>
            <w:vAlign w:val="bottom"/>
          </w:tcPr>
          <w:p>
            <w:pPr>
              <w:spacing w:after="0"/>
              <w:rPr>
                <w:sz w:val="21"/>
                <w:szCs w:val="21"/>
                <w:color w:val="auto"/>
              </w:rPr>
            </w:pPr>
          </w:p>
        </w:tc>
      </w:tr>
      <w:tr>
        <w:trPr>
          <w:trHeight w:val="237"/>
        </w:trPr>
        <w:tc>
          <w:tcPr>
            <w:tcW w:w="136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6"/>
        </w:trPr>
        <w:tc>
          <w:tcPr>
            <w:tcW w:w="1360" w:type="dxa"/>
            <w:vAlign w:val="bottom"/>
          </w:tcPr>
          <w:p>
            <w:pPr>
              <w:spacing w:after="0"/>
              <w:rPr>
                <w:sz w:val="24"/>
                <w:szCs w:val="24"/>
                <w:color w:val="auto"/>
              </w:rPr>
            </w:pPr>
          </w:p>
        </w:tc>
        <w:tc>
          <w:tcPr>
            <w:tcW w:w="3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4"/>
              </w:rPr>
              <w:t>Total accrued expenses and other current liabilities</w:t>
            </w:r>
          </w:p>
        </w:tc>
        <w:tc>
          <w:tcPr>
            <w:tcW w:w="16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15,950</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6,709</w:t>
            </w:r>
          </w:p>
        </w:tc>
        <w:tc>
          <w:tcPr>
            <w:tcW w:w="80" w:type="dxa"/>
            <w:vAlign w:val="bottom"/>
            <w:tcBorders>
              <w:bottom w:val="single" w:sz="8" w:color="CFF0FC"/>
            </w:tcBorders>
            <w:shd w:val="clear" w:color="auto" w:fill="CFF0FC"/>
          </w:tcPr>
          <w:p>
            <w:pPr>
              <w:spacing w:after="0"/>
              <w:rPr>
                <w:sz w:val="24"/>
                <w:szCs w:val="24"/>
                <w:color w:val="auto"/>
              </w:rPr>
            </w:pPr>
          </w:p>
        </w:tc>
        <w:tc>
          <w:tcPr>
            <w:tcW w:w="1360" w:type="dxa"/>
            <w:vAlign w:val="bottom"/>
          </w:tcPr>
          <w:p>
            <w:pPr>
              <w:spacing w:after="0"/>
              <w:rPr>
                <w:sz w:val="24"/>
                <w:szCs w:val="24"/>
                <w:color w:val="auto"/>
              </w:rPr>
            </w:pPr>
          </w:p>
        </w:tc>
      </w:tr>
      <w:tr>
        <w:trPr>
          <w:trHeight w:val="594"/>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20" w:type="dxa"/>
            <w:vAlign w:val="bottom"/>
            <w:gridSpan w:val="2"/>
          </w:tcPr>
          <w:p>
            <w:pPr>
              <w:jc w:val="right"/>
              <w:ind w:right="1170"/>
              <w:spacing w:after="0"/>
              <w:rPr>
                <w:sz w:val="20"/>
                <w:szCs w:val="20"/>
                <w:color w:val="auto"/>
              </w:rPr>
            </w:pPr>
            <w:r>
              <w:rPr>
                <w:rFonts w:ascii="Arial" w:cs="Arial" w:eastAsia="Arial" w:hAnsi="Arial"/>
                <w:sz w:val="18"/>
                <w:szCs w:val="18"/>
                <w:color w:val="auto"/>
              </w:rPr>
              <w:t>F-18</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01"/>
        </w:trPr>
        <w:tc>
          <w:tcPr>
            <w:tcW w:w="1360" w:type="dxa"/>
            <w:vAlign w:val="bottom"/>
            <w:tcBorders>
              <w:bottom w:val="single" w:sz="8" w:color="9A9A9A"/>
            </w:tcBorders>
          </w:tcPr>
          <w:p>
            <w:pPr>
              <w:spacing w:after="0"/>
              <w:rPr>
                <w:sz w:val="8"/>
                <w:szCs w:val="8"/>
                <w:color w:val="auto"/>
              </w:rPr>
            </w:pPr>
          </w:p>
        </w:tc>
        <w:tc>
          <w:tcPr>
            <w:tcW w:w="38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-488315</wp:posOffset>
            </wp:positionV>
            <wp:extent cx="514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-471170</wp:posOffset>
            </wp:positionV>
            <wp:extent cx="514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-488315</wp:posOffset>
            </wp:positionV>
            <wp:extent cx="514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-471170</wp:posOffset>
            </wp:positionV>
            <wp:extent cx="514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5. Significant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Merck KGaA, Darmstadt, Germany</w:t>
      </w:r>
    </w:p>
    <w:p>
      <w:pPr>
        <w:spacing w:after="0" w:line="117" w:lineRule="exact"/>
        <w:rPr>
          <w:sz w:val="20"/>
          <w:szCs w:val="20"/>
          <w:color w:val="auto"/>
        </w:rPr>
      </w:pPr>
    </w:p>
    <w:p>
      <w:pPr>
        <w:ind w:right="80" w:firstLine="469"/>
        <w:spacing w:after="0" w:line="291" w:lineRule="auto"/>
        <w:rPr>
          <w:sz w:val="20"/>
          <w:szCs w:val="20"/>
          <w:color w:val="auto"/>
        </w:rPr>
      </w:pPr>
      <w:r>
        <w:rPr>
          <w:rFonts w:ascii="Arial" w:cs="Arial" w:eastAsia="Arial" w:hAnsi="Arial"/>
          <w:sz w:val="16"/>
          <w:szCs w:val="16"/>
          <w:color w:val="auto"/>
        </w:rPr>
        <w:t>On February 10, 2021, DOT-2, the Company’s subsidiary, entered into a license agreement, or the MRKDG License Agreement, with Merck KGaA, Darmstadt, Germany, a pharmaceutical corporation located in Darmstadt, Germany. 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inventory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w:t>
      </w:r>
    </w:p>
    <w:p>
      <w:pPr>
        <w:spacing w:after="0" w:line="58" w:lineRule="exact"/>
        <w:rPr>
          <w:sz w:val="20"/>
          <w:szCs w:val="20"/>
          <w:color w:val="auto"/>
        </w:rPr>
      </w:pPr>
    </w:p>
    <w:p>
      <w:pPr>
        <w:ind w:right="120" w:firstLine="469"/>
        <w:spacing w:after="0" w:line="277" w:lineRule="auto"/>
        <w:rPr>
          <w:sz w:val="20"/>
          <w:szCs w:val="20"/>
          <w:color w:val="auto"/>
        </w:rPr>
      </w:pPr>
      <w:r>
        <w:rPr>
          <w:rFonts w:ascii="Arial" w:cs="Arial" w:eastAsia="Arial" w:hAnsi="Arial"/>
          <w:sz w:val="18"/>
          <w:szCs w:val="18"/>
          <w:color w:val="auto"/>
        </w:rPr>
        <w:t>Under the MRKDG License Agreement, the Company has obligations to use commercially reasonable efforts to develop and commercialize at least two licensed products in at least two specified major market countries by the year 2029.</w:t>
      </w:r>
    </w:p>
    <w:p>
      <w:pPr>
        <w:spacing w:after="0" w:line="62" w:lineRule="exact"/>
        <w:rPr>
          <w:sz w:val="20"/>
          <w:szCs w:val="20"/>
          <w:color w:val="auto"/>
        </w:rPr>
      </w:pPr>
    </w:p>
    <w:p>
      <w:pPr>
        <w:ind w:right="20" w:firstLine="469"/>
        <w:spacing w:after="0" w:line="254" w:lineRule="auto"/>
        <w:rPr>
          <w:sz w:val="20"/>
          <w:szCs w:val="20"/>
          <w:color w:val="auto"/>
        </w:rPr>
      </w:pPr>
      <w:r>
        <w:rPr>
          <w:rFonts w:ascii="Arial" w:cs="Arial" w:eastAsia="Arial" w:hAnsi="Arial"/>
          <w:sz w:val="18"/>
          <w:szCs w:val="18"/>
          <w:color w:val="auto"/>
        </w:rPr>
        <w:t>In consideration for the rights granted under the MRKDG License Agreement and clinical supplies, the Company made an upfront payment of $8.0 million, which was recorded as research and development expenses, as the technology does not have an alternative future use and supplies are used for research activities. Additionally, the Company made a milestone payment of $2.5 million, which was recorded as research and development expenses due to the nature of the license agreement and the milestone event relating to the first dosing of a patient in a first clinical trial of a product containing pimasertib, in the year ended December 31, 2022. The Company may also be required to make additional payments of up to $364.5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w:t>
      </w:r>
    </w:p>
    <w:p>
      <w:pPr>
        <w:spacing w:after="0" w:line="84" w:lineRule="exact"/>
        <w:rPr>
          <w:sz w:val="20"/>
          <w:szCs w:val="20"/>
          <w:color w:val="auto"/>
        </w:rPr>
      </w:pPr>
    </w:p>
    <w:p>
      <w:pPr>
        <w:ind w:firstLine="469"/>
        <w:spacing w:after="0" w:line="311" w:lineRule="auto"/>
        <w:rPr>
          <w:sz w:val="20"/>
          <w:szCs w:val="20"/>
          <w:color w:val="auto"/>
        </w:rPr>
      </w:pPr>
      <w:r>
        <w:rPr>
          <w:rFonts w:ascii="Arial" w:cs="Arial" w:eastAsia="Arial" w:hAnsi="Arial"/>
          <w:sz w:val="16"/>
          <w:szCs w:val="16"/>
          <w:color w:val="auto"/>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spacing w:after="0" w:line="41" w:lineRule="exact"/>
        <w:rPr>
          <w:sz w:val="20"/>
          <w:szCs w:val="20"/>
          <w:color w:val="auto"/>
        </w:rPr>
      </w:pPr>
    </w:p>
    <w:p>
      <w:pPr>
        <w:ind w:right="400" w:firstLine="469"/>
        <w:spacing w:after="0" w:line="277" w:lineRule="auto"/>
        <w:rPr>
          <w:sz w:val="20"/>
          <w:szCs w:val="20"/>
          <w:color w:val="auto"/>
        </w:rPr>
      </w:pPr>
      <w:r>
        <w:rPr>
          <w:rFonts w:ascii="Arial" w:cs="Arial" w:eastAsia="Arial" w:hAnsi="Arial"/>
          <w:sz w:val="18"/>
          <w:szCs w:val="18"/>
          <w:color w:val="auto"/>
        </w:rPr>
        <w:t>Effective December 31, 2021, DOT-2 was merged with and into the Company, with the Company being the surviving corporation and assuming DOT-2’s obligations under the MRKDG License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Asset Purchase Agreement</w:t>
      </w:r>
    </w:p>
    <w:p>
      <w:pPr>
        <w:spacing w:after="0" w:line="117" w:lineRule="exact"/>
        <w:rPr>
          <w:sz w:val="20"/>
          <w:szCs w:val="20"/>
          <w:color w:val="auto"/>
        </w:rPr>
      </w:pPr>
    </w:p>
    <w:p>
      <w:pPr>
        <w:ind w:right="20" w:firstLine="469"/>
        <w:spacing w:after="0" w:line="269" w:lineRule="auto"/>
        <w:rPr>
          <w:sz w:val="20"/>
          <w:szCs w:val="20"/>
          <w:color w:val="auto"/>
        </w:rPr>
      </w:pPr>
      <w:r>
        <w:rPr>
          <w:rFonts w:ascii="Arial" w:cs="Arial" w:eastAsia="Arial" w:hAnsi="Arial"/>
          <w:sz w:val="17"/>
          <w:szCs w:val="17"/>
          <w:color w:val="auto"/>
        </w:rPr>
        <w:t>On December 16, 2019, DOT-1, the Company’s subsidiary, entered into an asset purchase agreement, or the Takeda Asset Agreement, with Millennium Pharmaceuticals, Inc., a related party and an affiliate of Takeda Pharmaceutical Company Limited, or Takeda. Pursuant to the Takeda Asset Agreement, DOT-1 purchased certain technology rights and know-how related to TAK-580 (which is now tovorafenib (DAY101)) that provides a new approach for treating patients with primary brain tumors or brain metastases of solid tumors. DOT-1 also received clinical inventory supplies to use in the Company’s research and development activities of such RAF-inhibitor and an assigned investigator clinical trial agreement. Takeda also assigned to DOT-1 its exclusive license agreement, or the Viracta License Agreement, with Viracta Therapeutics, Inc. (f/k/a Sunesis Pharmaceuticals, Inc.), or Viracta. Takeda also granted DOT-1 a worldwide, sublicensable exclusive license under specified patents and know-how and non-exclusive license under other patents and know-how generated by Takeda under the Takeda Asset Agreement. The Company also granted Takeda a grant back license, as defined in the Takeda Asset Agreement, which is terminable either automatically or by DOT-1 in the event Takeda does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65" w:name="page166"/>
    <w:bookmarkEnd w:id="165"/>
    <w:p>
      <w:pPr>
        <w:ind w:firstLine="469"/>
        <w:spacing w:after="0" w:line="296" w:lineRule="auto"/>
        <w:rPr>
          <w:sz w:val="20"/>
          <w:szCs w:val="20"/>
          <w:color w:val="auto"/>
        </w:rPr>
      </w:pPr>
      <w:r>
        <w:rPr>
          <w:rFonts w:ascii="Arial" w:cs="Arial" w:eastAsia="Arial" w:hAnsi="Arial"/>
          <w:sz w:val="16"/>
          <w:szCs w:val="16"/>
          <w:color w:val="auto"/>
        </w:rPr>
        <w:t>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 issued shares in the Series A financing of DOT-1. Based on the terms of the Millennium Stock Exchange Agreement, Takeda exchanged the 9,857,143 shares of Series A redeemable convertible preferred stock of DOT-1 for 6,470,382 shares of the Company’s common stock upon the effectiveness of the Conversion, on May 26, 2021.</w:t>
      </w:r>
    </w:p>
    <w:p>
      <w:pPr>
        <w:spacing w:after="0" w:line="53" w:lineRule="exact"/>
        <w:rPr>
          <w:sz w:val="20"/>
          <w:szCs w:val="20"/>
          <w:color w:val="auto"/>
        </w:rPr>
      </w:pPr>
    </w:p>
    <w:p>
      <w:pPr>
        <w:ind w:right="40" w:firstLine="469"/>
        <w:spacing w:after="0" w:line="272" w:lineRule="auto"/>
        <w:rPr>
          <w:sz w:val="20"/>
          <w:szCs w:val="20"/>
          <w:color w:val="auto"/>
        </w:rPr>
      </w:pPr>
      <w:r>
        <w:rPr>
          <w:rFonts w:ascii="Arial" w:cs="Arial" w:eastAsia="Arial" w:hAnsi="Arial"/>
          <w:sz w:val="17"/>
          <w:szCs w:val="17"/>
          <w:color w:val="auto"/>
        </w:rPr>
        <w:t>The term of the Takeda Asset Agreement will expire on a country-by-country basis upon expiration of all assigned patent rights and all licensed patent rights in such country. Takeda may terminate the Takeda Asset Agreement prior to the Company's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in the event of the Company's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69" w:lineRule="exact"/>
        <w:rPr>
          <w:sz w:val="20"/>
          <w:szCs w:val="20"/>
          <w:color w:val="auto"/>
        </w:rPr>
      </w:pPr>
    </w:p>
    <w:p>
      <w:pPr>
        <w:ind w:right="360" w:firstLine="469"/>
        <w:spacing w:after="0" w:line="277" w:lineRule="auto"/>
        <w:rPr>
          <w:sz w:val="20"/>
          <w:szCs w:val="20"/>
          <w:color w:val="auto"/>
        </w:rPr>
      </w:pPr>
      <w:r>
        <w:rPr>
          <w:rFonts w:ascii="Arial" w:cs="Arial" w:eastAsia="Arial" w:hAnsi="Arial"/>
          <w:sz w:val="18"/>
          <w:szCs w:val="18"/>
          <w:color w:val="auto"/>
        </w:rPr>
        <w:t>Effective December 31, 2021, DOT-1 was merged with and into the Company, with the Company being the surviving corporation and assuming DOT-1’s obligations under the Takeda Assets Purchase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Viracta License Agreement</w:t>
      </w:r>
    </w:p>
    <w:p>
      <w:pPr>
        <w:spacing w:after="0" w:line="117" w:lineRule="exact"/>
        <w:rPr>
          <w:sz w:val="20"/>
          <w:szCs w:val="20"/>
          <w:color w:val="auto"/>
        </w:rPr>
      </w:pPr>
    </w:p>
    <w:p>
      <w:pPr>
        <w:ind w:right="260" w:firstLine="469"/>
        <w:spacing w:after="0" w:line="263" w:lineRule="auto"/>
        <w:rPr>
          <w:sz w:val="20"/>
          <w:szCs w:val="20"/>
          <w:color w:val="auto"/>
        </w:rPr>
      </w:pPr>
      <w:r>
        <w:rPr>
          <w:rFonts w:ascii="Arial" w:cs="Arial" w:eastAsia="Arial" w:hAnsi="Arial"/>
          <w:sz w:val="18"/>
          <w:szCs w:val="18"/>
          <w:color w:val="auto"/>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p>
    <w:p>
      <w:pPr>
        <w:spacing w:after="0" w:line="76" w:lineRule="exact"/>
        <w:rPr>
          <w:sz w:val="20"/>
          <w:szCs w:val="20"/>
          <w:color w:val="auto"/>
        </w:rPr>
      </w:pPr>
    </w:p>
    <w:p>
      <w:pPr>
        <w:ind w:firstLine="469"/>
        <w:spacing w:after="0" w:line="286" w:lineRule="auto"/>
        <w:rPr>
          <w:sz w:val="20"/>
          <w:szCs w:val="20"/>
          <w:color w:val="auto"/>
        </w:rPr>
      </w:pPr>
      <w:r>
        <w:rPr>
          <w:rFonts w:ascii="Arial" w:cs="Arial" w:eastAsia="Arial" w:hAnsi="Arial"/>
          <w:sz w:val="16"/>
          <w:szCs w:val="16"/>
          <w:color w:val="auto"/>
        </w:rPr>
        <w:t>DOT-1 paid $2.0 million upfront in cash to Viracta, which was recorded as research and development expenses in 2019. DOT-1 made a milestone payment of $3.0 million to Viracta in February 2021, which was recorded as research and development expense when the milestone was achieved in April 2021. DOT-1 is also required to make additional milestone payments of up to $54.0 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sells such priority review voucher to a third party or uses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No other milestones, except as discussed above, were achieved and due as of December 31, 2022.</w:t>
      </w:r>
    </w:p>
    <w:p>
      <w:pPr>
        <w:spacing w:after="0" w:line="66" w:lineRule="exact"/>
        <w:rPr>
          <w:sz w:val="20"/>
          <w:szCs w:val="20"/>
          <w:color w:val="auto"/>
        </w:rPr>
      </w:pPr>
    </w:p>
    <w:p>
      <w:pPr>
        <w:jc w:val="both"/>
        <w:ind w:right="120" w:firstLine="469"/>
        <w:spacing w:after="0" w:line="263" w:lineRule="auto"/>
        <w:rPr>
          <w:sz w:val="20"/>
          <w:szCs w:val="20"/>
          <w:color w:val="auto"/>
        </w:rPr>
      </w:pPr>
      <w:r>
        <w:rPr>
          <w:rFonts w:ascii="Arial" w:cs="Arial" w:eastAsia="Arial" w:hAnsi="Arial"/>
          <w:sz w:val="18"/>
          <w:szCs w:val="18"/>
          <w:color w:val="auto"/>
        </w:rPr>
        <w:t>The term of the Viracta License Agreement will expire on a licensed product-by-licensed product and country-by-country basis upon the expiration of the Company’s obligation to pay royalties to Viracta with respect to such product in such country. DOT-1 has the right to terminate the Viracta License Agreement with respect to any or all of the licensed products at will upon a specified notice period.</w:t>
      </w:r>
    </w:p>
    <w:p>
      <w:pPr>
        <w:spacing w:after="0" w:line="76" w:lineRule="exact"/>
        <w:rPr>
          <w:sz w:val="20"/>
          <w:szCs w:val="20"/>
          <w:color w:val="auto"/>
        </w:rPr>
      </w:pPr>
    </w:p>
    <w:p>
      <w:pPr>
        <w:ind w:right="360" w:firstLine="469"/>
        <w:spacing w:after="0" w:line="277" w:lineRule="auto"/>
        <w:rPr>
          <w:sz w:val="20"/>
          <w:szCs w:val="20"/>
          <w:color w:val="auto"/>
        </w:rPr>
      </w:pPr>
      <w:r>
        <w:rPr>
          <w:rFonts w:ascii="Arial" w:cs="Arial" w:eastAsia="Arial" w:hAnsi="Arial"/>
          <w:sz w:val="18"/>
          <w:szCs w:val="18"/>
          <w:color w:val="auto"/>
        </w:rPr>
        <w:t>Effective December 31, 2021, DOT-1 was merged with and into the Company, with the Company being the surviving corporation and assuming DOT-1’s obligations under Viracta License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0" w:firstLine="469"/>
        <w:spacing w:after="0" w:line="290" w:lineRule="auto"/>
        <w:rPr>
          <w:sz w:val="20"/>
          <w:szCs w:val="20"/>
          <w:color w:val="auto"/>
        </w:rPr>
      </w:pPr>
      <w:r>
        <w:rPr>
          <w:rFonts w:ascii="Arial" w:cs="Arial" w:eastAsia="Arial" w:hAnsi="Arial"/>
          <w:sz w:val="16"/>
          <w:szCs w:val="16"/>
          <w:color w:val="auto"/>
        </w:rPr>
        <w:t>The Company entered into a lease agreement for its corporate office facility in South San Francisco, California in March 2020. Such agreement was determined to be a lease, since the right to control the use of the identified asset was conveyed to the Company for a period of time in exchange for consideration. The Company can extend the lease term for an additional three years at market rates upon the notice of extension. The Company is obligated to pay monthly rent expense and its pro rata share of utilities, common area maintenance expenses, and property taxes. The landlord also provided an allowance of $10,000 for tenant improvements. The Company concluded that it is an operating lease. Common area expenses are a non-lease component and a variable consideration and included in operating expenses as incurred. The extension period has not been included in the determination of the Right of Use, or ROU, asset or the lease liability for operating leases as the Company concluded that it is not reasonably certain that it would exercise this option. In October 2022, the Company terminated this lease agreement prior to its scheduled expiration in January 2023.</w:t>
      </w:r>
    </w:p>
    <w:p>
      <w:pPr>
        <w:spacing w:after="0" w:line="57" w:lineRule="exact"/>
        <w:rPr>
          <w:sz w:val="20"/>
          <w:szCs w:val="20"/>
          <w:color w:val="auto"/>
        </w:rPr>
      </w:pPr>
    </w:p>
    <w:p>
      <w:pPr>
        <w:ind w:right="100" w:firstLine="469"/>
        <w:spacing w:after="0" w:line="290" w:lineRule="auto"/>
        <w:rPr>
          <w:sz w:val="20"/>
          <w:szCs w:val="20"/>
          <w:color w:val="auto"/>
        </w:rPr>
      </w:pPr>
      <w:r>
        <w:rPr>
          <w:rFonts w:ascii="Arial" w:cs="Arial" w:eastAsia="Arial" w:hAnsi="Arial"/>
          <w:sz w:val="16"/>
          <w:szCs w:val="16"/>
          <w:color w:val="auto"/>
        </w:rPr>
        <w:t>In April 2022, the Company entered into a lease agreement for approximately 12,000 square feet of general use office space in Brisbane, California. Such agreement was determined to be a lease since the right to control the use of the identified asset was conveyed to the Company for a period of time in exchange for consideration. The term of the lease is 31 months and commenced in May 2022. There is no option to extend the lease term nor is there an option to terminate the lease term prior to its expiration. The Company is obligated to pay monthly rent expense and its pro rata share of the landlord's operating expenses which include utilities, common area maintenance expenses, and property taxes. Such expenses are a non-lease component and a variable consideration and included in the Company's operating expenses as incurred. The Company concluded that this lease is also an operating lease. The total payments for base rent over the term of the lease is approximately $1.1 million. Upon execution of the agreement, the Company paid a security deposit of approximately $40,000 classified as deposits and other long-term assets on the consolidated balance sheet.</w:t>
      </w:r>
    </w:p>
    <w:p>
      <w:pPr>
        <w:spacing w:after="0" w:line="57" w:lineRule="exact"/>
        <w:rPr>
          <w:sz w:val="20"/>
          <w:szCs w:val="20"/>
          <w:color w:val="auto"/>
        </w:rPr>
      </w:pPr>
    </w:p>
    <w:p>
      <w:pPr>
        <w:ind w:right="60" w:firstLine="469"/>
        <w:spacing w:after="0" w:line="301" w:lineRule="auto"/>
        <w:rPr>
          <w:sz w:val="20"/>
          <w:szCs w:val="20"/>
          <w:color w:val="auto"/>
        </w:rPr>
      </w:pPr>
      <w:r>
        <w:rPr>
          <w:rFonts w:ascii="Arial" w:cs="Arial" w:eastAsia="Arial" w:hAnsi="Arial"/>
          <w:sz w:val="16"/>
          <w:szCs w:val="16"/>
          <w:color w:val="auto"/>
        </w:rPr>
        <w:t>The Company determined the lease incremental borrowing rate, or IBR, based on the information available at the applicable lease commencement date as the Company’s leases do not provide an implicit rate. The IBR is determined by using the rate of interest that the Company would pay to borrow on a collateralized basis an amount equal to the lease payments for a similar term and in a similar economic environment where the asset is located. As of December 31, 2022, the weighted-average remaining lease term and weighted-average discount rate were 1.9 years and 9.0%, respectively.</w:t>
      </w:r>
    </w:p>
    <w:p>
      <w:pPr>
        <w:spacing w:after="0" w:line="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lease does not require any contingent rental payments, impose financial restrictions, or contain any residual value guarantees.</w:t>
      </w:r>
    </w:p>
    <w:p>
      <w:pPr>
        <w:spacing w:after="0" w:line="129" w:lineRule="exact"/>
        <w:rPr>
          <w:sz w:val="20"/>
          <w:szCs w:val="20"/>
          <w:color w:val="auto"/>
        </w:rPr>
      </w:pPr>
    </w:p>
    <w:p>
      <w:pPr>
        <w:ind w:right="320" w:firstLine="469"/>
        <w:spacing w:after="0" w:line="279" w:lineRule="auto"/>
        <w:rPr>
          <w:sz w:val="20"/>
          <w:szCs w:val="20"/>
          <w:color w:val="auto"/>
        </w:rPr>
      </w:pPr>
      <w:r>
        <w:rPr>
          <w:rFonts w:ascii="Arial" w:cs="Arial" w:eastAsia="Arial" w:hAnsi="Arial"/>
          <w:sz w:val="17"/>
          <w:szCs w:val="17"/>
          <w:color w:val="auto"/>
        </w:rPr>
        <w:t>Lease expense of right-of-use assets is recognized on a straight-line basis over the applicable lease term. Lease expense was $0.5 million, $0.2 million and $0.1 million for the years ended December 31, 2022, 2021 and 2020, respectively. Cash paid for amounts included in the measurement of operating lease liabilities was $0.4 million, $0.2 million and $0.2 million for the years ended December 31, 2022, 2021 and 2020, respectively. Variable payments expensed during the years ended December 31, 2022, 2021, and 2020 were immaterial.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future lease obligations were as follows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60" w:type="dxa"/>
            <w:vAlign w:val="bottom"/>
          </w:tcPr>
          <w:p>
            <w:pPr>
              <w:spacing w:after="0"/>
              <w:rPr>
                <w:sz w:val="21"/>
                <w:szCs w:val="21"/>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8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240" w:type="dxa"/>
            <w:vAlign w:val="bottom"/>
          </w:tcPr>
          <w:p>
            <w:pPr>
              <w:spacing w:after="0"/>
              <w:rPr>
                <w:sz w:val="21"/>
                <w:szCs w:val="21"/>
                <w:color w:val="auto"/>
              </w:rPr>
            </w:pPr>
          </w:p>
        </w:tc>
      </w:tr>
      <w:tr>
        <w:trPr>
          <w:trHeight w:val="237"/>
        </w:trPr>
        <w:tc>
          <w:tcPr>
            <w:tcW w:w="226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2024</w:t>
            </w:r>
          </w:p>
        </w:tc>
        <w:tc>
          <w:tcPr>
            <w:tcW w:w="23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240" w:type="dxa"/>
            <w:vAlign w:val="bottom"/>
          </w:tcPr>
          <w:p>
            <w:pPr>
              <w:spacing w:after="0"/>
              <w:rPr>
                <w:sz w:val="20"/>
                <w:szCs w:val="20"/>
                <w:color w:val="auto"/>
              </w:rPr>
            </w:pPr>
          </w:p>
        </w:tc>
      </w:tr>
      <w:tr>
        <w:trPr>
          <w:trHeight w:val="243"/>
        </w:trPr>
        <w:tc>
          <w:tcPr>
            <w:tcW w:w="2260" w:type="dxa"/>
            <w:vAlign w:val="bottom"/>
          </w:tcPr>
          <w:p>
            <w:pPr>
              <w:spacing w:after="0"/>
              <w:rPr>
                <w:sz w:val="21"/>
                <w:szCs w:val="21"/>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23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2240" w:type="dxa"/>
            <w:vAlign w:val="bottom"/>
          </w:tcPr>
          <w:p>
            <w:pPr>
              <w:spacing w:after="0"/>
              <w:rPr>
                <w:sz w:val="21"/>
                <w:szCs w:val="21"/>
                <w:color w:val="auto"/>
              </w:rPr>
            </w:pPr>
          </w:p>
        </w:tc>
      </w:tr>
      <w:tr>
        <w:trPr>
          <w:trHeight w:val="237"/>
        </w:trPr>
        <w:tc>
          <w:tcPr>
            <w:tcW w:w="2260" w:type="dxa"/>
            <w:vAlign w:val="bottom"/>
          </w:tcPr>
          <w:p>
            <w:pPr>
              <w:spacing w:after="0"/>
              <w:rPr>
                <w:sz w:val="20"/>
                <w:szCs w:val="20"/>
                <w:color w:val="auto"/>
              </w:rPr>
            </w:pPr>
          </w:p>
        </w:tc>
        <w:tc>
          <w:tcPr>
            <w:tcW w:w="3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Imputed interest</w:t>
            </w:r>
          </w:p>
        </w:tc>
        <w:tc>
          <w:tcPr>
            <w:tcW w:w="234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40" w:type="dxa"/>
            <w:vAlign w:val="bottom"/>
          </w:tcPr>
          <w:p>
            <w:pPr>
              <w:spacing w:after="0"/>
              <w:rPr>
                <w:sz w:val="20"/>
                <w:szCs w:val="20"/>
                <w:color w:val="auto"/>
              </w:rPr>
            </w:pPr>
          </w:p>
        </w:tc>
      </w:tr>
      <w:tr>
        <w:trPr>
          <w:trHeight w:val="277"/>
        </w:trPr>
        <w:tc>
          <w:tcPr>
            <w:tcW w:w="2260" w:type="dxa"/>
            <w:vAlign w:val="bottom"/>
          </w:tcPr>
          <w:p>
            <w:pPr>
              <w:spacing w:after="0"/>
              <w:rPr>
                <w:sz w:val="24"/>
                <w:szCs w:val="24"/>
                <w:color w:val="auto"/>
              </w:rPr>
            </w:pPr>
          </w:p>
        </w:tc>
        <w:tc>
          <w:tcPr>
            <w:tcW w:w="3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Present value of operating lease liabilities</w:t>
            </w:r>
          </w:p>
        </w:tc>
        <w:tc>
          <w:tcPr>
            <w:tcW w:w="234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240" w:type="dxa"/>
            <w:vAlign w:val="bottom"/>
          </w:tcPr>
          <w:p>
            <w:pPr>
              <w:spacing w:after="0"/>
              <w:rPr>
                <w:sz w:val="24"/>
                <w:szCs w:val="24"/>
                <w:color w:val="auto"/>
              </w:rPr>
            </w:pPr>
          </w:p>
        </w:tc>
      </w:tr>
      <w:tr>
        <w:trPr>
          <w:trHeight w:val="594"/>
        </w:trPr>
        <w:tc>
          <w:tcPr>
            <w:tcW w:w="2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60" w:type="dxa"/>
            <w:vAlign w:val="bottom"/>
            <w:gridSpan w:val="2"/>
          </w:tcPr>
          <w:p>
            <w:pPr>
              <w:jc w:val="right"/>
              <w:ind w:right="2330"/>
              <w:spacing w:after="0"/>
              <w:rPr>
                <w:sz w:val="20"/>
                <w:szCs w:val="20"/>
                <w:color w:val="auto"/>
              </w:rPr>
            </w:pPr>
            <w:r>
              <w:rPr>
                <w:rFonts w:ascii="Arial" w:cs="Arial" w:eastAsia="Arial" w:hAnsi="Arial"/>
                <w:sz w:val="18"/>
                <w:szCs w:val="18"/>
                <w:color w:val="auto"/>
              </w:rPr>
              <w:t>F-21</w:t>
            </w:r>
          </w:p>
        </w:tc>
        <w:tc>
          <w:tcPr>
            <w:tcW w:w="7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2"/>
        </w:trPr>
        <w:tc>
          <w:tcPr>
            <w:tcW w:w="226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-488315</wp:posOffset>
            </wp:positionV>
            <wp:extent cx="342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-471170</wp:posOffset>
            </wp:positionV>
            <wp:extent cx="342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-650875</wp:posOffset>
            </wp:positionV>
            <wp:extent cx="342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i w:val="1"/>
          <w:iCs w:val="1"/>
          <w:color w:val="auto"/>
        </w:rPr>
        <w:t>Research and Development Agreements</w:t>
      </w:r>
    </w:p>
    <w:p>
      <w:pPr>
        <w:spacing w:after="0" w:line="117" w:lineRule="exact"/>
        <w:rPr>
          <w:sz w:val="20"/>
          <w:szCs w:val="20"/>
          <w:color w:val="auto"/>
        </w:rPr>
      </w:pPr>
    </w:p>
    <w:p>
      <w:pPr>
        <w:ind w:right="80" w:firstLine="469"/>
        <w:spacing w:after="0" w:line="301" w:lineRule="auto"/>
        <w:rPr>
          <w:sz w:val="20"/>
          <w:szCs w:val="20"/>
          <w:color w:val="auto"/>
        </w:rPr>
      </w:pPr>
      <w:r>
        <w:rPr>
          <w:rFonts w:ascii="Arial" w:cs="Arial" w:eastAsia="Arial" w:hAnsi="Arial"/>
          <w:sz w:val="16"/>
          <w:szCs w:val="16"/>
          <w:color w:val="auto"/>
        </w:rPr>
        <w:t>The Company enters into contracts in the normal course of business with clinical research organizations, contract manufacturing organizations, and other third-party vendors for clinical trial, manufacturing, testing, and other research and development activities. These contracts generally provide for termination on notice, with the exception of one vendor where certain costs are non-cancellable after the approval of the project. As of each of December 31, 2022 and 2021, there were no amounts accrued related to termination and cancellation charges as these are not probable.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firstLine="469"/>
        <w:spacing w:after="0" w:line="296" w:lineRule="auto"/>
        <w:rPr>
          <w:sz w:val="20"/>
          <w:szCs w:val="20"/>
          <w:color w:val="auto"/>
        </w:rPr>
      </w:pPr>
      <w:r>
        <w:rPr>
          <w:rFonts w:ascii="Arial" w:cs="Arial" w:eastAsia="Arial" w:hAnsi="Arial"/>
          <w:sz w:val="16"/>
          <w:szCs w:val="16"/>
          <w:color w:val="auto"/>
        </w:rPr>
        <w:t>The Company entered into the license agreements, as disclosed in Note 5, pursuant to which the Company is required to pay milestones contingent upon meeting of specific events. The first milestone, related to the Viracta License Agreement, was achieved and recorded to research and development expense during the year ended December 31, 2021. The second milestone, related to the MRKDG License Agreement, was achieved and recorded to research and development during the year ended December 31, 2022. The Company may be required to pay royalties on sales of products developed under these agreements. All products are in development as of December 31, 2022 and 2021, and no such royalties were due.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80" w:firstLine="469"/>
        <w:spacing w:after="0" w:line="277"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is not subject to any material legal proceedings, and to the best of its knowledge, no material legal proceedings are currently pending or threatened.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firstLine="469"/>
        <w:spacing w:after="0" w:line="29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each of December 31, 2022 and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Shares</w:t>
      </w:r>
    </w:p>
    <w:p>
      <w:pPr>
        <w:spacing w:after="0" w:line="121" w:lineRule="exact"/>
        <w:rPr>
          <w:sz w:val="20"/>
          <w:szCs w:val="20"/>
          <w:color w:val="auto"/>
        </w:rPr>
      </w:pPr>
    </w:p>
    <w:p>
      <w:pPr>
        <w:ind w:right="460" w:firstLine="469"/>
        <w:spacing w:after="0" w:line="263" w:lineRule="auto"/>
        <w:rPr>
          <w:sz w:val="20"/>
          <w:szCs w:val="20"/>
          <w:color w:val="auto"/>
        </w:rPr>
      </w:pPr>
      <w:r>
        <w:rPr>
          <w:rFonts w:ascii="Arial" w:cs="Arial" w:eastAsia="Arial" w:hAnsi="Arial"/>
          <w:sz w:val="18"/>
          <w:szCs w:val="18"/>
          <w:color w:val="auto"/>
        </w:rPr>
        <w:t>On June 1, 2021, the Company completed its IPO, selling an aggregate of 11,500,000 shares of common stock. All outstanding redeemable convertible preferred shares were converted into 32,489,398 shares of common stock upon the completion of the IPO. As of December 31, 2022, the Company did not have any outstanding shares of redeemable convertible preferred shares.</w:t>
      </w:r>
    </w:p>
    <w:p>
      <w:pPr>
        <w:spacing w:after="0" w:line="76" w:lineRule="exact"/>
        <w:rPr>
          <w:sz w:val="20"/>
          <w:szCs w:val="20"/>
          <w:color w:val="auto"/>
        </w:rPr>
      </w:pPr>
    </w:p>
    <w:p>
      <w:pPr>
        <w:ind w:right="280" w:firstLine="469"/>
        <w:spacing w:after="0" w:line="277" w:lineRule="auto"/>
        <w:rPr>
          <w:sz w:val="20"/>
          <w:szCs w:val="20"/>
          <w:color w:val="auto"/>
        </w:rPr>
      </w:pPr>
      <w:r>
        <w:rPr>
          <w:rFonts w:ascii="Arial" w:cs="Arial" w:eastAsia="Arial" w:hAnsi="Arial"/>
          <w:sz w:val="18"/>
          <w:szCs w:val="18"/>
          <w:color w:val="auto"/>
        </w:rPr>
        <w:t>In February 2021, the Company issued 9,638,141 Series B redeemable convertible preferred shares at a price of $13.488 per share for gross cash proceeds of $130.0 million. The Company incurred issuance costs of $243,000.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Pursuant to its certificate of incorporation, the Company is authorized to issue 500.0 million shares of common stock at a par value of $0.0001 per share. As of December 31, 2022, 73,458,176 shares of common stock were issued and outstanding.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68" w:name="page169"/>
    <w:bookmarkEnd w:id="168"/>
    <w:p>
      <w:pPr>
        <w:ind w:right="40" w:firstLine="509"/>
        <w:spacing w:after="0" w:line="293" w:lineRule="auto"/>
        <w:rPr>
          <w:sz w:val="20"/>
          <w:szCs w:val="20"/>
          <w:color w:val="auto"/>
        </w:rPr>
      </w:pPr>
      <w:r>
        <w:rPr>
          <w:rFonts w:ascii="Arial" w:cs="Arial" w:eastAsia="Arial" w:hAnsi="Arial"/>
          <w:sz w:val="16"/>
          <w:szCs w:val="16"/>
          <w:color w:val="auto"/>
        </w:rPr>
        <w:t>In November 2018, the Company entered into common shares purchase agreements with two founders of the Company. The individuals purchased a total of 2,790,000 common shares for a total purchase price of $300. Shares vested monthly for two and four years, respectively. Vesting for a certain number of shares was accelerated upon the Company’s closing of its Series A redeemable convertible preferred share financing. The Company also has an option for a period of ninety days after the individual’s employment is terminated either voluntarily or involuntarily to repurchase the unvested common shares at a price that is the lower of the original price per share paid by the founder for such stock or the fair value as of the date of such repurchase. The founders’ shares were converted to common stock in the Conversion. As of December 31, 2022, all founders’ common stock were vested.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17" w:lineRule="exact"/>
        <w:rPr>
          <w:sz w:val="20"/>
          <w:szCs w:val="20"/>
          <w:color w:val="auto"/>
        </w:rPr>
      </w:pPr>
    </w:p>
    <w:p>
      <w:pPr>
        <w:jc w:val="both"/>
        <w:ind w:right="40" w:firstLine="509"/>
        <w:spacing w:after="0" w:line="311" w:lineRule="auto"/>
        <w:rPr>
          <w:sz w:val="20"/>
          <w:szCs w:val="20"/>
          <w:color w:val="auto"/>
        </w:rPr>
      </w:pPr>
      <w:r>
        <w:rPr>
          <w:rFonts w:ascii="Arial" w:cs="Arial" w:eastAsia="Arial" w:hAnsi="Arial"/>
          <w:sz w:val="16"/>
          <w:szCs w:val="16"/>
          <w:color w:val="auto"/>
        </w:rPr>
        <w:t>In June 2022, the Company entered into an equity distribution agreement with Piper Sandler &amp; Co. and JonesTrading Institutional Services LLC, as sales agents, relating to the issuance and sale of shares of the Company’s common stock for an aggregate offering price of up to $150.0 million under an at-the-market offering program, or the 2022 ATM. During the year ended December 31, 2022, the Company did not make any sales under the 2022 ATM.</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2022 Follow-On Offering</w:t>
      </w:r>
    </w:p>
    <w:p>
      <w:pPr>
        <w:spacing w:after="0" w:line="11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In June 2022, the Company completed a follow-on offering and issued and sold 11,500,000 shares of common stock (including the exercise by the underwriters of their option to purchase an additional 1,500,000 shares of common stock) at a price to the public of $15.00 per share for net proceeds of approximately $161.6 million, after deducting underwriting discounts, commissions, and offering costs.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reserved shares of common stock for future issuances as follows:</w:t>
      </w:r>
    </w:p>
    <w:p>
      <w:pPr>
        <w:spacing w:after="0" w:line="110"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4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r>
      <w:tr>
        <w:trPr>
          <w:trHeight w:val="185"/>
        </w:trPr>
        <w:tc>
          <w:tcPr>
            <w:tcW w:w="5560" w:type="dxa"/>
            <w:vAlign w:val="bottom"/>
          </w:tcPr>
          <w:p>
            <w:pPr>
              <w:spacing w:after="0"/>
              <w:rPr>
                <w:sz w:val="16"/>
                <w:szCs w:val="16"/>
                <w:color w:val="auto"/>
              </w:rPr>
            </w:pPr>
          </w:p>
        </w:tc>
        <w:tc>
          <w:tcPr>
            <w:tcW w:w="14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Common stock options issued and outstanding</w:t>
            </w:r>
          </w:p>
        </w:tc>
        <w:tc>
          <w:tcPr>
            <w:tcW w:w="1460" w:type="dxa"/>
            <w:vAlign w:val="bottom"/>
          </w:tcPr>
          <w:p>
            <w:pPr>
              <w:jc w:val="right"/>
              <w:spacing w:after="0"/>
              <w:rPr>
                <w:sz w:val="20"/>
                <w:szCs w:val="20"/>
                <w:color w:val="auto"/>
              </w:rPr>
            </w:pPr>
            <w:r>
              <w:rPr>
                <w:rFonts w:ascii="Arial" w:cs="Arial" w:eastAsia="Arial" w:hAnsi="Arial"/>
                <w:sz w:val="18"/>
                <w:szCs w:val="18"/>
                <w:color w:val="auto"/>
              </w:rPr>
              <w:t>7,634,167</w:t>
            </w:r>
          </w:p>
        </w:tc>
        <w:tc>
          <w:tcPr>
            <w:tcW w:w="60" w:type="dxa"/>
            <w:vAlign w:val="bottom"/>
          </w:tcPr>
          <w:p>
            <w:pPr>
              <w:spacing w:after="0"/>
              <w:rPr>
                <w:sz w:val="20"/>
                <w:szCs w:val="20"/>
                <w:color w:val="auto"/>
              </w:rPr>
            </w:pPr>
          </w:p>
        </w:tc>
      </w:tr>
      <w:tr>
        <w:trPr>
          <w:trHeight w:val="249"/>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available for future grants</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1,839,775</w:t>
            </w:r>
          </w:p>
        </w:tc>
        <w:tc>
          <w:tcPr>
            <w:tcW w:w="60" w:type="dxa"/>
            <w:vAlign w:val="bottom"/>
            <w:shd w:val="clear" w:color="auto" w:fill="CFF0FC"/>
          </w:tcPr>
          <w:p>
            <w:pPr>
              <w:spacing w:after="0"/>
              <w:rPr>
                <w:sz w:val="21"/>
                <w:szCs w:val="2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Common stock available for ESPP</w:t>
            </w:r>
          </w:p>
        </w:tc>
        <w:tc>
          <w:tcPr>
            <w:tcW w:w="1460" w:type="dxa"/>
            <w:vAlign w:val="bottom"/>
          </w:tcPr>
          <w:p>
            <w:pPr>
              <w:jc w:val="right"/>
              <w:spacing w:after="0"/>
              <w:rPr>
                <w:sz w:val="20"/>
                <w:szCs w:val="20"/>
                <w:color w:val="auto"/>
              </w:rPr>
            </w:pPr>
            <w:r>
              <w:rPr>
                <w:rFonts w:ascii="Arial" w:cs="Arial" w:eastAsia="Arial" w:hAnsi="Arial"/>
                <w:sz w:val="18"/>
                <w:szCs w:val="18"/>
                <w:color w:val="auto"/>
              </w:rPr>
              <w:t>1,101,756</w:t>
            </w:r>
          </w:p>
        </w:tc>
        <w:tc>
          <w:tcPr>
            <w:tcW w:w="60" w:type="dxa"/>
            <w:vAlign w:val="bottom"/>
          </w:tcPr>
          <w:p>
            <w:pPr>
              <w:spacing w:after="0"/>
              <w:rPr>
                <w:sz w:val="20"/>
                <w:szCs w:val="20"/>
                <w:color w:val="auto"/>
              </w:rPr>
            </w:pPr>
          </w:p>
        </w:tc>
      </w:tr>
      <w:tr>
        <w:trPr>
          <w:trHeight w:val="243"/>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stock units issued and outstanding</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485,351</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6"/>
        </w:trPr>
        <w:tc>
          <w:tcPr>
            <w:tcW w:w="556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11,061,049</w:t>
            </w:r>
          </w:p>
        </w:tc>
        <w:tc>
          <w:tcPr>
            <w:tcW w:w="6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-187960</wp:posOffset>
            </wp:positionV>
            <wp:extent cx="43180" cy="1885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21" w:lineRule="exact"/>
        <w:rPr>
          <w:sz w:val="20"/>
          <w:szCs w:val="20"/>
          <w:color w:val="auto"/>
        </w:rPr>
      </w:pPr>
    </w:p>
    <w:p>
      <w:pPr>
        <w:ind w:right="100" w:firstLine="749"/>
        <w:spacing w:after="0" w:line="254" w:lineRule="auto"/>
        <w:rPr>
          <w:sz w:val="20"/>
          <w:szCs w:val="20"/>
          <w:color w:val="auto"/>
        </w:rPr>
      </w:pPr>
      <w:r>
        <w:rPr>
          <w:rFonts w:ascii="Arial" w:cs="Arial" w:eastAsia="Arial" w:hAnsi="Arial"/>
          <w:sz w:val="18"/>
          <w:szCs w:val="18"/>
          <w:color w:val="auto"/>
        </w:rPr>
        <w:t>Prior to the Conversion, Day One Holding LLC granted incentive shares under the Incentive Share Plan and was authorized to issue 8,924,177 incentive shares. Incentive shares were a separate non-voting class of shares that participated in distributions only after incentive shares vested, unless it was approved by the board of directors and included at least two of the preferred members, and a participation threshold was met. The incentive shares represented profits interests in Day One Holding LLC, which was an interest in the increase in the Company’s value over the participation threshold, as defined in its operating agreement and as determined at the time of grant. A holder of incentive shares had the right to participate in distributions of profits only in excess of the participation threshold. The participation threshold was based on the valuation of the Company’s common shares on or around the grant date.</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the incentive shares was estimated using an option pricing model with the following assumptions: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30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5"/>
        </w:trPr>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380" w:type="dxa"/>
            <w:vAlign w:val="bottom"/>
            <w:gridSpan w:val="3"/>
          </w:tcPr>
          <w:p>
            <w:pPr>
              <w:jc w:val="center"/>
              <w:ind w:left="2153"/>
              <w:spacing w:after="0"/>
              <w:rPr>
                <w:sz w:val="20"/>
                <w:szCs w:val="20"/>
                <w:color w:val="auto"/>
              </w:rPr>
            </w:pPr>
            <w:r>
              <w:rPr>
                <w:rFonts w:ascii="Arial" w:cs="Arial" w:eastAsia="Arial" w:hAnsi="Arial"/>
                <w:sz w:val="14"/>
                <w:szCs w:val="14"/>
                <w:b w:val="1"/>
                <w:bCs w:val="1"/>
                <w:color w:val="auto"/>
                <w:w w:val="96"/>
              </w:rPr>
              <w:t>2021</w:t>
            </w:r>
          </w:p>
        </w:tc>
        <w:tc>
          <w:tcPr>
            <w:tcW w:w="2300" w:type="dxa"/>
            <w:vAlign w:val="bottom"/>
            <w:gridSpan w:val="3"/>
          </w:tcPr>
          <w:p>
            <w:pPr>
              <w:jc w:val="right"/>
              <w:ind w:right="83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Common share fair value</w:t>
            </w:r>
          </w:p>
        </w:tc>
        <w:tc>
          <w:tcPr>
            <w:tcW w:w="2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$8.89</w:t>
            </w:r>
          </w:p>
        </w:tc>
        <w:tc>
          <w:tcPr>
            <w:tcW w:w="18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1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$2.10</w:t>
            </w: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Participating threshold</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1120" w:type="dxa"/>
            <w:vAlign w:val="bottom"/>
          </w:tcPr>
          <w:p>
            <w:pPr>
              <w:ind w:left="20"/>
              <w:spacing w:after="0"/>
              <w:rPr>
                <w:sz w:val="20"/>
                <w:szCs w:val="20"/>
                <w:color w:val="auto"/>
              </w:rPr>
            </w:pPr>
            <w:r>
              <w:rPr>
                <w:rFonts w:ascii="Arial" w:cs="Arial" w:eastAsia="Arial" w:hAnsi="Arial"/>
                <w:sz w:val="18"/>
                <w:szCs w:val="18"/>
                <w:color w:val="auto"/>
              </w:rPr>
              <w:t>- $7.51</w:t>
            </w:r>
          </w:p>
        </w:tc>
        <w:tc>
          <w:tcPr>
            <w:tcW w:w="2300" w:type="dxa"/>
            <w:vAlign w:val="bottom"/>
            <w:gridSpan w:val="3"/>
          </w:tcPr>
          <w:p>
            <w:pPr>
              <w:jc w:val="right"/>
              <w:ind w:right="770"/>
              <w:spacing w:after="0"/>
              <w:rPr>
                <w:sz w:val="20"/>
                <w:szCs w:val="20"/>
                <w:color w:val="auto"/>
              </w:rPr>
            </w:pPr>
            <w:r>
              <w:rPr>
                <w:rFonts w:ascii="Arial" w:cs="Arial" w:eastAsia="Arial" w:hAnsi="Arial"/>
                <w:sz w:val="18"/>
                <w:szCs w:val="18"/>
                <w:color w:val="auto"/>
              </w:rPr>
              <w:t>$0.27</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Risk free rate</w:t>
            </w:r>
          </w:p>
        </w:tc>
        <w:tc>
          <w:tcPr>
            <w:tcW w:w="4380" w:type="dxa"/>
            <w:vAlign w:val="bottom"/>
            <w:gridSpan w:val="3"/>
            <w:shd w:val="clear" w:color="auto" w:fill="CFF0FC"/>
          </w:tcPr>
          <w:p>
            <w:pPr>
              <w:jc w:val="center"/>
              <w:ind w:left="2153"/>
              <w:spacing w:after="0"/>
              <w:rPr>
                <w:sz w:val="20"/>
                <w:szCs w:val="20"/>
                <w:color w:val="auto"/>
              </w:rPr>
            </w:pPr>
            <w:r>
              <w:rPr>
                <w:rFonts w:ascii="Arial" w:cs="Arial" w:eastAsia="Arial" w:hAnsi="Arial"/>
                <w:sz w:val="18"/>
                <w:szCs w:val="18"/>
                <w:color w:val="auto"/>
                <w:w w:val="90"/>
              </w:rPr>
              <w:t>0.14%</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- 0.30%</w:t>
            </w: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Volatility</w:t>
            </w:r>
          </w:p>
        </w:tc>
        <w:tc>
          <w:tcPr>
            <w:tcW w:w="4380" w:type="dxa"/>
            <w:vAlign w:val="bottom"/>
            <w:gridSpan w:val="3"/>
          </w:tcPr>
          <w:p>
            <w:pPr>
              <w:jc w:val="center"/>
              <w:ind w:left="2153"/>
              <w:spacing w:after="0"/>
              <w:rPr>
                <w:sz w:val="20"/>
                <w:szCs w:val="20"/>
                <w:color w:val="auto"/>
              </w:rPr>
            </w:pPr>
            <w:r>
              <w:rPr>
                <w:rFonts w:ascii="Arial" w:cs="Arial" w:eastAsia="Arial" w:hAnsi="Arial"/>
                <w:sz w:val="18"/>
                <w:szCs w:val="18"/>
                <w:color w:val="auto"/>
                <w:w w:val="88"/>
              </w:rPr>
              <w:t>72.90%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78.00%</w:t>
            </w:r>
          </w:p>
        </w:tc>
        <w:tc>
          <w:tcPr>
            <w:tcW w:w="1120" w:type="dxa"/>
            <w:vAlign w:val="bottom"/>
          </w:tcPr>
          <w:p>
            <w:pPr>
              <w:ind w:left="20"/>
              <w:spacing w:after="0"/>
              <w:rPr>
                <w:sz w:val="20"/>
                <w:szCs w:val="20"/>
                <w:color w:val="auto"/>
              </w:rPr>
            </w:pPr>
            <w:r>
              <w:rPr>
                <w:rFonts w:ascii="Arial" w:cs="Arial" w:eastAsia="Arial" w:hAnsi="Arial"/>
                <w:sz w:val="18"/>
                <w:szCs w:val="18"/>
                <w:color w:val="auto"/>
              </w:rPr>
              <w:t>- 80.00%</w:t>
            </w: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Time to liquidity (in years)</w:t>
            </w:r>
          </w:p>
        </w:tc>
        <w:tc>
          <w:tcPr>
            <w:tcW w:w="3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- 1.80</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- 3.33</w:t>
            </w:r>
          </w:p>
        </w:tc>
        <w:tc>
          <w:tcPr>
            <w:tcW w:w="560" w:type="dxa"/>
            <w:vAlign w:val="bottom"/>
          </w:tcPr>
          <w:p>
            <w:pPr>
              <w:spacing w:after="0"/>
              <w:rPr>
                <w:sz w:val="21"/>
                <w:szCs w:val="21"/>
                <w:color w:val="auto"/>
              </w:rPr>
            </w:pPr>
          </w:p>
        </w:tc>
      </w:tr>
      <w:tr>
        <w:trPr>
          <w:trHeight w:val="230"/>
        </w:trPr>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Grant date fair value</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1120" w:type="dxa"/>
            <w:vAlign w:val="bottom"/>
          </w:tcPr>
          <w:p>
            <w:pPr>
              <w:ind w:left="20"/>
              <w:spacing w:after="0"/>
              <w:rPr>
                <w:sz w:val="20"/>
                <w:szCs w:val="20"/>
                <w:color w:val="auto"/>
              </w:rPr>
            </w:pPr>
            <w:r>
              <w:rPr>
                <w:rFonts w:ascii="Arial" w:cs="Arial" w:eastAsia="Arial" w:hAnsi="Arial"/>
                <w:sz w:val="18"/>
                <w:szCs w:val="18"/>
                <w:color w:val="auto"/>
              </w:rPr>
              <w:t>- $4.52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1120" w:type="dxa"/>
            <w:vAlign w:val="bottom"/>
          </w:tcPr>
          <w:p>
            <w:pPr>
              <w:ind w:left="20"/>
              <w:spacing w:after="0"/>
              <w:rPr>
                <w:sz w:val="20"/>
                <w:szCs w:val="20"/>
                <w:color w:val="auto"/>
              </w:rPr>
            </w:pPr>
            <w:r>
              <w:rPr>
                <w:rFonts w:ascii="Arial" w:cs="Arial" w:eastAsia="Arial" w:hAnsi="Arial"/>
                <w:sz w:val="18"/>
                <w:szCs w:val="18"/>
                <w:color w:val="auto"/>
              </w:rPr>
              <w:t>- $1.67</w:t>
            </w:r>
          </w:p>
        </w:tc>
        <w:tc>
          <w:tcPr>
            <w:tcW w:w="560" w:type="dxa"/>
            <w:vAlign w:val="bottom"/>
          </w:tcPr>
          <w:p>
            <w:pPr>
              <w:spacing w:after="0"/>
              <w:rPr>
                <w:sz w:val="20"/>
                <w:szCs w:val="20"/>
                <w:color w:val="auto"/>
              </w:rPr>
            </w:pPr>
          </w:p>
        </w:tc>
      </w:tr>
      <w:tr>
        <w:trPr>
          <w:trHeight w:val="620"/>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260" w:type="dxa"/>
            <w:vAlign w:val="bottom"/>
            <w:gridSpan w:val="2"/>
          </w:tcPr>
          <w:p>
            <w:pPr>
              <w:jc w:val="right"/>
              <w:ind w:right="1370"/>
              <w:spacing w:after="0"/>
              <w:rPr>
                <w:sz w:val="20"/>
                <w:szCs w:val="20"/>
                <w:color w:val="auto"/>
              </w:rPr>
            </w:pPr>
            <w:r>
              <w:rPr>
                <w:rFonts w:ascii="Arial" w:cs="Arial" w:eastAsia="Arial" w:hAnsi="Arial"/>
                <w:sz w:val="18"/>
                <w:szCs w:val="18"/>
                <w:color w:val="auto"/>
              </w:rPr>
              <w:t>F-23</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9" w:name="page170"/>
    <w:bookmarkEnd w:id="169"/>
    <w:p>
      <w:pPr>
        <w:ind w:right="460" w:firstLine="749"/>
        <w:spacing w:after="0" w:line="277" w:lineRule="auto"/>
        <w:rPr>
          <w:sz w:val="20"/>
          <w:szCs w:val="20"/>
          <w:color w:val="auto"/>
        </w:rPr>
      </w:pPr>
      <w:r>
        <w:rPr>
          <w:rFonts w:ascii="Arial" w:cs="Arial" w:eastAsia="Arial" w:hAnsi="Arial"/>
          <w:sz w:val="18"/>
          <w:szCs w:val="18"/>
          <w:color w:val="auto"/>
        </w:rPr>
        <w:t>During the Conversion, the Company converted all incentive shares to vested and unvested shares of common stock. As such, there was no incentive shares activity for the year ended December 31, 2022.</w:t>
      </w:r>
    </w:p>
    <w:p>
      <w:pPr>
        <w:spacing w:after="0" w:line="62"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The Company used the option pricing model to estimate the fair value of each incentive shares award on the date of grant. The members’ equity value was based on a recent enterprise valuation analysis performed and common share fair value. The participation threshold amounts were determined by the board of directors at the time of grant. The expected life of the awards granted during the period was determined based on an expected time to the liquidation event. The Company applied the risk-free interest rate based on the U.S. Treasury yield in effect at the time of the grant.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Share</w:t>
      </w:r>
    </w:p>
    <w:p>
      <w:pPr>
        <w:spacing w:after="0" w:line="117" w:lineRule="exact"/>
        <w:rPr>
          <w:sz w:val="20"/>
          <w:szCs w:val="20"/>
          <w:color w:val="auto"/>
        </w:rPr>
      </w:pPr>
    </w:p>
    <w:p>
      <w:pPr>
        <w:ind w:right="40" w:firstLine="469"/>
        <w:spacing w:after="0" w:line="269" w:lineRule="auto"/>
        <w:rPr>
          <w:sz w:val="20"/>
          <w:szCs w:val="20"/>
          <w:color w:val="auto"/>
        </w:rPr>
      </w:pPr>
      <w:r>
        <w:rPr>
          <w:rFonts w:ascii="Arial" w:cs="Arial" w:eastAsia="Arial" w:hAnsi="Arial"/>
          <w:sz w:val="17"/>
          <w:szCs w:val="17"/>
          <w:color w:val="auto"/>
        </w:rPr>
        <w:t xml:space="preserve">Prior to the IPO, management’s approach to estimate the fair value of the common share was consistent with the methods outlined in the American Institute of Certified Public Accountants’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or the Practice Aid, considering a number of objective and subjective factors including: valuations of common shares performed with the assistance of independent third-party valuation specialists; the Company’s stage of development and business strategy, including the status of research and development efforts, and the material risks related to the business and industry; the Company’s results of operations and financial position, including levels of available capital resources; the valuation of publicly traded companies in the life sciences and biotechnology sectors, as well as recently completed mergers and acquisitions of peer companies; the lack of marketability of the common shares; the prices of redeemable convertible preferred shares sold to investors in arm’s length transactions and the rights, preferences, and privileges of the Company’s redeemable convertible preferred shares relative to those of common shares; the likelihood of achieving a liquidity event for the holders of the common and redeemable convertible preferred shares, such as an initial public offering or a sale, given prevailing market conditions. The fair value of the common shares was approved by the board of directors until such time as the Company shares were listed on an established stock exchange or national market system.</w:t>
      </w:r>
    </w:p>
    <w:p>
      <w:pPr>
        <w:spacing w:after="0" w:line="7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incentive shares were classified as equity awards and share-based compensation expense was based on the grant date fair value of the award.</w:t>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a summary of the incentive shares activity: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2020</w:t>
            </w:r>
          </w:p>
        </w:tc>
        <w:tc>
          <w:tcPr>
            <w:tcW w:w="216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4,112,017</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FF0FC"/>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Granted</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2,959,795</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960" w:type="dxa"/>
            <w:vAlign w:val="bottom"/>
          </w:tcPr>
          <w:p>
            <w:pPr>
              <w:spacing w:after="0"/>
              <w:rPr>
                <w:sz w:val="21"/>
                <w:szCs w:val="21"/>
                <w:color w:val="auto"/>
              </w:rPr>
            </w:pPr>
          </w:p>
        </w:tc>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w:t>
            </w:r>
          </w:p>
        </w:tc>
        <w:tc>
          <w:tcPr>
            <w:tcW w:w="40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(265,596 )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FF0FC"/>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Converted to unvested common stock</w:t>
            </w:r>
          </w:p>
        </w:tc>
        <w:tc>
          <w:tcPr>
            <w:tcW w:w="4020" w:type="dxa"/>
            <w:vAlign w:val="bottom"/>
            <w:gridSpan w:val="3"/>
          </w:tcPr>
          <w:p>
            <w:pPr>
              <w:jc w:val="right"/>
              <w:ind w:right="180"/>
              <w:spacing w:after="0"/>
              <w:rPr>
                <w:sz w:val="20"/>
                <w:szCs w:val="20"/>
                <w:color w:val="auto"/>
              </w:rPr>
            </w:pPr>
            <w:r>
              <w:rPr>
                <w:rFonts w:ascii="Arial" w:cs="Arial" w:eastAsia="Arial" w:hAnsi="Arial"/>
                <w:sz w:val="18"/>
                <w:szCs w:val="18"/>
                <w:color w:val="auto"/>
              </w:rPr>
              <w:t>(6,806,216 )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60" w:type="dxa"/>
            <w:vAlign w:val="bottom"/>
          </w:tcPr>
          <w:p>
            <w:pPr>
              <w:spacing w:after="0"/>
              <w:rPr>
                <w:sz w:val="24"/>
                <w:szCs w:val="24"/>
                <w:color w:val="auto"/>
              </w:rPr>
            </w:pPr>
          </w:p>
        </w:tc>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2021</w:t>
            </w:r>
          </w:p>
        </w:tc>
        <w:tc>
          <w:tcPr>
            <w:tcW w:w="216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9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20" w:type="dxa"/>
            <w:vAlign w:val="bottom"/>
            <w:gridSpan w:val="3"/>
          </w:tcPr>
          <w:p>
            <w:pPr>
              <w:jc w:val="right"/>
              <w:ind w:right="2800"/>
              <w:spacing w:after="0"/>
              <w:rPr>
                <w:sz w:val="20"/>
                <w:szCs w:val="20"/>
                <w:color w:val="auto"/>
              </w:rPr>
            </w:pPr>
            <w:r>
              <w:rPr>
                <w:rFonts w:ascii="Arial" w:cs="Arial" w:eastAsia="Arial" w:hAnsi="Arial"/>
                <w:sz w:val="18"/>
                <w:szCs w:val="18"/>
                <w:color w:val="auto"/>
              </w:rPr>
              <w:t>F-24</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6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-488315</wp:posOffset>
            </wp:positionV>
            <wp:extent cx="603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-471170</wp:posOffset>
            </wp:positionV>
            <wp:extent cx="603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i w:val="1"/>
          <w:iCs w:val="1"/>
          <w:color w:val="auto"/>
        </w:rPr>
        <w:t>2022 Equity Inducement Plan</w:t>
      </w:r>
    </w:p>
    <w:p>
      <w:pPr>
        <w:spacing w:after="0" w:line="117" w:lineRule="exact"/>
        <w:rPr>
          <w:sz w:val="20"/>
          <w:szCs w:val="20"/>
          <w:color w:val="auto"/>
        </w:rPr>
      </w:pPr>
    </w:p>
    <w:p>
      <w:pPr>
        <w:ind w:right="180" w:firstLine="469"/>
        <w:spacing w:after="0" w:line="263" w:lineRule="auto"/>
        <w:rPr>
          <w:sz w:val="20"/>
          <w:szCs w:val="20"/>
          <w:color w:val="auto"/>
        </w:rPr>
      </w:pPr>
      <w:r>
        <w:rPr>
          <w:rFonts w:ascii="Arial" w:cs="Arial" w:eastAsia="Arial" w:hAnsi="Arial"/>
          <w:sz w:val="18"/>
          <w:szCs w:val="18"/>
          <w:color w:val="auto"/>
        </w:rPr>
        <w:t>In October 2022, the board of directors and stockholders approved the 2022 Equity Inducement Plan, or the 2022 Plan. The 2022 Plan provides for the grant of non-statutory stock options and restricted stock units. The number of shares of common stock reserved for issuance under the 2022 Plan is 1,000,000 shares.</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a summary of stock option activity under the 2022 Plan during the year ended December 31,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Per Share</w:t>
            </w:r>
          </w:p>
        </w:tc>
        <w:tc>
          <w:tcPr>
            <w:tcW w:w="14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309,000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21.14</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Forfeiture</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309,000</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21.14</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Vested and expected to vest at December 31, 2022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21.14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Exercisable at December 31, 2022</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-325120</wp:posOffset>
            </wp:positionV>
            <wp:extent cx="76835"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76835" cy="171450"/>
                    </a:xfrm>
                    <a:prstGeom prst="rect">
                      <a:avLst/>
                    </a:prstGeom>
                    <a:noFill/>
                  </pic:spPr>
                </pic:pic>
              </a:graphicData>
            </a:graphic>
          </wp:anchor>
        </w:drawing>
      </w:r>
    </w:p>
    <w:p>
      <w:pPr>
        <w:spacing w:after="0" w:line="74" w:lineRule="exact"/>
        <w:rPr>
          <w:sz w:val="20"/>
          <w:szCs w:val="20"/>
          <w:color w:val="auto"/>
        </w:rPr>
      </w:pPr>
    </w:p>
    <w:p>
      <w:pPr>
        <w:ind w:right="580" w:firstLine="464"/>
        <w:spacing w:after="0" w:line="277" w:lineRule="auto"/>
        <w:rPr>
          <w:sz w:val="20"/>
          <w:szCs w:val="20"/>
          <w:color w:val="auto"/>
        </w:rPr>
      </w:pPr>
      <w:r>
        <w:rPr>
          <w:rFonts w:ascii="Arial" w:cs="Arial" w:eastAsia="Arial" w:hAnsi="Arial"/>
          <w:sz w:val="18"/>
          <w:szCs w:val="18"/>
          <w:color w:val="auto"/>
        </w:rPr>
        <w:t>Aggregate intrinsic value represents the difference between the estimated fair value of the underlying common stock and the exercise price of outstanding, in-the-money options.</w:t>
      </w:r>
    </w:p>
    <w:p>
      <w:pPr>
        <w:spacing w:after="0" w:line="62"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There was no fair value of options that vested during the years ended December 31, 2022, 2021 and 2020. The weighted-average grant date fair value of options granted during the year ended December 31, 2022 was $15.08 per share. There was no weighted-average grant date fair value of options granted during the years ended December 31, 2021 and 2020.</w:t>
      </w:r>
    </w:p>
    <w:p>
      <w:pPr>
        <w:spacing w:after="0" w:line="76" w:lineRule="exact"/>
        <w:rPr>
          <w:sz w:val="20"/>
          <w:szCs w:val="20"/>
          <w:color w:val="auto"/>
        </w:rPr>
      </w:pPr>
    </w:p>
    <w:p>
      <w:pPr>
        <w:ind w:right="440" w:firstLine="464"/>
        <w:spacing w:after="0" w:line="277" w:lineRule="auto"/>
        <w:rPr>
          <w:sz w:val="20"/>
          <w:szCs w:val="20"/>
          <w:color w:val="auto"/>
        </w:rPr>
      </w:pPr>
      <w:r>
        <w:rPr>
          <w:rFonts w:ascii="Arial" w:cs="Arial" w:eastAsia="Arial" w:hAnsi="Arial"/>
          <w:sz w:val="18"/>
          <w:szCs w:val="18"/>
          <w:color w:val="auto"/>
        </w:rPr>
        <w:t>Unamortized share-based compensation for stock options as of December 31, 2022 was $4.5 million, which is expected to be recognized over a weighted-average period of 3.8 years.</w:t>
      </w:r>
    </w:p>
    <w:p>
      <w:pPr>
        <w:spacing w:after="0" w:line="62" w:lineRule="exact"/>
        <w:rPr>
          <w:sz w:val="20"/>
          <w:szCs w:val="20"/>
          <w:color w:val="auto"/>
        </w:rPr>
      </w:pPr>
    </w:p>
    <w:p>
      <w:pPr>
        <w:ind w:right="940" w:firstLine="464"/>
        <w:spacing w:after="0" w:line="277" w:lineRule="auto"/>
        <w:rPr>
          <w:sz w:val="20"/>
          <w:szCs w:val="20"/>
          <w:color w:val="auto"/>
        </w:rPr>
      </w:pPr>
      <w:r>
        <w:rPr>
          <w:rFonts w:ascii="Arial" w:cs="Arial" w:eastAsia="Arial" w:hAnsi="Arial"/>
          <w:sz w:val="18"/>
          <w:szCs w:val="18"/>
          <w:color w:val="auto"/>
        </w:rPr>
        <w:t>The Company used the Black-Scholes option pricing model to estimate the fair value of stock options awards granted with the following assumptions: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86"/>
        </w:trPr>
        <w:tc>
          <w:tcPr>
            <w:tcW w:w="8640" w:type="dxa"/>
            <w:vAlign w:val="bottom"/>
          </w:tcPr>
          <w:p>
            <w:pPr>
              <w:spacing w:after="0"/>
              <w:rPr>
                <w:sz w:val="16"/>
                <w:szCs w:val="16"/>
                <w:color w:val="auto"/>
              </w:rPr>
            </w:pP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28"/>
        </w:trPr>
        <w:tc>
          <w:tcPr>
            <w:tcW w:w="8640" w:type="dxa"/>
            <w:vAlign w:val="bottom"/>
          </w:tcPr>
          <w:p>
            <w:pPr>
              <w:spacing w:after="0"/>
              <w:rPr>
                <w:sz w:val="19"/>
                <w:szCs w:val="19"/>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6.08</w:t>
            </w:r>
          </w:p>
        </w:tc>
      </w:tr>
      <w:tr>
        <w:trPr>
          <w:trHeight w:val="249"/>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79.53%</w:t>
            </w:r>
          </w:p>
        </w:tc>
      </w:tr>
      <w:tr>
        <w:trPr>
          <w:trHeight w:val="237"/>
        </w:trPr>
        <w:tc>
          <w:tcPr>
            <w:tcW w:w="86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4.18%</w:t>
            </w:r>
          </w:p>
        </w:tc>
      </w:tr>
      <w:tr>
        <w:trPr>
          <w:trHeight w:val="249"/>
        </w:trPr>
        <w:tc>
          <w:tcPr>
            <w:tcW w:w="8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2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bl>
    <w:p>
      <w:pPr>
        <w:spacing w:after="0" w:line="9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a summary of restricted stock units activity under the 2022 Plan during the year ended December 31,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420" w:type="dxa"/>
            <w:vAlign w:val="bottom"/>
            <w:vMerge w:val="restart"/>
          </w:tcPr>
          <w:p>
            <w:pPr>
              <w:jc w:val="center"/>
              <w:ind w:left="528"/>
              <w:spacing w:after="0"/>
              <w:rPr>
                <w:sz w:val="20"/>
                <w:szCs w:val="20"/>
                <w:color w:val="auto"/>
              </w:rPr>
            </w:pPr>
            <w:r>
              <w:rPr>
                <w:rFonts w:ascii="Arial" w:cs="Arial" w:eastAsia="Arial" w:hAnsi="Arial"/>
                <w:sz w:val="14"/>
                <w:szCs w:val="14"/>
                <w:b w:val="1"/>
                <w:bCs w:val="1"/>
                <w:color w:val="auto"/>
                <w:w w:val="94"/>
              </w:rPr>
              <w:t>Number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8"/>
              </w:rPr>
              <w:t>Grant Date 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880" w:type="dxa"/>
            <w:vAlign w:val="bottom"/>
          </w:tcPr>
          <w:p>
            <w:pPr>
              <w:spacing w:after="0"/>
              <w:rPr>
                <w:sz w:val="16"/>
                <w:szCs w:val="16"/>
                <w:color w:val="auto"/>
              </w:rPr>
            </w:pPr>
          </w:p>
        </w:tc>
        <w:tc>
          <w:tcPr>
            <w:tcW w:w="142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89"/>
              </w:rPr>
              <w:t>Shares</w:t>
            </w:r>
          </w:p>
        </w:tc>
        <w:tc>
          <w:tcPr>
            <w:tcW w:w="6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units at December 31, 2021</w:t>
            </w:r>
          </w:p>
        </w:tc>
        <w:tc>
          <w:tcPr>
            <w:tcW w:w="14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47,400</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Forfeiture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restricted stock units at December 31, 2022</w:t>
            </w:r>
          </w:p>
        </w:tc>
        <w:tc>
          <w:tcPr>
            <w:tcW w:w="1420" w:type="dxa"/>
            <w:vAlign w:val="bottom"/>
            <w:tcBorders>
              <w:top w:val="single" w:sz="8" w:color="auto"/>
              <w:bottom w:val="single" w:sz="8" w:color="auto"/>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47,400</w:t>
            </w:r>
          </w:p>
        </w:tc>
        <w:tc>
          <w:tcPr>
            <w:tcW w:w="4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8300" w:type="dxa"/>
            <w:vAlign w:val="bottom"/>
            <w:gridSpan w:val="2"/>
          </w:tcPr>
          <w:p>
            <w:pPr>
              <w:ind w:left="5460"/>
              <w:spacing w:after="0"/>
              <w:rPr>
                <w:sz w:val="20"/>
                <w:szCs w:val="20"/>
                <w:color w:val="auto"/>
              </w:rPr>
            </w:pPr>
            <w:r>
              <w:rPr>
                <w:rFonts w:ascii="Arial" w:cs="Arial" w:eastAsia="Arial" w:hAnsi="Arial"/>
                <w:sz w:val="18"/>
                <w:szCs w:val="18"/>
                <w:color w:val="auto"/>
              </w:rPr>
              <w:t>F-25</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8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-488315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-471170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1" w:name="page172"/>
    <w:bookmarkEnd w:id="171"/>
    <w:p>
      <w:pPr>
        <w:ind w:right="20" w:firstLine="464"/>
        <w:spacing w:after="0" w:line="277" w:lineRule="auto"/>
        <w:rPr>
          <w:sz w:val="20"/>
          <w:szCs w:val="20"/>
          <w:color w:val="auto"/>
        </w:rPr>
      </w:pPr>
      <w:r>
        <w:rPr>
          <w:rFonts w:ascii="Arial" w:cs="Arial" w:eastAsia="Arial" w:hAnsi="Arial"/>
          <w:sz w:val="18"/>
          <w:szCs w:val="18"/>
          <w:color w:val="auto"/>
        </w:rPr>
        <w:t>Unamortized share-based compensation for restricted stock units as of December 31, 2022 was $1.0 million, which is expected to be recognized over a weighted-average period of 3.9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ind w:right="20" w:firstLine="464"/>
        <w:spacing w:after="0" w:line="277" w:lineRule="auto"/>
        <w:rPr>
          <w:sz w:val="20"/>
          <w:szCs w:val="20"/>
          <w:color w:val="auto"/>
        </w:rPr>
      </w:pPr>
      <w:r>
        <w:rPr>
          <w:rFonts w:ascii="Arial" w:cs="Arial" w:eastAsia="Arial" w:hAnsi="Arial"/>
          <w:sz w:val="18"/>
          <w:szCs w:val="18"/>
          <w:color w:val="auto"/>
        </w:rPr>
        <w:t>Immediately prior to consummation of the IPO, all the outstanding incentive shares were converted into common stock. The following table provides a summary of the unvested common stock awards activity during the year ended December 31, 2022.</w:t>
      </w:r>
    </w:p>
    <w:p>
      <w:pPr>
        <w:spacing w:after="0" w:line="55"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12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21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72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common stock as of December 31, 2021</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3,753,862</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Vested</w:t>
            </w:r>
          </w:p>
        </w:tc>
        <w:tc>
          <w:tcPr>
            <w:tcW w:w="2120" w:type="dxa"/>
            <w:vAlign w:val="bottom"/>
            <w:gridSpan w:val="2"/>
          </w:tcPr>
          <w:p>
            <w:pPr>
              <w:jc w:val="right"/>
              <w:ind w:right="140"/>
              <w:spacing w:after="0"/>
              <w:rPr>
                <w:sz w:val="20"/>
                <w:szCs w:val="20"/>
                <w:color w:val="auto"/>
              </w:rPr>
            </w:pPr>
            <w:r>
              <w:rPr>
                <w:rFonts w:ascii="Arial" w:cs="Arial" w:eastAsia="Arial" w:hAnsi="Arial"/>
                <w:sz w:val="18"/>
                <w:szCs w:val="18"/>
                <w:color w:val="auto"/>
              </w:rPr>
              <w:t>(1,624,674 )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Forfeiture</w:t>
            </w:r>
          </w:p>
        </w:tc>
        <w:tc>
          <w:tcPr>
            <w:tcW w:w="2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(406,444 )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Unvested common stock as of December 31, 2022</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1,722,744</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16.00</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-187960</wp:posOffset>
            </wp:positionV>
            <wp:extent cx="60325" cy="1885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May 2021, in connection with the IPO, the board of directors and stockholders approved, the 2021 Equity Incentive Plan, or the 2021 Plan, which became effective on the day before the date of the effectiveness of the IPO. The 2021 Plan provides for the grant of incentive stock options, non-statutory stock options, stock appreciation rights, awards of restricted stock, restricted stock units and other share-based awards. The number of shares of common stock reserved for issuance under the 2021 Plan is equal to the sum of: (x) 6,369,000 shares of common stock; plus (y)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the first day of each fiscal year, beginning with the fiscal year commencing on January 1, 2021 and continuing for each fiscal year until, and including, the fiscal year commencing on January 1,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summary of stock option activity under the 2021 Plan during the year ended December 31,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58"/>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6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134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Per Share</w:t>
            </w:r>
          </w:p>
        </w:tc>
        <w:tc>
          <w:tcPr>
            <w:tcW w:w="1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5,071,896</w:t>
            </w:r>
          </w:p>
        </w:tc>
        <w:tc>
          <w:tcPr>
            <w:tcW w:w="1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14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3,284,580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15.45</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(235,474 )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Forfeiture</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(486,835 )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15.17</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7,634,167</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16.42</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40,759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Vested and expected to vest at December 31, 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7,634,167</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16.42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40,759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Exercisable at December 31, 2022</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2,287,512</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-325120</wp:posOffset>
            </wp:positionV>
            <wp:extent cx="77470" cy="1714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77470" cy="171450"/>
                    </a:xfrm>
                    <a:prstGeom prst="rect">
                      <a:avLst/>
                    </a:prstGeom>
                    <a:noFill/>
                  </pic:spPr>
                </pic:pic>
              </a:graphicData>
            </a:graphic>
          </wp:anchor>
        </w:drawing>
      </w:r>
    </w:p>
    <w:p>
      <w:pPr>
        <w:spacing w:after="0" w:line="74" w:lineRule="exact"/>
        <w:rPr>
          <w:sz w:val="20"/>
          <w:szCs w:val="20"/>
          <w:color w:val="auto"/>
        </w:rPr>
      </w:pPr>
    </w:p>
    <w:p>
      <w:pPr>
        <w:ind w:right="580" w:firstLine="464"/>
        <w:spacing w:after="0" w:line="277" w:lineRule="auto"/>
        <w:rPr>
          <w:sz w:val="20"/>
          <w:szCs w:val="20"/>
          <w:color w:val="auto"/>
        </w:rPr>
      </w:pPr>
      <w:r>
        <w:rPr>
          <w:rFonts w:ascii="Arial" w:cs="Arial" w:eastAsia="Arial" w:hAnsi="Arial"/>
          <w:sz w:val="18"/>
          <w:szCs w:val="18"/>
          <w:color w:val="auto"/>
        </w:rPr>
        <w:t>Aggregate intrinsic value represents the difference between the estimated fair value of the underlying common stock and the exercise price of outstanding, in-the-money options.</w:t>
      </w:r>
    </w:p>
    <w:p>
      <w:pPr>
        <w:spacing w:after="0" w:line="62" w:lineRule="exact"/>
        <w:rPr>
          <w:sz w:val="20"/>
          <w:szCs w:val="20"/>
          <w:color w:val="auto"/>
        </w:rPr>
      </w:pPr>
    </w:p>
    <w:p>
      <w:pPr>
        <w:ind w:right="40" w:firstLine="464"/>
        <w:spacing w:after="0" w:line="259" w:lineRule="auto"/>
        <w:rPr>
          <w:sz w:val="20"/>
          <w:szCs w:val="20"/>
          <w:color w:val="auto"/>
        </w:rPr>
      </w:pPr>
      <w:r>
        <w:rPr>
          <w:rFonts w:ascii="Arial" w:cs="Arial" w:eastAsia="Arial" w:hAnsi="Arial"/>
          <w:sz w:val="18"/>
          <w:szCs w:val="18"/>
          <w:color w:val="auto"/>
        </w:rPr>
        <w:t>The total fair value of options that vested during the years ended December 31, 2022 and 2021 was $23.1 million and $1.1 million, respectively. There was no fair value of options that vested during the year ended December 31, 2020. The weighted-average grant date fair value of options granted during the years ended December 31, 2022 and 2021 were $9.61 per share and $9.91 per share, respectively. There was no weighted-average grant date fair value of options granted during the year ended December 31, 2020.</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2" w:name="page173"/>
    <w:bookmarkEnd w:id="172"/>
    <w:p>
      <w:pPr>
        <w:ind w:right="340" w:firstLine="464"/>
        <w:spacing w:after="0" w:line="277" w:lineRule="auto"/>
        <w:rPr>
          <w:sz w:val="20"/>
          <w:szCs w:val="20"/>
          <w:color w:val="auto"/>
        </w:rPr>
      </w:pPr>
      <w:r>
        <w:rPr>
          <w:rFonts w:ascii="Arial" w:cs="Arial" w:eastAsia="Arial" w:hAnsi="Arial"/>
          <w:sz w:val="18"/>
          <w:szCs w:val="18"/>
          <w:color w:val="auto"/>
        </w:rPr>
        <w:t>Unamortized share-based compensation for stock options as of December 31, 2022 was $49.8 million, which is expected to be recognized over a weighted-average period of 2.7 years.</w:t>
      </w:r>
    </w:p>
    <w:p>
      <w:pPr>
        <w:spacing w:after="0" w:line="278" w:lineRule="exact"/>
        <w:rPr>
          <w:sz w:val="20"/>
          <w:szCs w:val="20"/>
          <w:color w:val="auto"/>
        </w:rPr>
      </w:pPr>
    </w:p>
    <w:p>
      <w:pPr>
        <w:ind w:right="940" w:firstLine="464"/>
        <w:spacing w:after="0" w:line="277" w:lineRule="auto"/>
        <w:rPr>
          <w:sz w:val="20"/>
          <w:szCs w:val="20"/>
          <w:color w:val="auto"/>
        </w:rPr>
      </w:pPr>
      <w:r>
        <w:rPr>
          <w:rFonts w:ascii="Arial" w:cs="Arial" w:eastAsia="Arial" w:hAnsi="Arial"/>
          <w:sz w:val="18"/>
          <w:szCs w:val="18"/>
          <w:color w:val="auto"/>
        </w:rPr>
        <w:t>The Company used the Black-Scholes option pricing model to estimate the fair value of stock options awards granted with the following assumptions:</w:t>
      </w:r>
    </w:p>
    <w:p>
      <w:pPr>
        <w:spacing w:after="0" w:line="67"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December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2080" w:type="dxa"/>
            <w:vAlign w:val="bottom"/>
            <w:gridSpan w:val="2"/>
          </w:tcPr>
          <w:p>
            <w:pPr>
              <w:jc w:val="right"/>
              <w:ind w:right="810"/>
              <w:spacing w:after="0"/>
              <w:rPr>
                <w:sz w:val="20"/>
                <w:szCs w:val="20"/>
                <w:color w:val="auto"/>
              </w:rPr>
            </w:pPr>
            <w:r>
              <w:rPr>
                <w:rFonts w:ascii="Arial" w:cs="Arial" w:eastAsia="Arial" w:hAnsi="Arial"/>
                <w:sz w:val="14"/>
                <w:szCs w:val="14"/>
                <w:b w:val="1"/>
                <w:bCs w:val="1"/>
                <w:color w:val="auto"/>
              </w:rPr>
              <w:t>2022</w:t>
            </w:r>
          </w:p>
        </w:tc>
        <w:tc>
          <w:tcPr>
            <w:tcW w:w="2280" w:type="dxa"/>
            <w:vAlign w:val="bottom"/>
            <w:gridSpan w:val="3"/>
          </w:tcPr>
          <w:p>
            <w:pPr>
              <w:jc w:val="right"/>
              <w:ind w:right="790"/>
              <w:spacing w:after="0"/>
              <w:rPr>
                <w:sz w:val="20"/>
                <w:szCs w:val="20"/>
                <w:color w:val="auto"/>
              </w:rPr>
            </w:pPr>
            <w:r>
              <w:rPr>
                <w:rFonts w:ascii="Arial" w:cs="Arial" w:eastAsia="Arial" w:hAnsi="Arial"/>
                <w:sz w:val="14"/>
                <w:szCs w:val="14"/>
                <w:b w:val="1"/>
                <w:bCs w:val="1"/>
                <w:color w:val="auto"/>
              </w:rPr>
              <w:t>2021</w:t>
            </w:r>
          </w:p>
        </w:tc>
      </w:tr>
      <w:tr>
        <w:trPr>
          <w:trHeight w:val="237"/>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- 6.33</w:t>
            </w:r>
          </w:p>
        </w:tc>
        <w:tc>
          <w:tcPr>
            <w:tcW w:w="2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- 6.08</w:t>
            </w:r>
          </w:p>
        </w:tc>
      </w:tr>
      <w:tr>
        <w:trPr>
          <w:trHeight w:val="237"/>
        </w:trPr>
        <w:tc>
          <w:tcPr>
            <w:tcW w:w="68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jc w:val="right"/>
              <w:spacing w:after="0"/>
              <w:rPr>
                <w:sz w:val="20"/>
                <w:szCs w:val="20"/>
                <w:color w:val="auto"/>
              </w:rPr>
            </w:pPr>
            <w:r>
              <w:rPr>
                <w:rFonts w:ascii="Arial" w:cs="Arial" w:eastAsia="Arial" w:hAnsi="Arial"/>
                <w:sz w:val="18"/>
                <w:szCs w:val="18"/>
                <w:color w:val="auto"/>
              </w:rPr>
              <w:t>65.20%</w:t>
            </w:r>
          </w:p>
        </w:tc>
        <w:tc>
          <w:tcPr>
            <w:tcW w:w="1100" w:type="dxa"/>
            <w:vAlign w:val="bottom"/>
          </w:tcPr>
          <w:p>
            <w:pPr>
              <w:ind w:left="20"/>
              <w:spacing w:after="0"/>
              <w:rPr>
                <w:sz w:val="20"/>
                <w:szCs w:val="20"/>
                <w:color w:val="auto"/>
              </w:rPr>
            </w:pPr>
            <w:r>
              <w:rPr>
                <w:rFonts w:ascii="Arial" w:cs="Arial" w:eastAsia="Arial" w:hAnsi="Arial"/>
                <w:sz w:val="18"/>
                <w:szCs w:val="18"/>
                <w:color w:val="auto"/>
              </w:rPr>
              <w:t>- 81.68%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61.25%</w:t>
            </w:r>
          </w:p>
        </w:tc>
        <w:tc>
          <w:tcPr>
            <w:tcW w:w="1080" w:type="dxa"/>
            <w:vAlign w:val="bottom"/>
          </w:tcPr>
          <w:p>
            <w:pPr>
              <w:ind w:left="20"/>
              <w:spacing w:after="0"/>
              <w:rPr>
                <w:sz w:val="20"/>
                <w:szCs w:val="20"/>
                <w:color w:val="auto"/>
              </w:rPr>
            </w:pPr>
            <w:r>
              <w:rPr>
                <w:rFonts w:ascii="Arial" w:cs="Arial" w:eastAsia="Arial" w:hAnsi="Arial"/>
                <w:sz w:val="18"/>
                <w:szCs w:val="18"/>
                <w:color w:val="auto"/>
              </w:rPr>
              <w:t>- 66.53%</w:t>
            </w:r>
          </w:p>
        </w:tc>
      </w:tr>
      <w:tr>
        <w:trPr>
          <w:trHeight w:val="249"/>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- 4.37%</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- 1.39%</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0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0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bl>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a summary of restricted stock units activity under the 2021 Plan during the year ended December 31,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50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60" w:type="dxa"/>
            <w:vAlign w:val="bottom"/>
          </w:tcPr>
          <w:p>
            <w:pPr>
              <w:spacing w:after="0"/>
              <w:rPr>
                <w:sz w:val="16"/>
                <w:szCs w:val="16"/>
                <w:color w:val="auto"/>
              </w:rPr>
            </w:pPr>
          </w:p>
        </w:tc>
        <w:tc>
          <w:tcPr>
            <w:tcW w:w="18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50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units at December 31, 2021</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96,890</w:t>
            </w: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503,095</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(79,441 )</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Forfeiture</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(35,193 )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restricted stock units at December 31, 2022</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485,351</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Unamortized share-based compensation for restricted stock units as of December 31, 2022 was $7.5 million, which is expected to be recognized over a weighted-average period of 3.3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17" w:lineRule="exact"/>
        <w:rPr>
          <w:sz w:val="20"/>
          <w:szCs w:val="20"/>
          <w:color w:val="auto"/>
        </w:rPr>
      </w:pPr>
    </w:p>
    <w:p>
      <w:pPr>
        <w:ind w:right="120" w:firstLine="464"/>
        <w:spacing w:after="0" w:line="271" w:lineRule="auto"/>
        <w:rPr>
          <w:sz w:val="20"/>
          <w:szCs w:val="20"/>
          <w:color w:val="auto"/>
        </w:rPr>
      </w:pPr>
      <w:r>
        <w:rPr>
          <w:rFonts w:ascii="Arial" w:cs="Arial" w:eastAsia="Arial" w:hAnsi="Arial"/>
          <w:sz w:val="17"/>
          <w:szCs w:val="17"/>
          <w:color w:val="auto"/>
        </w:rPr>
        <w:t>In June 2022, the Company granted performance awards, consisting of performance stock options, or PSOs, and performance stock units, or PSUs, to non-executive employees pursuant to the 2021 Equity Incentive Plan. Each performance award is earned through the achievement of a performance-based metric over a defined performance period determined by the compensation committee of the Company's board of directors. The estimated fair value of the equity awards that contain performance conditions is expensed over the term of the award once the Company has determined that it is probable that the performance conditions will be satisfied. During the year ended December 31, 2022, the Company granted 152,550 PSOs with a weighted-average grant date fair value of $7.78 per share and 99,250 PSUs with a weighted-average grant date fair value of $15.25 per share. The total fair values of PSOs and PSUs granted were $1.2 million and $1.5 million, respectively. As of December 31, 2022, no PSOs or PSUs had vested since the achievement of the performance-based metrics of the performance awards was not deemed probable.</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used the Black-Scholes option pricing model to estimate the fair value of the PSO awards granted with the following assumptions: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86"/>
        </w:trPr>
        <w:tc>
          <w:tcPr>
            <w:tcW w:w="36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28"/>
        </w:trPr>
        <w:tc>
          <w:tcPr>
            <w:tcW w:w="3620" w:type="dxa"/>
            <w:vAlign w:val="bottom"/>
          </w:tcPr>
          <w:p>
            <w:pPr>
              <w:spacing w:after="0"/>
              <w:rPr>
                <w:sz w:val="19"/>
                <w:szCs w:val="19"/>
                <w:color w:val="auto"/>
              </w:rPr>
            </w:pPr>
          </w:p>
        </w:tc>
        <w:tc>
          <w:tcPr>
            <w:tcW w:w="7620" w:type="dxa"/>
            <w:vAlign w:val="bottom"/>
            <w:gridSpan w:val="3"/>
          </w:tcPr>
          <w:p>
            <w:pPr>
              <w:jc w:val="center"/>
              <w:ind w:left="4935"/>
              <w:spacing w:after="0"/>
              <w:rPr>
                <w:sz w:val="20"/>
                <w:szCs w:val="20"/>
                <w:color w:val="auto"/>
              </w:rPr>
            </w:pPr>
            <w:r>
              <w:rPr>
                <w:rFonts w:ascii="Arial" w:cs="Arial" w:eastAsia="Arial" w:hAnsi="Arial"/>
                <w:sz w:val="14"/>
                <w:szCs w:val="14"/>
                <w:b w:val="1"/>
                <w:bCs w:val="1"/>
                <w:color w:val="auto"/>
                <w:w w:val="89"/>
              </w:rPr>
              <w:t>2022</w:t>
            </w:r>
          </w:p>
        </w:tc>
      </w:tr>
      <w:tr>
        <w:trPr>
          <w:trHeight w:val="236"/>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50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- 3.42</w:t>
            </w: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72.72%</w:t>
            </w:r>
          </w:p>
        </w:tc>
        <w:tc>
          <w:tcPr>
            <w:tcW w:w="1360" w:type="dxa"/>
            <w:vAlign w:val="bottom"/>
          </w:tcPr>
          <w:p>
            <w:pPr>
              <w:ind w:left="20"/>
              <w:spacing w:after="0"/>
              <w:rPr>
                <w:sz w:val="20"/>
                <w:szCs w:val="20"/>
                <w:color w:val="auto"/>
              </w:rPr>
            </w:pPr>
            <w:r>
              <w:rPr>
                <w:rFonts w:ascii="Arial" w:cs="Arial" w:eastAsia="Arial" w:hAnsi="Arial"/>
                <w:sz w:val="18"/>
                <w:szCs w:val="18"/>
                <w:color w:val="auto"/>
              </w:rPr>
              <w:t>- 72.98%</w:t>
            </w:r>
          </w:p>
        </w:tc>
      </w:tr>
      <w:tr>
        <w:trPr>
          <w:trHeight w:val="249"/>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7620" w:type="dxa"/>
            <w:vAlign w:val="bottom"/>
            <w:gridSpan w:val="3"/>
            <w:shd w:val="clear" w:color="auto" w:fill="CFF0FC"/>
          </w:tcPr>
          <w:p>
            <w:pPr>
              <w:jc w:val="center"/>
              <w:ind w:left="4915"/>
              <w:spacing w:after="0"/>
              <w:rPr>
                <w:sz w:val="20"/>
                <w:szCs w:val="20"/>
                <w:color w:val="auto"/>
              </w:rPr>
            </w:pPr>
            <w:r>
              <w:rPr>
                <w:rFonts w:ascii="Arial" w:cs="Arial" w:eastAsia="Arial" w:hAnsi="Arial"/>
                <w:sz w:val="18"/>
                <w:szCs w:val="18"/>
                <w:color w:val="auto"/>
                <w:w w:val="90"/>
              </w:rPr>
              <w:t>3.37%</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5020" w:type="dxa"/>
            <w:vAlign w:val="bottom"/>
          </w:tcPr>
          <w:p>
            <w:pPr>
              <w:spacing w:after="0"/>
              <w:rPr>
                <w:sz w:val="20"/>
                <w:szCs w:val="20"/>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620"/>
        </w:trPr>
        <w:tc>
          <w:tcPr>
            <w:tcW w:w="3620" w:type="dxa"/>
            <w:vAlign w:val="bottom"/>
          </w:tcPr>
          <w:p>
            <w:pPr>
              <w:spacing w:after="0"/>
              <w:rPr>
                <w:sz w:val="24"/>
                <w:szCs w:val="24"/>
                <w:color w:val="auto"/>
              </w:rPr>
            </w:pPr>
          </w:p>
        </w:tc>
        <w:tc>
          <w:tcPr>
            <w:tcW w:w="6260" w:type="dxa"/>
            <w:vAlign w:val="bottom"/>
            <w:gridSpan w:val="2"/>
          </w:tcPr>
          <w:p>
            <w:pPr>
              <w:jc w:val="right"/>
              <w:ind w:right="3999"/>
              <w:spacing w:after="0"/>
              <w:rPr>
                <w:sz w:val="20"/>
                <w:szCs w:val="20"/>
                <w:color w:val="auto"/>
              </w:rPr>
            </w:pPr>
            <w:r>
              <w:rPr>
                <w:rFonts w:ascii="Arial" w:cs="Arial" w:eastAsia="Arial" w:hAnsi="Arial"/>
                <w:sz w:val="18"/>
                <w:szCs w:val="18"/>
                <w:color w:val="auto"/>
              </w:rPr>
              <w:t>F-27</w:t>
            </w:r>
          </w:p>
        </w:tc>
        <w:tc>
          <w:tcPr>
            <w:tcW w:w="136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ind w:right="180" w:firstLine="464"/>
        <w:spacing w:after="0" w:line="286" w:lineRule="auto"/>
        <w:rPr>
          <w:sz w:val="20"/>
          <w:szCs w:val="20"/>
          <w:color w:val="auto"/>
        </w:rPr>
      </w:pPr>
      <w:r>
        <w:rPr>
          <w:rFonts w:ascii="Arial" w:cs="Arial" w:eastAsia="Arial" w:hAnsi="Arial"/>
          <w:sz w:val="16"/>
          <w:szCs w:val="16"/>
          <w:color w:val="auto"/>
        </w:rPr>
        <w:t>In May 2021, the board of directors adopted and the stockholders approved the 2021 Employee Stock Purchase Plan, or the ESPP, which became effective on May 26, 2021. A total of 603,000 shares of common stock were initially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w:t>
      </w:r>
    </w:p>
    <w:p>
      <w:pPr>
        <w:spacing w:after="0" w:line="1" w:lineRule="exact"/>
        <w:rPr>
          <w:sz w:val="20"/>
          <w:szCs w:val="20"/>
          <w:color w:val="auto"/>
        </w:rPr>
      </w:pPr>
    </w:p>
    <w:p>
      <w:pPr>
        <w:ind w:right="60" w:firstLine="8"/>
        <w:spacing w:after="0" w:line="253" w:lineRule="auto"/>
        <w:tabs>
          <w:tab w:leader="none" w:pos="2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1% of the total number of outstanding shares of common stock of the Company (on an as converted basis outstanding on the immediately preceding December 31 (rounded down to the nearest whole share) and (b) an amount determined by the board of directors. 97,413 shares have been issued under the ESPP as of December 31, 2022. The Company recognized $0.5 million and $0.2 million of compensation expense related to the ESPP plan for the years ended December 31, 2022 and 2021, respectively. The Company did not recognize any compensation expense related to the ESPP plan for the year ended December 31, 2020.</w:t>
      </w:r>
    </w:p>
    <w:p>
      <w:pPr>
        <w:spacing w:after="0" w:line="83"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fair value of our common stock to be issued under the ESPP is estimated at the date of grant using a Black-Scholes option-pricing model with the following assumptions:</w:t>
      </w:r>
    </w:p>
    <w:p>
      <w:pPr>
        <w:spacing w:after="0" w:line="67"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December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2280" w:type="dxa"/>
            <w:vAlign w:val="bottom"/>
            <w:gridSpan w:val="3"/>
          </w:tcPr>
          <w:p>
            <w:pPr>
              <w:jc w:val="right"/>
              <w:ind w:right="790"/>
              <w:spacing w:after="0"/>
              <w:rPr>
                <w:sz w:val="20"/>
                <w:szCs w:val="20"/>
                <w:color w:val="auto"/>
              </w:rPr>
            </w:pPr>
            <w:r>
              <w:rPr>
                <w:rFonts w:ascii="Arial" w:cs="Arial" w:eastAsia="Arial" w:hAnsi="Arial"/>
                <w:sz w:val="14"/>
                <w:szCs w:val="14"/>
                <w:b w:val="1"/>
                <w:bCs w:val="1"/>
                <w:color w:val="auto"/>
              </w:rPr>
              <w:t>2021</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0.50</w:t>
            </w:r>
          </w:p>
        </w:tc>
        <w:tc>
          <w:tcPr>
            <w:tcW w:w="2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- 0.50</w:t>
            </w:r>
          </w:p>
        </w:tc>
      </w:tr>
      <w:tr>
        <w:trPr>
          <w:trHeight w:val="249"/>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128.95%</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- 48.4%</w:t>
            </w:r>
          </w:p>
        </w:tc>
      </w:tr>
      <w:tr>
        <w:trPr>
          <w:trHeight w:val="237"/>
        </w:trPr>
        <w:tc>
          <w:tcPr>
            <w:tcW w:w="68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80" w:type="dxa"/>
            <w:vAlign w:val="bottom"/>
          </w:tcPr>
          <w:p>
            <w:pPr>
              <w:jc w:val="center"/>
              <w:spacing w:after="0"/>
              <w:rPr>
                <w:sz w:val="20"/>
                <w:szCs w:val="20"/>
                <w:color w:val="auto"/>
              </w:rPr>
            </w:pPr>
            <w:r>
              <w:rPr>
                <w:rFonts w:ascii="Arial" w:cs="Arial" w:eastAsia="Arial" w:hAnsi="Arial"/>
                <w:sz w:val="18"/>
                <w:szCs w:val="18"/>
                <w:color w:val="auto"/>
                <w:w w:val="93"/>
              </w:rPr>
              <w:t>4.54%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1080" w:type="dxa"/>
            <w:vAlign w:val="bottom"/>
          </w:tcPr>
          <w:p>
            <w:pPr>
              <w:ind w:left="20"/>
              <w:spacing w:after="0"/>
              <w:rPr>
                <w:sz w:val="20"/>
                <w:szCs w:val="20"/>
                <w:color w:val="auto"/>
              </w:rPr>
            </w:pPr>
            <w:r>
              <w:rPr>
                <w:rFonts w:ascii="Arial" w:cs="Arial" w:eastAsia="Arial" w:hAnsi="Arial"/>
                <w:sz w:val="18"/>
                <w:szCs w:val="18"/>
                <w:color w:val="auto"/>
              </w:rPr>
              <w:t>- 0.06%</w:t>
            </w:r>
          </w:p>
        </w:tc>
      </w:tr>
      <w:tr>
        <w:trPr>
          <w:trHeight w:val="249"/>
        </w:trPr>
        <w:tc>
          <w:tcPr>
            <w:tcW w:w="6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2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Share-based compensation expense recorded in the accompanying consolidated statements of operations is as follows (in thousands):</w:t>
      </w:r>
    </w:p>
    <w:p>
      <w:pPr>
        <w:spacing w:after="0" w:line="134" w:lineRule="exact"/>
        <w:rPr>
          <w:sz w:val="20"/>
          <w:szCs w:val="20"/>
          <w:color w:val="auto"/>
        </w:rPr>
      </w:pPr>
    </w:p>
    <w:tbl>
      <w:tblPr>
        <w:tblLayout w:type="fixed"/>
        <w:tblInd w:w="800" w:type="dxa"/>
        <w:tblCellMar>
          <w:top w:w="0" w:type="dxa"/>
          <w:left w:w="0" w:type="dxa"/>
          <w:bottom w:w="0" w:type="dxa"/>
          <w:right w:w="0" w:type="dxa"/>
        </w:tblCellMar>
      </w:tblPr>
      <w:tr>
        <w:trPr>
          <w:trHeight w:val="175"/>
        </w:trPr>
        <w:tc>
          <w:tcPr>
            <w:tcW w:w="6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6"/>
          </w:tcPr>
          <w:p>
            <w:pPr>
              <w:jc w:val="right"/>
              <w:ind w:right="27"/>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37"/>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8,486</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FF0FC"/>
          </w:tcPr>
          <w:p>
            <w:pPr>
              <w:spacing w:after="0"/>
              <w:rPr>
                <w:sz w:val="20"/>
                <w:szCs w:val="20"/>
                <w:color w:val="auto"/>
              </w:rPr>
            </w:pP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18,756</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r>
      <w:tr>
        <w:trPr>
          <w:trHeight w:val="276"/>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share-based compensation expense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27,242</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13,321</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596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596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-24765</wp:posOffset>
            </wp:positionV>
            <wp:extent cx="596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-7620</wp:posOffset>
            </wp:positionV>
            <wp:extent cx="596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As of December 31, 2022, there was $70.1 million of unrecognized compensation cost related to unvested restricted stock, unvested restricted stock units, unvested stock options, and shares subject to purchase under the ESPP that is expected to be recognized over a weighted-average period of approximately 2.8 years.</w:t>
      </w:r>
    </w:p>
    <w:p>
      <w:pPr>
        <w:spacing w:after="0" w:line="76" w:lineRule="exact"/>
        <w:rPr>
          <w:sz w:val="20"/>
          <w:szCs w:val="20"/>
          <w:color w:val="auto"/>
        </w:rPr>
      </w:pPr>
    </w:p>
    <w:p>
      <w:pPr>
        <w:ind w:right="540" w:firstLine="509"/>
        <w:spacing w:after="0" w:line="342" w:lineRule="auto"/>
        <w:rPr>
          <w:sz w:val="20"/>
          <w:szCs w:val="20"/>
          <w:color w:val="auto"/>
        </w:rPr>
      </w:pPr>
      <w:r>
        <w:rPr>
          <w:rFonts w:ascii="Arial" w:cs="Arial" w:eastAsia="Arial" w:hAnsi="Arial"/>
          <w:sz w:val="16"/>
          <w:szCs w:val="16"/>
          <w:color w:val="auto"/>
        </w:rPr>
        <w:t>As of December 31, 2022, there was $2.6 million of unrecognized compensation cost related to unvested PSOs and PSUs. The Company will recognize the PSO and PSU expense through the expected vesting dates when the achievement of the performance-based metrics is probable.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Basic and diluted net loss per share attributable to common shareholders/stockholders after the Conversion is calculated as follows (in thousands except share and per share amounts):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201"/>
              <w:spacing w:after="0"/>
              <w:rPr>
                <w:sz w:val="20"/>
                <w:szCs w:val="20"/>
                <w:color w:val="auto"/>
              </w:rPr>
            </w:pPr>
            <w:r>
              <w:rPr>
                <w:rFonts w:ascii="Arial" w:cs="Arial" w:eastAsia="Arial" w:hAnsi="Arial"/>
                <w:sz w:val="14"/>
                <w:szCs w:val="14"/>
                <w:b w:val="1"/>
                <w:bCs w:val="1"/>
                <w:color w:val="auto"/>
                <w:w w:val="93"/>
              </w:rPr>
              <w:t>Twelve Months Ended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80" w:type="dxa"/>
            <w:vAlign w:val="bottom"/>
          </w:tcPr>
          <w:p>
            <w:pPr>
              <w:spacing w:after="0"/>
              <w:rPr>
                <w:sz w:val="20"/>
                <w:szCs w:val="20"/>
                <w:color w:val="auto"/>
              </w:rPr>
            </w:pPr>
          </w:p>
        </w:tc>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(142,181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(72,754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(43,843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Net loss attributable to redeemable convertible noncontrolling interests</w:t>
            </w:r>
          </w:p>
        </w:tc>
        <w:tc>
          <w:tcPr>
            <w:tcW w:w="34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(2,109 )</w:t>
            </w: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(3,336 )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Exchange of redeemable noncontrolling interest shares – deemed dividend</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(99,994 )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stockholders/members</w:t>
            </w:r>
          </w:p>
        </w:tc>
        <w:tc>
          <w:tcPr>
            <w:tcW w:w="3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xml:space="preserve">(142,181 </w:t>
            </w:r>
            <w:r>
              <w:rPr>
                <w:rFonts w:ascii="Arial" w:cs="Arial" w:eastAsia="Arial" w:hAnsi="Arial"/>
                <w:sz w:val="18"/>
                <w:szCs w:val="18"/>
                <w:color w:val="auto"/>
                <w:highlight w:val="white"/>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(170,639 </w:t>
            </w:r>
            <w:r>
              <w:rPr>
                <w:rFonts w:ascii="Arial" w:cs="Arial" w:eastAsia="Arial" w:hAnsi="Arial"/>
                <w:sz w:val="18"/>
                <w:szCs w:val="18"/>
                <w:color w:val="auto"/>
                <w:highlight w:val="white"/>
              </w:rPr>
              <w:t>)</w:t>
            </w: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xml:space="preserve">(40,507 </w:t>
            </w:r>
            <w:r>
              <w:rPr>
                <w:rFonts w:ascii="Arial" w:cs="Arial" w:eastAsia="Arial" w:hAnsi="Arial"/>
                <w:sz w:val="18"/>
                <w:szCs w:val="18"/>
                <w:color w:val="auto"/>
                <w:highlight w:val="white"/>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80" w:type="dxa"/>
            <w:vAlign w:val="bottom"/>
          </w:tcPr>
          <w:p>
            <w:pPr>
              <w:spacing w:after="0"/>
              <w:rPr>
                <w:sz w:val="24"/>
                <w:szCs w:val="24"/>
                <w:color w:val="auto"/>
              </w:rPr>
            </w:pPr>
          </w:p>
        </w:tc>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6300" w:type="dxa"/>
            <w:vAlign w:val="bottom"/>
          </w:tcPr>
          <w:p>
            <w:pPr>
              <w:ind w:left="20"/>
              <w:spacing w:after="0" w:line="202" w:lineRule="exact"/>
              <w:rPr>
                <w:sz w:val="20"/>
                <w:szCs w:val="20"/>
                <w:color w:val="auto"/>
              </w:rPr>
            </w:pPr>
            <w:r>
              <w:rPr>
                <w:rFonts w:ascii="Arial" w:cs="Arial" w:eastAsia="Arial" w:hAnsi="Arial"/>
                <w:sz w:val="18"/>
                <w:szCs w:val="18"/>
                <w:color w:val="auto"/>
                <w:w w:val="93"/>
              </w:rPr>
              <w:t>Weighted-average number of common shares used in computing net loss per share,</w:t>
            </w:r>
          </w:p>
        </w:tc>
        <w:tc>
          <w:tcPr>
            <w:tcW w:w="3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65,466,773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36,960,569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5,529,519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300" w:type="dxa"/>
            <w:vAlign w:val="bottom"/>
          </w:tcPr>
          <w:p>
            <w:pPr>
              <w:ind w:left="20"/>
              <w:spacing w:after="0" w:line="203" w:lineRule="exact"/>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300" w:type="dxa"/>
            <w:vAlign w:val="bottom"/>
            <w:vMerge w:val="restart"/>
          </w:tcPr>
          <w:p>
            <w:pPr>
              <w:ind w:left="5280"/>
              <w:spacing w:after="0"/>
              <w:rPr>
                <w:sz w:val="20"/>
                <w:szCs w:val="20"/>
                <w:color w:val="auto"/>
              </w:rPr>
            </w:pPr>
            <w:r>
              <w:rPr>
                <w:rFonts w:ascii="Arial" w:cs="Arial" w:eastAsia="Arial" w:hAnsi="Arial"/>
                <w:sz w:val="18"/>
                <w:szCs w:val="18"/>
                <w:color w:val="auto"/>
              </w:rPr>
              <w:t>F-28</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8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80" w:type="dxa"/>
            <w:vAlign w:val="bottom"/>
            <w:tcBorders>
              <w:bottom w:val="single" w:sz="8" w:color="9A9A9A"/>
            </w:tcBorders>
          </w:tcPr>
          <w:p>
            <w:pPr>
              <w:spacing w:after="0"/>
              <w:rPr>
                <w:sz w:val="8"/>
                <w:szCs w:val="8"/>
                <w:color w:val="auto"/>
              </w:rPr>
            </w:pPr>
          </w:p>
        </w:tc>
        <w:tc>
          <w:tcPr>
            <w:tcW w:w="63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-1709420</wp:posOffset>
            </wp:positionV>
            <wp:extent cx="204851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2048510" cy="15430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-779145</wp:posOffset>
            </wp:positionV>
            <wp:extent cx="2023110" cy="3168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2023110" cy="3168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4" w:name="page175"/>
    <w:bookmarkEnd w:id="174"/>
    <w:p>
      <w:pPr>
        <w:ind w:right="60" w:firstLine="509"/>
        <w:spacing w:after="0" w:line="277" w:lineRule="auto"/>
        <w:rPr>
          <w:sz w:val="20"/>
          <w:szCs w:val="20"/>
          <w:color w:val="auto"/>
        </w:rPr>
      </w:pPr>
      <w:r>
        <w:rPr>
          <w:rFonts w:ascii="Arial" w:cs="Arial" w:eastAsia="Arial" w:hAnsi="Arial"/>
          <w:sz w:val="18"/>
          <w:szCs w:val="18"/>
          <w:color w:val="auto"/>
        </w:rPr>
        <w:t>The following outstanding potentially dilutive securities have been excluded from the calculation of diluted net loss per share, as their effect is anti-dilutive:</w:t>
      </w:r>
    </w:p>
    <w:p>
      <w:pPr>
        <w:spacing w:after="0" w:line="81"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40" w:type="dxa"/>
            <w:vAlign w:val="bottom"/>
          </w:tcPr>
          <w:p>
            <w:pPr>
              <w:spacing w:after="0"/>
              <w:rPr>
                <w:sz w:val="14"/>
                <w:szCs w:val="14"/>
                <w:color w:val="auto"/>
              </w:rPr>
            </w:pPr>
          </w:p>
        </w:tc>
        <w:tc>
          <w:tcPr>
            <w:tcW w:w="12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480" w:type="dxa"/>
            <w:vAlign w:val="bottom"/>
            <w:gridSpan w:val="3"/>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48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7,943,167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5,071,896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7"/>
        </w:trPr>
        <w:tc>
          <w:tcPr>
            <w:tcW w:w="6340" w:type="dxa"/>
            <w:vAlign w:val="bottom"/>
          </w:tcPr>
          <w:p>
            <w:pPr>
              <w:spacing w:after="0"/>
              <w:rPr>
                <w:sz w:val="20"/>
                <w:szCs w:val="20"/>
                <w:color w:val="auto"/>
              </w:rPr>
            </w:pPr>
            <w:r>
              <w:rPr>
                <w:rFonts w:ascii="Arial" w:cs="Arial" w:eastAsia="Arial" w:hAnsi="Arial"/>
                <w:sz w:val="18"/>
                <w:szCs w:val="18"/>
                <w:color w:val="auto"/>
              </w:rPr>
              <w:t>Unvested common shares</w:t>
            </w:r>
          </w:p>
        </w:tc>
        <w:tc>
          <w:tcPr>
            <w:tcW w:w="1260" w:type="dxa"/>
            <w:vAlign w:val="bottom"/>
          </w:tcPr>
          <w:p>
            <w:pPr>
              <w:jc w:val="right"/>
              <w:spacing w:after="0"/>
              <w:rPr>
                <w:sz w:val="20"/>
                <w:szCs w:val="20"/>
                <w:color w:val="auto"/>
              </w:rPr>
            </w:pPr>
            <w:r>
              <w:rPr>
                <w:rFonts w:ascii="Arial" w:cs="Arial" w:eastAsia="Arial" w:hAnsi="Arial"/>
                <w:sz w:val="18"/>
                <w:szCs w:val="18"/>
                <w:color w:val="auto"/>
              </w:rPr>
              <w:t>1,722,744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3,753,862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193,766</w:t>
            </w:r>
          </w:p>
        </w:tc>
        <w:tc>
          <w:tcPr>
            <w:tcW w:w="100" w:type="dxa"/>
            <w:vAlign w:val="bottom"/>
          </w:tcPr>
          <w:p>
            <w:pPr>
              <w:spacing w:after="0"/>
              <w:rPr>
                <w:sz w:val="20"/>
                <w:szCs w:val="20"/>
                <w:color w:val="auto"/>
              </w:rPr>
            </w:pPr>
          </w:p>
        </w:tc>
      </w:tr>
      <w:tr>
        <w:trPr>
          <w:trHeight w:val="24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532,751</w:t>
            </w: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96,890</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6340" w:type="dxa"/>
            <w:vAlign w:val="bottom"/>
          </w:tcPr>
          <w:p>
            <w:pPr>
              <w:spacing w:after="0"/>
              <w:rPr>
                <w:sz w:val="20"/>
                <w:szCs w:val="20"/>
                <w:color w:val="auto"/>
              </w:rPr>
            </w:pPr>
            <w:r>
              <w:rPr>
                <w:rFonts w:ascii="Arial" w:cs="Arial" w:eastAsia="Arial" w:hAnsi="Arial"/>
                <w:sz w:val="18"/>
                <w:szCs w:val="18"/>
                <w:color w:val="auto"/>
              </w:rPr>
              <w:t>Shares committed under ESPP</w:t>
            </w:r>
          </w:p>
        </w:tc>
        <w:tc>
          <w:tcPr>
            <w:tcW w:w="1260" w:type="dxa"/>
            <w:vAlign w:val="bottom"/>
          </w:tcPr>
          <w:p>
            <w:pPr>
              <w:jc w:val="right"/>
              <w:spacing w:after="0"/>
              <w:rPr>
                <w:sz w:val="20"/>
                <w:szCs w:val="20"/>
                <w:color w:val="auto"/>
              </w:rPr>
            </w:pPr>
            <w:r>
              <w:rPr>
                <w:rFonts w:ascii="Arial" w:cs="Arial" w:eastAsia="Arial" w:hAnsi="Arial"/>
                <w:sz w:val="18"/>
                <w:szCs w:val="18"/>
                <w:color w:val="auto"/>
              </w:rPr>
              <w:t>44,672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25,362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shares</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22,851,257</w:t>
            </w:r>
          </w:p>
        </w:tc>
        <w:tc>
          <w:tcPr>
            <w:tcW w:w="100" w:type="dxa"/>
            <w:vAlign w:val="bottom"/>
            <w:shd w:val="clear" w:color="auto" w:fill="CFF0FC"/>
          </w:tcPr>
          <w:p>
            <w:pPr>
              <w:spacing w:after="0"/>
              <w:rPr>
                <w:sz w:val="21"/>
                <w:szCs w:val="21"/>
                <w:color w:val="auto"/>
              </w:rPr>
            </w:pPr>
          </w:p>
        </w:tc>
      </w:tr>
      <w:tr>
        <w:trPr>
          <w:trHeight w:val="237"/>
        </w:trPr>
        <w:tc>
          <w:tcPr>
            <w:tcW w:w="6340" w:type="dxa"/>
            <w:vAlign w:val="bottom"/>
          </w:tcPr>
          <w:p>
            <w:pPr>
              <w:spacing w:after="0"/>
              <w:rPr>
                <w:sz w:val="20"/>
                <w:szCs w:val="20"/>
                <w:color w:val="auto"/>
              </w:rPr>
            </w:pPr>
            <w:r>
              <w:rPr>
                <w:rFonts w:ascii="Arial" w:cs="Arial" w:eastAsia="Arial" w:hAnsi="Arial"/>
                <w:sz w:val="18"/>
                <w:szCs w:val="18"/>
                <w:color w:val="auto"/>
              </w:rPr>
              <w:t>Incentive shares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4,112,017</w:t>
            </w:r>
          </w:p>
        </w:tc>
        <w:tc>
          <w:tcPr>
            <w:tcW w:w="100" w:type="dxa"/>
            <w:vAlign w:val="bottom"/>
          </w:tcPr>
          <w:p>
            <w:pPr>
              <w:spacing w:after="0"/>
              <w:rPr>
                <w:sz w:val="20"/>
                <w:szCs w:val="20"/>
                <w:color w:val="auto"/>
              </w:rPr>
            </w:pPr>
          </w:p>
        </w:tc>
      </w:tr>
      <w:tr>
        <w:trPr>
          <w:trHeight w:val="237"/>
        </w:trPr>
        <w:tc>
          <w:tcPr>
            <w:tcW w:w="6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10,243,334</w:t>
            </w:r>
          </w:p>
        </w:tc>
        <w:tc>
          <w:tcPr>
            <w:tcW w:w="1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8,948,010</w:t>
            </w:r>
          </w:p>
        </w:tc>
        <w:tc>
          <w:tcPr>
            <w:tcW w:w="1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27,157,040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03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Redeemable Noncontrolling Interest</w:t>
      </w:r>
    </w:p>
    <w:p>
      <w:pPr>
        <w:spacing w:after="0" w:line="121" w:lineRule="exact"/>
        <w:rPr>
          <w:sz w:val="20"/>
          <w:szCs w:val="20"/>
          <w:color w:val="auto"/>
        </w:rPr>
      </w:pPr>
    </w:p>
    <w:p>
      <w:pPr>
        <w:jc w:val="both"/>
        <w:ind w:right="280" w:firstLine="469"/>
        <w:spacing w:after="0" w:line="308" w:lineRule="auto"/>
        <w:rPr>
          <w:sz w:val="20"/>
          <w:szCs w:val="20"/>
          <w:color w:val="auto"/>
        </w:rPr>
      </w:pPr>
      <w:r>
        <w:rPr>
          <w:rFonts w:ascii="Arial" w:cs="Arial" w:eastAsia="Arial" w:hAnsi="Arial"/>
          <w:sz w:val="17"/>
          <w:szCs w:val="17"/>
          <w:color w:val="auto"/>
        </w:rPr>
        <w:t>Prior to the Merger, DOT-1, the Company’s subsidiary, issued Series A redeemable convertible preferred shares to Takeda in accordance with the Takeda Asset Agreement (Note 5). The Company concluded that it represented a redeemable noncontrolling interest.</w:t>
      </w:r>
    </w:p>
    <w:p>
      <w:pPr>
        <w:spacing w:after="0" w:line="38" w:lineRule="exact"/>
        <w:rPr>
          <w:sz w:val="20"/>
          <w:szCs w:val="20"/>
          <w:color w:val="auto"/>
        </w:rPr>
      </w:pPr>
    </w:p>
    <w:p>
      <w:pPr>
        <w:ind w:right="220" w:firstLine="464"/>
        <w:spacing w:after="0" w:line="263" w:lineRule="auto"/>
        <w:rPr>
          <w:sz w:val="20"/>
          <w:szCs w:val="20"/>
          <w:color w:val="auto"/>
        </w:rPr>
      </w:pPr>
      <w:r>
        <w:rPr>
          <w:rFonts w:ascii="Arial" w:cs="Arial" w:eastAsia="Arial" w:hAnsi="Arial"/>
          <w:sz w:val="18"/>
          <w:szCs w:val="18"/>
          <w:color w:val="auto"/>
        </w:rPr>
        <w:t>The Company adjusted the carrying value of redeemable noncontrolling interest to allocate net losses of the subsidiary to Takeda. Transfers to and from the redeemable noncontrolling interest represented changes in ownership and the allocation of Series A redeemable convertible preferred shares issuance costs issued by the subsidiary.</w:t>
      </w:r>
    </w:p>
    <w:p>
      <w:pPr>
        <w:spacing w:after="0" w:line="76" w:lineRule="exact"/>
        <w:rPr>
          <w:sz w:val="20"/>
          <w:szCs w:val="20"/>
          <w:color w:val="auto"/>
        </w:rPr>
      </w:pPr>
    </w:p>
    <w:p>
      <w:pPr>
        <w:ind w:firstLine="464"/>
        <w:spacing w:after="0" w:line="271" w:lineRule="auto"/>
        <w:rPr>
          <w:sz w:val="20"/>
          <w:szCs w:val="20"/>
          <w:color w:val="auto"/>
        </w:rPr>
      </w:pPr>
      <w:r>
        <w:rPr>
          <w:rFonts w:ascii="Arial" w:cs="Arial" w:eastAsia="Arial" w:hAnsi="Arial"/>
          <w:sz w:val="17"/>
          <w:szCs w:val="17"/>
          <w:color w:val="auto"/>
        </w:rPr>
        <w:t>On May 26, 2021, pursuant to the terms of the Millennium Stock Exchange Agreement, Takeda exchanged 9,857,143 shares of Series A redeemable convertible preferred stock in DOT-1 for 6,470,382 shares of common stock of the Company. Prior to the Exchange, the Company accounted for the redeemable noncontrolling interest as discussed in the paragraph above and allocated $2.1 million of net losses to Takeda for the period from January 1, 2021 to May 26, 2021. The Exchange resulted in DOT-1 becoming a wholly owned subsidiary of the Company and was recorded for accounting purposes as an extinguishment of the redeemable noncontrolling interest. As such, the Company also recognized an extinguishment loss of $100.0 million to additional paid-in-capital, which was calculated as a difference between the fair value of common stock issued to Takeda in the conversion and the carrying value of redeemable noncontrolling interest at the conversion date. The all-stock exchange was treated as a deemed dividend in the calculation of net loss attributable to common stockholders/members and net loss per share.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40" w:firstLine="469"/>
        <w:spacing w:after="0" w:line="291" w:lineRule="auto"/>
        <w:rPr>
          <w:sz w:val="20"/>
          <w:szCs w:val="20"/>
          <w:color w:val="auto"/>
        </w:rPr>
      </w:pPr>
      <w:r>
        <w:rPr>
          <w:rFonts w:ascii="Arial" w:cs="Arial" w:eastAsia="Arial" w:hAnsi="Arial"/>
          <w:sz w:val="16"/>
          <w:szCs w:val="16"/>
          <w:color w:val="auto"/>
        </w:rPr>
        <w:t>Prior to the IPO and conversion, the Company was treated as a partnership for tax purposes, and thus, not subject to income taxes. It was the responsibility of the LLC members to report their proportion share of any taxable income or loss generated by Day One Biopharmaceuticals Holdings Company, LLC to the appropriate taxing authorities and pay the associated taxes, if any. Prior to the Conversion, the Company’s consolidated subsidiaries were treated as corporations for tax purposes and were subject to income taxes which have been included in the consolidated financial statements. Subsequent to the Conversion, the Company and its subsidiaries are treated as a consolidated corporate group for tax purposes. On December 31, 2021, the Company liquidated the prior subsidiaries into the Company in a tax-free Internal Revenue Code Section 332 liquidation. As such, a single entity provision and subsequent tax return is calculated for the year ended December 31, 2022. All pre-tax losses have been incurred in the United States.</w:t>
      </w:r>
    </w:p>
    <w:p>
      <w:pPr>
        <w:spacing w:after="0" w:line="5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effective tax rate of the Company’s provision (benefit) for income taxes differs from the federal statutory rate as follows:</w:t>
      </w:r>
    </w:p>
    <w:p>
      <w:pPr>
        <w:spacing w:after="0" w:line="136"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3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gridSpan w:val="2"/>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Statutory rate</w:t>
            </w:r>
          </w:p>
        </w:tc>
        <w:tc>
          <w:tcPr>
            <w:tcW w:w="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r>
      <w:tr>
        <w:trPr>
          <w:trHeight w:val="242"/>
        </w:trPr>
        <w:tc>
          <w:tcPr>
            <w:tcW w:w="5040" w:type="dxa"/>
            <w:vAlign w:val="bottom"/>
            <w:gridSpan w:val="2"/>
          </w:tcPr>
          <w:p>
            <w:pPr>
              <w:spacing w:after="0"/>
              <w:rPr>
                <w:sz w:val="20"/>
                <w:szCs w:val="20"/>
                <w:color w:val="auto"/>
              </w:rPr>
            </w:pPr>
            <w:r>
              <w:rPr>
                <w:rFonts w:ascii="Arial" w:cs="Arial" w:eastAsia="Arial" w:hAnsi="Arial"/>
                <w:sz w:val="18"/>
                <w:szCs w:val="18"/>
                <w:color w:val="auto"/>
              </w:rPr>
              <w:t>State tax</w:t>
            </w:r>
          </w:p>
        </w:tc>
        <w:tc>
          <w:tcPr>
            <w:tcW w:w="1240" w:type="dxa"/>
            <w:vAlign w:val="bottom"/>
            <w:gridSpan w:val="4"/>
          </w:tcPr>
          <w:p>
            <w:pPr>
              <w:jc w:val="right"/>
              <w:ind w:right="608"/>
              <w:spacing w:after="0"/>
              <w:rPr>
                <w:sz w:val="20"/>
                <w:szCs w:val="20"/>
                <w:color w:val="auto"/>
              </w:rPr>
            </w:pPr>
            <w:r>
              <w:rPr>
                <w:rFonts w:ascii="Arial" w:cs="Arial" w:eastAsia="Arial" w:hAnsi="Arial"/>
                <w:sz w:val="18"/>
                <w:szCs w:val="18"/>
                <w:color w:val="auto"/>
              </w:rPr>
              <w:t>0.6 %</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(0.8 )%</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2.3 %</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Permanent differences</w:t>
            </w:r>
          </w:p>
        </w:tc>
        <w:tc>
          <w:tcPr>
            <w:tcW w:w="1240" w:type="dxa"/>
            <w:vAlign w:val="bottom"/>
            <w:gridSpan w:val="4"/>
          </w:tcPr>
          <w:p>
            <w:pPr>
              <w:jc w:val="right"/>
              <w:ind w:right="788"/>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0.6 %</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(14.4 )%</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Credits</w:t>
            </w:r>
          </w:p>
        </w:tc>
        <w:tc>
          <w:tcPr>
            <w:tcW w:w="1240" w:type="dxa"/>
            <w:vAlign w:val="bottom"/>
            <w:gridSpan w:val="4"/>
          </w:tcPr>
          <w:p>
            <w:pPr>
              <w:jc w:val="right"/>
              <w:ind w:right="608"/>
              <w:spacing w:after="0"/>
              <w:rPr>
                <w:sz w:val="20"/>
                <w:szCs w:val="20"/>
                <w:color w:val="auto"/>
              </w:rPr>
            </w:pPr>
            <w:r>
              <w:rPr>
                <w:rFonts w:ascii="Arial" w:cs="Arial" w:eastAsia="Arial" w:hAnsi="Arial"/>
                <w:sz w:val="18"/>
                <w:szCs w:val="18"/>
                <w:color w:val="auto"/>
              </w:rPr>
              <w:t>1.7 %</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3.8 %</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1.4 %</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1240" w:type="dxa"/>
            <w:vAlign w:val="bottom"/>
            <w:gridSpan w:val="4"/>
          </w:tcPr>
          <w:p>
            <w:pPr>
              <w:jc w:val="right"/>
              <w:ind w:right="548"/>
              <w:spacing w:after="0"/>
              <w:rPr>
                <w:sz w:val="20"/>
                <w:szCs w:val="20"/>
                <w:color w:val="auto"/>
              </w:rPr>
            </w:pPr>
            <w:r>
              <w:rPr>
                <w:rFonts w:ascii="Arial" w:cs="Arial" w:eastAsia="Arial" w:hAnsi="Arial"/>
                <w:sz w:val="18"/>
                <w:szCs w:val="18"/>
                <w:color w:val="auto"/>
                <w:w w:val="88"/>
              </w:rPr>
              <w:t>(22.6 )%</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(21.5 )%</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(10.1 )%</w:t>
            </w:r>
          </w:p>
        </w:tc>
      </w:tr>
      <w:tr>
        <w:trPr>
          <w:trHeight w:val="250"/>
        </w:trPr>
        <w:tc>
          <w:tcPr>
            <w:tcW w:w="504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1240" w:type="dxa"/>
            <w:vAlign w:val="bottom"/>
            <w:gridSpan w:val="4"/>
          </w:tcPr>
          <w:p>
            <w:pPr>
              <w:jc w:val="right"/>
              <w:ind w:right="548"/>
              <w:spacing w:after="0"/>
              <w:rPr>
                <w:sz w:val="20"/>
                <w:szCs w:val="20"/>
                <w:color w:val="auto"/>
              </w:rPr>
            </w:pPr>
            <w:r>
              <w:rPr>
                <w:rFonts w:ascii="Arial" w:cs="Arial" w:eastAsia="Arial" w:hAnsi="Arial"/>
                <w:sz w:val="18"/>
                <w:szCs w:val="18"/>
                <w:color w:val="auto"/>
              </w:rPr>
              <w:t>(0.7 )%</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(3.1 )%</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(0.2 )%</w:t>
            </w:r>
          </w:p>
        </w:tc>
      </w:tr>
      <w:tr>
        <w:trPr>
          <w:trHeight w:val="237"/>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gridSpan w:val="2"/>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-1096645</wp:posOffset>
            </wp:positionV>
            <wp:extent cx="4989195"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-788035</wp:posOffset>
            </wp:positionV>
            <wp:extent cx="4989195" cy="154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-479425</wp:posOffset>
            </wp:positionV>
            <wp:extent cx="4989195"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514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431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3" w:lineRule="exact"/>
        <w:rPr>
          <w:sz w:val="20"/>
          <w:szCs w:val="20"/>
          <w:color w:val="auto"/>
        </w:rPr>
      </w:pPr>
    </w:p>
    <w:p>
      <w:pPr>
        <w:ind w:right="240" w:firstLine="469"/>
        <w:spacing w:after="0" w:line="263" w:lineRule="auto"/>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and the amounts used for income tax purposes. The principal components of the Company’s deferred tax assets and liabilities consisted of the following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5"/>
              </w:rPr>
              <w:t>As of December 31,</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69"/>
        </w:trPr>
        <w:tc>
          <w:tcPr>
            <w:tcW w:w="10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6"/>
        </w:trPr>
        <w:tc>
          <w:tcPr>
            <w:tcW w:w="1080" w:type="dxa"/>
            <w:vAlign w:val="bottom"/>
          </w:tcPr>
          <w:p>
            <w:pPr>
              <w:spacing w:after="0"/>
              <w:rPr>
                <w:sz w:val="20"/>
                <w:szCs w:val="20"/>
                <w:color w:val="auto"/>
              </w:rPr>
            </w:pPr>
          </w:p>
        </w:tc>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1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w w:val="97"/>
              </w:rPr>
              <w:t>Federal and state net operating loss carryforwards</w:t>
            </w:r>
          </w:p>
        </w:tc>
        <w:tc>
          <w:tcPr>
            <w:tcW w:w="1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25,884</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17,270</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7,732</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9"/>
        </w:trPr>
        <w:tc>
          <w:tcPr>
            <w:tcW w:w="1080" w:type="dxa"/>
            <w:vAlign w:val="bottom"/>
          </w:tcPr>
          <w:p>
            <w:pPr>
              <w:spacing w:after="0"/>
              <w:rPr>
                <w:sz w:val="21"/>
                <w:szCs w:val="21"/>
                <w:color w:val="auto"/>
              </w:rPr>
            </w:pPr>
          </w:p>
        </w:tc>
        <w:tc>
          <w:tcPr>
            <w:tcW w:w="4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Capitalized R&amp;D Section 174 Expense</w:t>
            </w:r>
          </w:p>
        </w:tc>
        <w:tc>
          <w:tcPr>
            <w:tcW w:w="1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r>
      <w:tr>
        <w:trPr>
          <w:trHeight w:val="237"/>
        </w:trPr>
        <w:tc>
          <w:tcPr>
            <w:tcW w:w="108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Credits</w:t>
            </w: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6,653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3,670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731</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9"/>
        </w:trPr>
        <w:tc>
          <w:tcPr>
            <w:tcW w:w="1080" w:type="dxa"/>
            <w:vAlign w:val="bottom"/>
          </w:tcPr>
          <w:p>
            <w:pPr>
              <w:spacing w:after="0"/>
              <w:rPr>
                <w:sz w:val="21"/>
                <w:szCs w:val="21"/>
                <w:color w:val="auto"/>
              </w:rPr>
            </w:pPr>
          </w:p>
        </w:tc>
        <w:tc>
          <w:tcPr>
            <w:tcW w:w="40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Intangible asset basis</w:t>
            </w:r>
          </w:p>
        </w:tc>
        <w:tc>
          <w:tcPr>
            <w:tcW w:w="1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r>
      <w:tr>
        <w:trPr>
          <w:trHeight w:val="237"/>
        </w:trPr>
        <w:tc>
          <w:tcPr>
            <w:tcW w:w="108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Share-based compensation</w:t>
            </w: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r>
      <w:tr>
        <w:trPr>
          <w:trHeight w:val="243"/>
        </w:trPr>
        <w:tc>
          <w:tcPr>
            <w:tcW w:w="1080" w:type="dxa"/>
            <w:vAlign w:val="bottom"/>
          </w:tcPr>
          <w:p>
            <w:pPr>
              <w:spacing w:after="0"/>
              <w:rPr>
                <w:sz w:val="21"/>
                <w:szCs w:val="21"/>
                <w:color w:val="auto"/>
              </w:rPr>
            </w:pPr>
          </w:p>
        </w:tc>
        <w:tc>
          <w:tcPr>
            <w:tcW w:w="40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Accrued expenses</w:t>
            </w:r>
          </w:p>
        </w:tc>
        <w:tc>
          <w:tcPr>
            <w:tcW w:w="17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80" w:type="dxa"/>
            <w:vAlign w:val="bottom"/>
            <w:tcBorders>
              <w:bottom w:val="single" w:sz="8" w:color="CFF0FC"/>
            </w:tcBorders>
            <w:shd w:val="clear" w:color="auto" w:fill="CFF0FC"/>
          </w:tcPr>
          <w:p>
            <w:pPr>
              <w:spacing w:after="0"/>
              <w:rPr>
                <w:sz w:val="21"/>
                <w:szCs w:val="21"/>
                <w:color w:val="auto"/>
              </w:rPr>
            </w:pPr>
          </w:p>
        </w:tc>
        <w:tc>
          <w:tcPr>
            <w:tcW w:w="1060" w:type="dxa"/>
            <w:vAlign w:val="bottom"/>
          </w:tcPr>
          <w:p>
            <w:pPr>
              <w:spacing w:after="0"/>
              <w:rPr>
                <w:sz w:val="21"/>
                <w:szCs w:val="21"/>
                <w:color w:val="auto"/>
              </w:rPr>
            </w:pPr>
          </w:p>
        </w:tc>
      </w:tr>
      <w:tr>
        <w:trPr>
          <w:trHeight w:val="237"/>
        </w:trPr>
        <w:tc>
          <w:tcPr>
            <w:tcW w:w="10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1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8,698</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3"/>
        </w:trPr>
        <w:tc>
          <w:tcPr>
            <w:tcW w:w="1080" w:type="dxa"/>
            <w:vAlign w:val="bottom"/>
          </w:tcPr>
          <w:p>
            <w:pPr>
              <w:spacing w:after="0"/>
              <w:rPr>
                <w:sz w:val="21"/>
                <w:szCs w:val="21"/>
                <w:color w:val="auto"/>
              </w:rPr>
            </w:pPr>
          </w:p>
        </w:tc>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deferred tax liabilities</w:t>
            </w:r>
          </w:p>
        </w:tc>
        <w:tc>
          <w:tcPr>
            <w:tcW w:w="1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60" w:type="dxa"/>
            <w:vAlign w:val="bottom"/>
          </w:tcPr>
          <w:p>
            <w:pPr>
              <w:spacing w:after="0"/>
              <w:rPr>
                <w:sz w:val="21"/>
                <w:szCs w:val="21"/>
                <w:color w:val="auto"/>
              </w:rPr>
            </w:pPr>
          </w:p>
        </w:tc>
      </w:tr>
      <w:tr>
        <w:trPr>
          <w:trHeight w:val="237"/>
        </w:trPr>
        <w:tc>
          <w:tcPr>
            <w:tcW w:w="10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59"/>
              <w:spacing w:after="0"/>
              <w:rPr>
                <w:sz w:val="20"/>
                <w:szCs w:val="20"/>
                <w:color w:val="auto"/>
              </w:rPr>
            </w:pPr>
            <w:r>
              <w:rPr>
                <w:rFonts w:ascii="Arial" w:cs="Arial" w:eastAsia="Arial" w:hAnsi="Arial"/>
                <w:sz w:val="18"/>
                <w:szCs w:val="18"/>
                <w:color w:val="auto"/>
              </w:rPr>
              <w:t>(53,794 )</w:t>
            </w:r>
          </w:p>
        </w:tc>
        <w:tc>
          <w:tcPr>
            <w:tcW w:w="200" w:type="dxa"/>
            <w:vAlign w:val="bottom"/>
          </w:tcPr>
          <w:p>
            <w:pPr>
              <w:spacing w:after="0"/>
              <w:rPr>
                <w:sz w:val="20"/>
                <w:szCs w:val="20"/>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(23,778 )</w:t>
            </w: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(8,601 )</w:t>
            </w:r>
          </w:p>
        </w:tc>
        <w:tc>
          <w:tcPr>
            <w:tcW w:w="1060" w:type="dxa"/>
            <w:vAlign w:val="bottom"/>
          </w:tcPr>
          <w:p>
            <w:pPr>
              <w:spacing w:after="0"/>
              <w:rPr>
                <w:sz w:val="20"/>
                <w:szCs w:val="20"/>
                <w:color w:val="auto"/>
              </w:rPr>
            </w:pPr>
          </w:p>
        </w:tc>
      </w:tr>
      <w:tr>
        <w:trPr>
          <w:trHeight w:val="276"/>
        </w:trPr>
        <w:tc>
          <w:tcPr>
            <w:tcW w:w="1080" w:type="dxa"/>
            <w:vAlign w:val="bottom"/>
          </w:tcPr>
          <w:p>
            <w:pPr>
              <w:spacing w:after="0"/>
              <w:rPr>
                <w:sz w:val="24"/>
                <w:szCs w:val="24"/>
                <w:color w:val="auto"/>
              </w:rPr>
            </w:pPr>
          </w:p>
        </w:tc>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deferred tax assets</w:t>
            </w:r>
          </w:p>
        </w:tc>
        <w:tc>
          <w:tcPr>
            <w:tcW w:w="17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1060" w:type="dxa"/>
            <w:vAlign w:val="bottom"/>
          </w:tcPr>
          <w:p>
            <w:pPr>
              <w:spacing w:after="0"/>
              <w:rPr>
                <w:sz w:val="24"/>
                <w:szCs w:val="24"/>
                <w:color w:val="auto"/>
              </w:rPr>
            </w:pPr>
          </w:p>
        </w:tc>
      </w:tr>
      <w:tr>
        <w:trPr>
          <w:trHeight w:val="594"/>
        </w:trPr>
        <w:tc>
          <w:tcPr>
            <w:tcW w:w="10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960" w:type="dxa"/>
            <w:vAlign w:val="bottom"/>
            <w:gridSpan w:val="2"/>
          </w:tcPr>
          <w:p>
            <w:pPr>
              <w:jc w:val="right"/>
              <w:ind w:right="1190"/>
              <w:spacing w:after="0"/>
              <w:rPr>
                <w:sz w:val="20"/>
                <w:szCs w:val="20"/>
                <w:color w:val="auto"/>
              </w:rPr>
            </w:pPr>
            <w:r>
              <w:rPr>
                <w:rFonts w:ascii="Arial" w:cs="Arial" w:eastAsia="Arial" w:hAnsi="Arial"/>
                <w:sz w:val="18"/>
                <w:szCs w:val="18"/>
                <w:color w:val="auto"/>
              </w:rPr>
              <w:t>F-30</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1"/>
        </w:trPr>
        <w:tc>
          <w:tcPr>
            <w:tcW w:w="108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4955540</wp:posOffset>
            </wp:positionH>
            <wp:positionV relativeFrom="paragraph">
              <wp:posOffset>-2352040</wp:posOffset>
            </wp:positionV>
            <wp:extent cx="1517015" cy="154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1517015" cy="15430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-1130935</wp:posOffset>
            </wp:positionV>
            <wp:extent cx="60325" cy="1714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-1130935</wp:posOffset>
            </wp:positionV>
            <wp:extent cx="51435" cy="1714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-1130935</wp:posOffset>
            </wp:positionV>
            <wp:extent cx="51435" cy="1714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7">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-488315</wp:posOffset>
            </wp:positionV>
            <wp:extent cx="603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-471170</wp:posOffset>
            </wp:positionV>
            <wp:extent cx="603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-488315</wp:posOffset>
            </wp:positionV>
            <wp:extent cx="514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-471170</wp:posOffset>
            </wp:positionV>
            <wp:extent cx="514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-488315</wp:posOffset>
            </wp:positionV>
            <wp:extent cx="514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-471170</wp:posOffset>
            </wp:positionV>
            <wp:extent cx="514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6" w:name="page177"/>
    <w:bookmarkEnd w:id="176"/>
    <w:p>
      <w:pPr>
        <w:ind w:right="40" w:firstLine="469"/>
        <w:spacing w:after="0" w:line="257" w:lineRule="auto"/>
        <w:rPr>
          <w:sz w:val="20"/>
          <w:szCs w:val="20"/>
          <w:color w:val="auto"/>
        </w:rPr>
      </w:pPr>
      <w:r>
        <w:rPr>
          <w:rFonts w:ascii="Arial" w:cs="Arial" w:eastAsia="Arial" w:hAnsi="Arial"/>
          <w:sz w:val="18"/>
          <w:szCs w:val="18"/>
          <w:color w:val="auto"/>
        </w:rPr>
        <w:t>The Company has incurred net operating losses in each year since inception. The Company has not reflected the benefit of any such net operating loss carryforwards in the consolidated financial statements. Due to its history of losses, and lack of other positive evidence, the Company determined that it is more likely than not that its net deferred tax assets will not be realized, and therefore, the net deferred tax assets are fully offset by a valuation allowance at December 31, 2022 and 2021. The Company increased the valuation allowance by $30.0 million, $15.2 million and $4.4 million for the years ended December 31, 2022, 2021, and 2020, respectively.</w:t>
      </w:r>
    </w:p>
    <w:p>
      <w:pPr>
        <w:spacing w:after="0" w:line="80" w:lineRule="exact"/>
        <w:rPr>
          <w:sz w:val="20"/>
          <w:szCs w:val="20"/>
          <w:color w:val="auto"/>
        </w:rPr>
      </w:pPr>
    </w:p>
    <w:p>
      <w:pPr>
        <w:jc w:val="both"/>
        <w:ind w:right="120" w:firstLine="469"/>
        <w:spacing w:after="0" w:line="311" w:lineRule="auto"/>
        <w:rPr>
          <w:sz w:val="20"/>
          <w:szCs w:val="20"/>
          <w:color w:val="auto"/>
        </w:rPr>
      </w:pPr>
      <w:r>
        <w:rPr>
          <w:rFonts w:ascii="Arial" w:cs="Arial" w:eastAsia="Arial" w:hAnsi="Arial"/>
          <w:sz w:val="16"/>
          <w:szCs w:val="16"/>
          <w:color w:val="auto"/>
        </w:rPr>
        <w:t>As of December 31, 2022, the Company had federal net operating loss carryforwards, or NOLs, of $117.6 million that do not expire and federal tax credits of $8.2 million available to offset tax liabilities that begin to expire in 2038. The Company also has gross state NOLs of $17.6 million and state tax credits of $1.2 million which are available to offset state tax liabilities. The state NOLs begin to expire in 2038 and the state tax credits do not expire.</w:t>
      </w:r>
    </w:p>
    <w:p>
      <w:pPr>
        <w:spacing w:after="0" w:line="41" w:lineRule="exact"/>
        <w:rPr>
          <w:sz w:val="20"/>
          <w:szCs w:val="20"/>
          <w:color w:val="auto"/>
        </w:rPr>
      </w:pPr>
    </w:p>
    <w:p>
      <w:pPr>
        <w:ind w:right="60" w:firstLine="469"/>
        <w:spacing w:after="0" w:line="293" w:lineRule="auto"/>
        <w:rPr>
          <w:sz w:val="20"/>
          <w:szCs w:val="20"/>
          <w:color w:val="auto"/>
        </w:rPr>
      </w:pPr>
      <w:r>
        <w:rPr>
          <w:rFonts w:ascii="Arial" w:cs="Arial" w:eastAsia="Arial" w:hAnsi="Arial"/>
          <w:sz w:val="16"/>
          <w:szCs w:val="16"/>
          <w:color w:val="auto"/>
        </w:rPr>
        <w:t>The Company has not completed a study to determine whether an ownership change per the provisions of Section 382 of the Internal Revenue Code, as well as similar state provisions, has occurred. Utilization of its net operating loss and income tax credit carryforwards may be subject to a substantial annual limitation due to ownership changes that may have occurred or that could occur in the future. These ownership changes may limit the amount of the net operating loss and income tax credit carryover that can be utilized annually to offset future taxable income. In general, an “ownership change” as defined by Section 382 of the Internal Revenue Code results from a transaction or series of transactions over a three-year period resulting in an ownership change of more than 50 percentage points of the outstanding shares of a company by certain shareholders.</w:t>
      </w:r>
    </w:p>
    <w:p>
      <w:pPr>
        <w:spacing w:after="0" w:line="56" w:lineRule="exact"/>
        <w:rPr>
          <w:sz w:val="20"/>
          <w:szCs w:val="20"/>
          <w:color w:val="auto"/>
        </w:rPr>
      </w:pPr>
    </w:p>
    <w:p>
      <w:pPr>
        <w:ind w:right="80" w:firstLine="469"/>
        <w:spacing w:after="0" w:line="263" w:lineRule="auto"/>
        <w:rPr>
          <w:sz w:val="20"/>
          <w:szCs w:val="20"/>
          <w:color w:val="auto"/>
        </w:rPr>
      </w:pPr>
      <w:r>
        <w:rPr>
          <w:rFonts w:ascii="Arial" w:cs="Arial" w:eastAsia="Arial" w:hAnsi="Arial"/>
          <w:sz w:val="18"/>
          <w:szCs w:val="18"/>
          <w:color w:val="auto"/>
        </w:rPr>
        <w:t>In accordance with the Tax Cuts and Jobs Act of 2017, Research and Experimental, or R&amp;E, expenses under Internal Revenue Code Section 174 are required to be capitalized beginning in 2022. R&amp;E expenses are required to be amortized over a period of 5 years for domestic expenses and 15 years for foreign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jc w:val="both"/>
        <w:ind w:right="20" w:firstLine="469"/>
        <w:spacing w:after="0" w:line="263" w:lineRule="auto"/>
        <w:rPr>
          <w:sz w:val="20"/>
          <w:szCs w:val="20"/>
          <w:color w:val="auto"/>
        </w:rPr>
      </w:pPr>
      <w:r>
        <w:rPr>
          <w:rFonts w:ascii="Arial" w:cs="Arial" w:eastAsia="Arial" w:hAnsi="Arial"/>
          <w:sz w:val="18"/>
          <w:szCs w:val="18"/>
          <w:color w:val="auto"/>
        </w:rPr>
        <w:t>In accordance with authoritative guidance,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w:t>
      </w:r>
    </w:p>
    <w:p>
      <w:pPr>
        <w:spacing w:after="0" w:line="7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reconciles the beginning and ending amount of unrecognized tax benefits (in thousands):</w:t>
      </w:r>
    </w:p>
    <w:p>
      <w:pPr>
        <w:spacing w:after="0" w:line="136"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2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1,141</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r>
      <w:tr>
        <w:trPr>
          <w:trHeight w:val="237"/>
        </w:trPr>
        <w:tc>
          <w:tcPr>
            <w:tcW w:w="5780" w:type="dxa"/>
            <w:vAlign w:val="bottom"/>
          </w:tcPr>
          <w:p>
            <w:pPr>
              <w:ind w:left="100"/>
              <w:spacing w:after="0"/>
              <w:rPr>
                <w:sz w:val="20"/>
                <w:szCs w:val="20"/>
                <w:color w:val="auto"/>
              </w:rPr>
            </w:pPr>
            <w:r>
              <w:rPr>
                <w:rFonts w:ascii="Arial" w:cs="Arial" w:eastAsia="Arial" w:hAnsi="Arial"/>
                <w:sz w:val="18"/>
                <w:szCs w:val="18"/>
                <w:color w:val="auto"/>
              </w:rPr>
              <w:t>Additions based on tax positions related to prior year</w:t>
            </w: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Additions based on tax positions related to current year</w:t>
            </w: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ind w:left="100"/>
              <w:spacing w:after="0"/>
              <w:rPr>
                <w:sz w:val="20"/>
                <w:szCs w:val="20"/>
                <w:color w:val="auto"/>
              </w:rPr>
            </w:pPr>
            <w:r>
              <w:rPr>
                <w:rFonts w:ascii="Arial" w:cs="Arial" w:eastAsia="Arial" w:hAnsi="Arial"/>
                <w:sz w:val="18"/>
                <w:szCs w:val="18"/>
                <w:color w:val="auto"/>
              </w:rPr>
              <w:t>Reductions based on tax positions related to prior year</w:t>
            </w:r>
          </w:p>
        </w:tc>
        <w:tc>
          <w:tcPr>
            <w:tcW w:w="7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(248 )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57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Reductions based on tax positions related to current year</w:t>
            </w:r>
          </w:p>
        </w:tc>
        <w:tc>
          <w:tcPr>
            <w:tcW w:w="7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7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2,535</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1,141</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4930140</wp:posOffset>
            </wp:positionH>
            <wp:positionV relativeFrom="paragraph">
              <wp:posOffset>-1100455</wp:posOffset>
            </wp:positionV>
            <wp:extent cx="1688465" cy="1543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6">
                      <a:extLst>
                        <a:ext uri="{28A0092B-C50C-407E-A947-70E740481C1C}"/>
                      </a:extLst>
                    </a:blip>
                    <a:srcRect/>
                    <a:stretch>
                      <a:fillRect/>
                    </a:stretch>
                  </pic:blipFill>
                  <pic:spPr bwMode="auto">
                    <a:xfrm>
                      <a:off x="0" y="0"/>
                      <a:ext cx="1688465" cy="1543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60325" cy="1885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-187960</wp:posOffset>
            </wp:positionV>
            <wp:extent cx="60325" cy="18859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9">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95" w:lineRule="exact"/>
        <w:rPr>
          <w:sz w:val="20"/>
          <w:szCs w:val="20"/>
          <w:color w:val="auto"/>
        </w:rPr>
      </w:pPr>
    </w:p>
    <w:p>
      <w:pPr>
        <w:ind w:right="120" w:firstLine="469"/>
        <w:spacing w:after="0" w:line="259" w:lineRule="auto"/>
        <w:rPr>
          <w:sz w:val="20"/>
          <w:szCs w:val="20"/>
          <w:color w:val="auto"/>
        </w:rPr>
      </w:pPr>
      <w:r>
        <w:rPr>
          <w:rFonts w:ascii="Arial" w:cs="Arial" w:eastAsia="Arial" w:hAnsi="Arial"/>
          <w:sz w:val="18"/>
          <w:szCs w:val="18"/>
          <w:color w:val="auto"/>
        </w:rPr>
        <w:t>The entire amount of the unrecognized tax benefits would not impact the Company’s effective tax rate if recognized. The Company has elected to include interest and penalties as a component of tax expense. During the years ended December 31, 2022, 2021 and 2020,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79" w:lineRule="exact"/>
        <w:rPr>
          <w:sz w:val="20"/>
          <w:szCs w:val="20"/>
          <w:color w:val="auto"/>
        </w:rPr>
      </w:pPr>
    </w:p>
    <w:p>
      <w:pPr>
        <w:ind w:right="160" w:firstLine="469"/>
        <w:spacing w:after="0" w:line="277" w:lineRule="auto"/>
        <w:rPr>
          <w:sz w:val="20"/>
          <w:szCs w:val="20"/>
          <w:color w:val="auto"/>
        </w:rPr>
      </w:pPr>
      <w:r>
        <w:rPr>
          <w:rFonts w:ascii="Arial" w:cs="Arial" w:eastAsia="Arial" w:hAnsi="Arial"/>
          <w:sz w:val="18"/>
          <w:szCs w:val="18"/>
          <w:color w:val="auto"/>
        </w:rPr>
        <w:t>The Company files income tax returns in the U.S. federal, California and other state tax jurisdictions. The federal and state income tax returns from December 31, 2018 to December 31, 2022 remain subject to examination.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w:t>
      </w:r>
    </w:p>
    <w:p>
      <w:pPr>
        <w:spacing w:after="0" w:line="121" w:lineRule="exact"/>
        <w:rPr>
          <w:sz w:val="20"/>
          <w:szCs w:val="20"/>
          <w:color w:val="auto"/>
        </w:rPr>
      </w:pPr>
    </w:p>
    <w:p>
      <w:pPr>
        <w:ind w:firstLine="469"/>
        <w:spacing w:after="0" w:line="263" w:lineRule="auto"/>
        <w:rPr>
          <w:sz w:val="20"/>
          <w:szCs w:val="20"/>
          <w:color w:val="auto"/>
        </w:rPr>
      </w:pPr>
      <w:r>
        <w:rPr>
          <w:rFonts w:ascii="Arial" w:cs="Arial" w:eastAsia="Arial" w:hAnsi="Arial"/>
          <w:sz w:val="18"/>
          <w:szCs w:val="18"/>
          <w:color w:val="auto"/>
        </w:rPr>
        <w:t>The Company maintains an employee savings plan pursuant to Section 401(k) of the Internal Revenue Code. All employees are eligible to participate provided that they meet the requirements of the plan. For the year ended December 31, 2022, the Company made matching contributions of $0.8 million. The Company did not make matching contributions in the prior year.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0"/>
          <w:szCs w:val="20"/>
          <w:b w:val="1"/>
          <w:bCs w:val="1"/>
          <w:color w:val="auto"/>
        </w:rPr>
        <w:t>Exhibit 21.1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 of Day One Biopharmaceuticals, Inc.</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820" w:right="180" w:hanging="377"/>
        <w:spacing w:after="0" w:line="308" w:lineRule="auto"/>
        <w:tabs>
          <w:tab w:leader="none" w:pos="8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Registration Statements (Form S-8 No. 333-256521, 333-263343, 333-268071 and 333-269727) pertaining to the 2021 Equity Incentive Plan, 2021 Employee Stock Purchase Plan and 2022 Equity Inducement Plan of Day One Biopharmaceuticals, Inc., and</w:t>
      </w:r>
    </w:p>
    <w:p>
      <w:pPr>
        <w:spacing w:after="0" w:line="146" w:lineRule="exact"/>
        <w:rPr>
          <w:rFonts w:ascii="Arial" w:cs="Arial" w:eastAsia="Arial" w:hAnsi="Arial"/>
          <w:sz w:val="17"/>
          <w:szCs w:val="17"/>
          <w:color w:val="auto"/>
        </w:rPr>
      </w:pPr>
    </w:p>
    <w:p>
      <w:pPr>
        <w:ind w:left="820" w:hanging="377"/>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Registration Statement (Form S-3 No. 333-265346) of Day One Biopharmaceuticals, Inc.</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of our report dated March 6, 2023, with respect to the consolidated financial statements of Day One Biopharmaceuticals, Inc., included in this Annual Report (Form 10-K) for the year ended December 31, 2022.</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 Jeremy Bender, certify that:</w:t>
      </w:r>
    </w:p>
    <w:p>
      <w:pPr>
        <w:spacing w:after="0" w:line="225"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Day One Biopharmaceuticals, Inc.;</w:t>
      </w:r>
    </w:p>
    <w:p>
      <w:pPr>
        <w:spacing w:after="0" w:line="184" w:lineRule="exact"/>
        <w:rPr>
          <w:rFonts w:ascii="Arial" w:cs="Arial" w:eastAsia="Arial" w:hAnsi="Arial"/>
          <w:sz w:val="18"/>
          <w:szCs w:val="18"/>
          <w:color w:val="auto"/>
        </w:rPr>
      </w:pPr>
    </w:p>
    <w:p>
      <w:pPr>
        <w:ind w:left="920" w:right="180" w:hanging="912"/>
        <w:spacing w:after="0" w:line="263" w:lineRule="auto"/>
        <w:tabs>
          <w:tab w:leader="none" w:pos="191"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920" w:right="540" w:hanging="912"/>
        <w:spacing w:after="0" w:line="342" w:lineRule="auto"/>
        <w:tabs>
          <w:tab w:leader="none" w:pos="191"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920" w:right="20" w:hanging="912"/>
        <w:spacing w:after="0" w:line="263" w:lineRule="auto"/>
        <w:tabs>
          <w:tab w:leader="none" w:pos="19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940" w:right="20" w:hanging="911"/>
        <w:spacing w:after="0" w:line="286" w:lineRule="auto"/>
        <w:tabs>
          <w:tab w:leader="none" w:pos="1201"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940" w:right="220" w:hanging="911"/>
        <w:spacing w:after="0" w:line="286" w:lineRule="auto"/>
        <w:tabs>
          <w:tab w:leader="none" w:pos="1211"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40" w:right="340" w:hanging="911"/>
        <w:spacing w:after="0" w:line="263" w:lineRule="auto"/>
        <w:tabs>
          <w:tab w:leader="none" w:pos="1201"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940" w:right="300" w:hanging="911"/>
        <w:spacing w:after="0" w:line="286" w:lineRule="auto"/>
        <w:tabs>
          <w:tab w:leader="none" w:pos="1211"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920" w:right="480" w:hanging="912"/>
        <w:spacing w:after="0" w:line="342" w:lineRule="auto"/>
        <w:tabs>
          <w:tab w:leader="none" w:pos="191"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940" w:right="180" w:hanging="911"/>
        <w:spacing w:after="0" w:line="342" w:lineRule="auto"/>
        <w:tabs>
          <w:tab w:leader="none" w:pos="1201"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940" w:right="240" w:hanging="911"/>
        <w:spacing w:after="0" w:line="277" w:lineRule="auto"/>
        <w:tabs>
          <w:tab w:leader="none" w:pos="121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March 6, 2023</w:t>
            </w:r>
          </w:p>
        </w:tc>
        <w:tc>
          <w:tcPr>
            <w:tcW w:w="130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Jeremy Bender, Ph.D., M.B.A.</w:t>
            </w:r>
          </w:p>
        </w:tc>
      </w:tr>
      <w:tr>
        <w:trPr>
          <w:trHeight w:val="215"/>
        </w:trPr>
        <w:tc>
          <w:tcPr>
            <w:tcW w:w="4980" w:type="dxa"/>
            <w:vAlign w:val="bottom"/>
          </w:tcPr>
          <w:p>
            <w:pPr>
              <w:ind w:left="100"/>
              <w:spacing w:after="0"/>
              <w:rPr>
                <w:sz w:val="20"/>
                <w:szCs w:val="20"/>
                <w:color w:val="auto"/>
              </w:rPr>
            </w:pPr>
            <w:r>
              <w:rPr>
                <w:rFonts w:ascii="Arial" w:cs="Arial" w:eastAsia="Arial" w:hAnsi="Arial"/>
                <w:sz w:val="18"/>
                <w:szCs w:val="18"/>
                <w:color w:val="auto"/>
              </w:rPr>
              <w:t>Date</w:t>
            </w: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Jeremy Bender, Ph.D., M.B.A.</w:t>
            </w:r>
          </w:p>
        </w:tc>
      </w:tr>
      <w:tr>
        <w:trPr>
          <w:trHeight w:val="216"/>
        </w:trPr>
        <w:tc>
          <w:tcPr>
            <w:tcW w:w="4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371"/>
        </w:trPr>
        <w:tc>
          <w:tcPr>
            <w:tcW w:w="4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 Charles York II, certify that:</w:t>
      </w:r>
    </w:p>
    <w:p>
      <w:pPr>
        <w:spacing w:after="0" w:line="225"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Day One Biopharmaceuticals, Inc.;</w:t>
      </w:r>
    </w:p>
    <w:p>
      <w:pPr>
        <w:spacing w:after="0" w:line="184" w:lineRule="exact"/>
        <w:rPr>
          <w:rFonts w:ascii="Arial" w:cs="Arial" w:eastAsia="Arial" w:hAnsi="Arial"/>
          <w:sz w:val="18"/>
          <w:szCs w:val="18"/>
          <w:color w:val="auto"/>
        </w:rPr>
      </w:pPr>
    </w:p>
    <w:p>
      <w:pPr>
        <w:ind w:left="920" w:right="180" w:hanging="912"/>
        <w:spacing w:after="0" w:line="263" w:lineRule="auto"/>
        <w:tabs>
          <w:tab w:leader="none" w:pos="191"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920" w:right="540" w:hanging="912"/>
        <w:spacing w:after="0" w:line="342" w:lineRule="auto"/>
        <w:tabs>
          <w:tab w:leader="none" w:pos="191"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920" w:right="20" w:hanging="912"/>
        <w:spacing w:after="0" w:line="263" w:lineRule="auto"/>
        <w:tabs>
          <w:tab w:leader="none" w:pos="19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940" w:right="20" w:hanging="911"/>
        <w:spacing w:after="0" w:line="286" w:lineRule="auto"/>
        <w:tabs>
          <w:tab w:leader="none" w:pos="1201"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940" w:right="220" w:hanging="911"/>
        <w:spacing w:after="0" w:line="286" w:lineRule="auto"/>
        <w:tabs>
          <w:tab w:leader="none" w:pos="1211"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40" w:right="340" w:hanging="911"/>
        <w:spacing w:after="0" w:line="263" w:lineRule="auto"/>
        <w:tabs>
          <w:tab w:leader="none" w:pos="1201"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940" w:right="300" w:hanging="911"/>
        <w:spacing w:after="0" w:line="286" w:lineRule="auto"/>
        <w:tabs>
          <w:tab w:leader="none" w:pos="1211" w:val="left"/>
        </w:tabs>
        <w:numPr>
          <w:ilvl w:val="1"/>
          <w:numId w:val="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920" w:right="480" w:hanging="912"/>
        <w:spacing w:after="0" w:line="342" w:lineRule="auto"/>
        <w:tabs>
          <w:tab w:leader="none" w:pos="191"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940" w:right="180" w:hanging="911"/>
        <w:spacing w:after="0" w:line="342" w:lineRule="auto"/>
        <w:tabs>
          <w:tab w:leader="none" w:pos="1201"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940" w:right="240" w:hanging="911"/>
        <w:spacing w:after="0" w:line="277" w:lineRule="auto"/>
        <w:tabs>
          <w:tab w:leader="none" w:pos="1211"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March 6, 2023</w:t>
            </w:r>
          </w:p>
        </w:tc>
        <w:tc>
          <w:tcPr>
            <w:tcW w:w="130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Charles York II, M.B.A.</w:t>
            </w:r>
          </w:p>
        </w:tc>
      </w:tr>
      <w:tr>
        <w:trPr>
          <w:trHeight w:val="215"/>
        </w:trPr>
        <w:tc>
          <w:tcPr>
            <w:tcW w:w="4980" w:type="dxa"/>
            <w:vAlign w:val="bottom"/>
          </w:tcPr>
          <w:p>
            <w:pPr>
              <w:ind w:left="100"/>
              <w:spacing w:after="0"/>
              <w:rPr>
                <w:sz w:val="20"/>
                <w:szCs w:val="20"/>
                <w:color w:val="auto"/>
              </w:rPr>
            </w:pPr>
            <w:r>
              <w:rPr>
                <w:rFonts w:ascii="Arial" w:cs="Arial" w:eastAsia="Arial" w:hAnsi="Arial"/>
                <w:sz w:val="18"/>
                <w:szCs w:val="18"/>
                <w:color w:val="auto"/>
              </w:rPr>
              <w:t>Date</w:t>
            </w: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Charles York II, M.B.A..</w:t>
            </w:r>
          </w:p>
        </w:tc>
      </w:tr>
      <w:tr>
        <w:trPr>
          <w:trHeight w:val="216"/>
        </w:trPr>
        <w:tc>
          <w:tcPr>
            <w:tcW w:w="4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344"/>
        </w:trPr>
        <w:tc>
          <w:tcPr>
            <w:tcW w:w="4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 (a) and (b) of Section 1350, Chapter 63 of Title 18, United States Code)</w:t>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the undersigned officers of Day One Biopharmaceuticals, Inc., a Delaware corporation (the “Company”), do hereby certify that, to the best of our knowledge:</w:t>
      </w:r>
    </w:p>
    <w:p>
      <w:pPr>
        <w:spacing w:after="0" w:line="124" w:lineRule="exact"/>
        <w:rPr>
          <w:sz w:val="20"/>
          <w:szCs w:val="20"/>
          <w:color w:val="auto"/>
        </w:rPr>
      </w:pPr>
    </w:p>
    <w:p>
      <w:pPr>
        <w:ind w:left="760" w:right="900" w:hanging="378"/>
        <w:spacing w:after="0" w:line="277" w:lineRule="auto"/>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Annual Report on Form 10-K for the year ended December 31, 2022 (the “Form 10-K”) of the Company fully complies with the requirements of Section 13(a) or 15(d) of the Securities Act of 1934; and</w:t>
      </w:r>
    </w:p>
    <w:p>
      <w:pPr>
        <w:spacing w:after="0" w:line="170" w:lineRule="exact"/>
        <w:rPr>
          <w:rFonts w:ascii="Arial" w:cs="Arial" w:eastAsia="Arial" w:hAnsi="Arial"/>
          <w:sz w:val="18"/>
          <w:szCs w:val="18"/>
          <w:color w:val="auto"/>
        </w:rPr>
      </w:pPr>
    </w:p>
    <w:p>
      <w:pPr>
        <w:ind w:left="760" w:right="500" w:hanging="378"/>
        <w:spacing w:after="0" w:line="277" w:lineRule="auto"/>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March 6, 2023</w:t>
            </w:r>
          </w:p>
        </w:tc>
        <w:tc>
          <w:tcPr>
            <w:tcW w:w="130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Jeremy Bender, Ph.D., M.B.A.</w:t>
            </w:r>
          </w:p>
        </w:tc>
      </w:tr>
      <w:tr>
        <w:trPr>
          <w:trHeight w:val="215"/>
        </w:trPr>
        <w:tc>
          <w:tcPr>
            <w:tcW w:w="4980" w:type="dxa"/>
            <w:vAlign w:val="bottom"/>
          </w:tcPr>
          <w:p>
            <w:pPr>
              <w:ind w:left="100"/>
              <w:spacing w:after="0"/>
              <w:rPr>
                <w:sz w:val="20"/>
                <w:szCs w:val="20"/>
                <w:color w:val="auto"/>
              </w:rPr>
            </w:pPr>
            <w:r>
              <w:rPr>
                <w:rFonts w:ascii="Arial" w:cs="Arial" w:eastAsia="Arial" w:hAnsi="Arial"/>
                <w:sz w:val="18"/>
                <w:szCs w:val="18"/>
                <w:color w:val="auto"/>
              </w:rPr>
              <w:t>Date</w:t>
            </w: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Jeremy Bender, Ph.D., M.B.A.</w:t>
            </w:r>
          </w:p>
        </w:tc>
      </w:tr>
      <w:tr>
        <w:trPr>
          <w:trHeight w:val="216"/>
        </w:trPr>
        <w:tc>
          <w:tcPr>
            <w:tcW w:w="4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682"/>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March 6, 2023</w:t>
            </w:r>
          </w:p>
        </w:tc>
        <w:tc>
          <w:tcPr>
            <w:tcW w:w="1300" w:type="dxa"/>
            <w:vAlign w:val="bottom"/>
          </w:tcPr>
          <w:p>
            <w:pPr>
              <w:spacing w:after="0"/>
              <w:rPr>
                <w:sz w:val="24"/>
                <w:szCs w:val="2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Charles York II, M.B.A.</w:t>
            </w:r>
          </w:p>
        </w:tc>
      </w:tr>
      <w:tr>
        <w:trPr>
          <w:trHeight w:val="215"/>
        </w:trPr>
        <w:tc>
          <w:tcPr>
            <w:tcW w:w="4980" w:type="dxa"/>
            <w:vAlign w:val="bottom"/>
          </w:tcPr>
          <w:p>
            <w:pPr>
              <w:ind w:left="100"/>
              <w:spacing w:after="0"/>
              <w:rPr>
                <w:sz w:val="20"/>
                <w:szCs w:val="20"/>
                <w:color w:val="auto"/>
              </w:rPr>
            </w:pPr>
            <w:r>
              <w:rPr>
                <w:rFonts w:ascii="Arial" w:cs="Arial" w:eastAsia="Arial" w:hAnsi="Arial"/>
                <w:sz w:val="18"/>
                <w:szCs w:val="18"/>
                <w:color w:val="auto"/>
              </w:rPr>
              <w:t>Date</w:t>
            </w: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Charles York II, M.B.A..</w:t>
            </w:r>
          </w:p>
        </w:tc>
      </w:tr>
      <w:tr>
        <w:trPr>
          <w:trHeight w:val="216"/>
        </w:trPr>
        <w:tc>
          <w:tcPr>
            <w:tcW w:w="4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345"/>
        </w:trPr>
        <w:tc>
          <w:tcPr>
            <w:tcW w:w="4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png"/><Relationship Id="rId301" Type="http://schemas.openxmlformats.org/officeDocument/2006/relationships/image" Target="media/image279.png"/><Relationship Id="rId302" Type="http://schemas.openxmlformats.org/officeDocument/2006/relationships/image" Target="media/image280.png"/><Relationship Id="rId303" Type="http://schemas.openxmlformats.org/officeDocument/2006/relationships/image" Target="media/image281.png"/><Relationship Id="rId304" Type="http://schemas.openxmlformats.org/officeDocument/2006/relationships/image" Target="media/image282.png"/><Relationship Id="rId305"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08" Type="http://schemas.openxmlformats.org/officeDocument/2006/relationships/image" Target="media/image286.png"/><Relationship Id="rId309" Type="http://schemas.openxmlformats.org/officeDocument/2006/relationships/image" Target="media/image287.png"/><Relationship Id="rId310" Type="http://schemas.openxmlformats.org/officeDocument/2006/relationships/image" Target="media/image288.png"/><Relationship Id="rId311" Type="http://schemas.openxmlformats.org/officeDocument/2006/relationships/image" Target="media/image289.png"/><Relationship Id="rId312" Type="http://schemas.openxmlformats.org/officeDocument/2006/relationships/image" Target="media/image290.png"/><Relationship Id="rId313"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17"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321" Type="http://schemas.openxmlformats.org/officeDocument/2006/relationships/image" Target="media/image299.png"/><Relationship Id="rId322" Type="http://schemas.openxmlformats.org/officeDocument/2006/relationships/image" Target="media/image300.png"/><Relationship Id="rId323" Type="http://schemas.openxmlformats.org/officeDocument/2006/relationships/image" Target="media/image301.png"/><Relationship Id="rId324" Type="http://schemas.openxmlformats.org/officeDocument/2006/relationships/image" Target="media/image302.png"/><Relationship Id="rId325" Type="http://schemas.openxmlformats.org/officeDocument/2006/relationships/image" Target="media/image303.png"/><Relationship Id="rId326" Type="http://schemas.openxmlformats.org/officeDocument/2006/relationships/image" Target="media/image304.png"/><Relationship Id="rId327" Type="http://schemas.openxmlformats.org/officeDocument/2006/relationships/image" Target="media/image305.png"/><Relationship Id="rId328" Type="http://schemas.openxmlformats.org/officeDocument/2006/relationships/image" Target="media/image306.png"/><Relationship Id="rId329" Type="http://schemas.openxmlformats.org/officeDocument/2006/relationships/image" Target="media/image307.png"/><Relationship Id="rId330" Type="http://schemas.openxmlformats.org/officeDocument/2006/relationships/image" Target="media/image308.png"/><Relationship Id="rId331"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png"/><Relationship Id="rId334" Type="http://schemas.openxmlformats.org/officeDocument/2006/relationships/image" Target="media/image312.png"/><Relationship Id="rId335" Type="http://schemas.openxmlformats.org/officeDocument/2006/relationships/image" Target="media/image313.png"/><Relationship Id="rId336" Type="http://schemas.openxmlformats.org/officeDocument/2006/relationships/image" Target="media/image314.png"/><Relationship Id="rId337" Type="http://schemas.openxmlformats.org/officeDocument/2006/relationships/image" Target="media/image315.png"/><Relationship Id="rId338" Type="http://schemas.openxmlformats.org/officeDocument/2006/relationships/image" Target="media/image316.png"/><Relationship Id="rId339" Type="http://schemas.openxmlformats.org/officeDocument/2006/relationships/image" Target="media/image317.pn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53"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404" Type="http://schemas.openxmlformats.org/officeDocument/2006/relationships/image" Target="media/image382.png"/><Relationship Id="rId405" Type="http://schemas.openxmlformats.org/officeDocument/2006/relationships/image" Target="media/image383.png"/><Relationship Id="rId406" Type="http://schemas.openxmlformats.org/officeDocument/2006/relationships/image" Target="media/image384.png"/><Relationship Id="rId407" Type="http://schemas.openxmlformats.org/officeDocument/2006/relationships/image" Target="media/image385.png"/><Relationship Id="rId408" Type="http://schemas.openxmlformats.org/officeDocument/2006/relationships/image" Target="media/image386.png"/><Relationship Id="rId409" Type="http://schemas.openxmlformats.org/officeDocument/2006/relationships/image" Target="media/image387.png"/><Relationship Id="rId410" Type="http://schemas.openxmlformats.org/officeDocument/2006/relationships/image" Target="media/image388.png"/><Relationship Id="rId411" Type="http://schemas.openxmlformats.org/officeDocument/2006/relationships/image" Target="media/image389.png"/><Relationship Id="rId412" Type="http://schemas.openxmlformats.org/officeDocument/2006/relationships/image" Target="media/image390.png"/><Relationship Id="rId413" Type="http://schemas.openxmlformats.org/officeDocument/2006/relationships/image" Target="media/image391.png"/><Relationship Id="rId414" Type="http://schemas.openxmlformats.org/officeDocument/2006/relationships/image" Target="media/image392.png"/><Relationship Id="rId415" Type="http://schemas.openxmlformats.org/officeDocument/2006/relationships/image" Target="media/image393.png"/><Relationship Id="rId416" Type="http://schemas.openxmlformats.org/officeDocument/2006/relationships/image" Target="media/image394.png"/><Relationship Id="rId417" Type="http://schemas.openxmlformats.org/officeDocument/2006/relationships/image" Target="media/image395.png"/><Relationship Id="rId418" Type="http://schemas.openxmlformats.org/officeDocument/2006/relationships/image" Target="media/image396.png"/><Relationship Id="rId419" Type="http://schemas.openxmlformats.org/officeDocument/2006/relationships/image" Target="media/image397.png"/><Relationship Id="rId420" Type="http://schemas.openxmlformats.org/officeDocument/2006/relationships/image" Target="media/image398.png"/><Relationship Id="rId421" Type="http://schemas.openxmlformats.org/officeDocument/2006/relationships/image" Target="media/image399.png"/><Relationship Id="rId422" Type="http://schemas.openxmlformats.org/officeDocument/2006/relationships/image" Target="media/image400.png"/><Relationship Id="rId423" Type="http://schemas.openxmlformats.org/officeDocument/2006/relationships/image" Target="media/image401.png"/><Relationship Id="rId424"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7" Type="http://schemas.openxmlformats.org/officeDocument/2006/relationships/image" Target="media/image405.png"/><Relationship Id="rId428" Type="http://schemas.openxmlformats.org/officeDocument/2006/relationships/image" Target="media/image406.png"/><Relationship Id="rId183" Type="http://schemas.openxmlformats.org/officeDocument/2006/relationships/hyperlink" Target="https://www.sec.gov/Archives/edgar/data/1845337/000119312521242039/d180355dex31.htm" TargetMode="External"/><Relationship Id="rId184" Type="http://schemas.openxmlformats.org/officeDocument/2006/relationships/hyperlink" Target="https://www.sec.gov/Archives/edgar/data/1845337/000119312523046522/d467705dex31.htm" TargetMode="External"/><Relationship Id="rId185" Type="http://schemas.openxmlformats.org/officeDocument/2006/relationships/hyperlink" Target="https://www.sec.gov/Archives/edgar/data/1845337/000095017022002959/dawn-ex3_3.htm" TargetMode="External"/><Relationship Id="rId186" Type="http://schemas.openxmlformats.org/officeDocument/2006/relationships/hyperlink" Target="https://www.sec.gov/Archives/edgar/data/1845337/000119312521169895/d155073dex41.htm" TargetMode="External"/><Relationship Id="rId187" Type="http://schemas.openxmlformats.org/officeDocument/2006/relationships/hyperlink" Target="https://www.sec.gov/Archives/edgar/data/1845337/000119312521150017/d155073dex42.htm" TargetMode="External"/><Relationship Id="rId188" Type="http://schemas.openxmlformats.org/officeDocument/2006/relationships/hyperlink" Target="https://www.sec.gov/Archives/edgar/data/1845337/000095017022002959/dawn-ex4_3.htm" TargetMode="External"/><Relationship Id="rId189" Type="http://schemas.openxmlformats.org/officeDocument/2006/relationships/hyperlink" Target="https://www.sec.gov/Archives/edgar/data/1845337/000119312521150017/d155073dex101.htm" TargetMode="External"/><Relationship Id="rId190" Type="http://schemas.openxmlformats.org/officeDocument/2006/relationships/hyperlink" Target="https://www.sec.gov/Archives/edgar/data/1845337/000095017022002959/dawn-ex10_2.htm" TargetMode="External"/><Relationship Id="rId191" Type="http://schemas.openxmlformats.org/officeDocument/2006/relationships/hyperlink" Target="https://www.sec.gov/Archives/edgar/data/1845337/000119312521150017/d155073dex102.htm" TargetMode="External"/><Relationship Id="rId192" Type="http://schemas.openxmlformats.org/officeDocument/2006/relationships/hyperlink" Target="https://www.sec.gov/Archives/edgar/data/1845337/000119312521150017/d155073dex103.htm" TargetMode="External"/><Relationship Id="rId195" Type="http://schemas.openxmlformats.org/officeDocument/2006/relationships/hyperlink" Target="https://www.sec.gov/Archives/edgar/data/1845337/000095017022014859/dawn-ex10_1.htm" TargetMode="External"/><Relationship Id="rId196" Type="http://schemas.openxmlformats.org/officeDocument/2006/relationships/hyperlink" Target="https://www.sec.gov/Archives/edgar/data/1845337/000119312521150017/d155073dex105.htm" TargetMode="External"/><Relationship Id="rId197" Type="http://schemas.openxmlformats.org/officeDocument/2006/relationships/hyperlink" Target="https://www.sec.gov/Archives/edgar/data/1845337/000119312521150017/d155073dex106.htm" TargetMode="External"/><Relationship Id="rId198" Type="http://schemas.openxmlformats.org/officeDocument/2006/relationships/hyperlink" Target="https://www.sec.gov/Archives/edgar/data/1845337/000119312521150017/d155073dex107.htm" TargetMode="External"/><Relationship Id="rId199" Type="http://schemas.openxmlformats.org/officeDocument/2006/relationships/hyperlink" Target="https://www.sec.gov/Archives/edgar/data/1845337/000119312521150017/d155073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2023-03-06T18:04:00Z</dcterms:created>
  <dcterms:modified xsi:type="dcterms:W3CDTF">2023-03-06T18:04:00Z</dcterms:modified>
</cp:coreProperties>
</file>