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871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19185"/>
                    </a:xfrm>
                    <a:prstGeom prst="rect">
                      <a:avLst/>
                    </a:prstGeom>
                    <a:noFill/>
                  </pic:spPr>
                </pic:pic>
              </a:graphicData>
            </a:graphic>
          </wp:anchor>
        </w:drawing>
      </w:r>
    </w:p>
    <w:p>
      <w:pPr>
        <w:spacing w:after="0" w:line="1156"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AI Day1 LLC</w:t>
              </w:r>
            </w:hyperlink>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4"/>
          </w:tcPr>
          <w:p>
            <w:pPr>
              <w:ind w:left="60"/>
              <w:spacing w:after="0" w:line="17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Day One Biopharmaceuticals,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DAWN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20"/>
                <w:szCs w:val="20"/>
                <w:color w:val="000000"/>
                <w:vertAlign w:val="superscript"/>
              </w:rPr>
              <w:t>(Check all applicable)</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4"/>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C/O ACCESS INDUSTRIES, INC.</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gridSpan w:val="7"/>
          </w:tcPr>
          <w:p>
            <w:pPr>
              <w:ind w:left="340"/>
              <w:spacing w:after="0"/>
              <w:rPr>
                <w:sz w:val="20"/>
                <w:szCs w:val="20"/>
                <w:color w:val="auto"/>
              </w:rPr>
            </w:pPr>
            <w:r>
              <w:rPr>
                <w:rFonts w:ascii="Times New Roman" w:cs="Times New Roman" w:eastAsia="Times New Roman" w:hAnsi="Times New Roman"/>
                <w:sz w:val="16"/>
                <w:szCs w:val="16"/>
                <w:color w:val="0000FF"/>
              </w:rPr>
              <w:t>04/23/2026</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8"/>
            <w:vMerge w:val="restart"/>
          </w:tcPr>
          <w:p>
            <w:pPr>
              <w:ind w:left="20"/>
              <w:spacing w:after="0"/>
              <w:rPr>
                <w:sz w:val="20"/>
                <w:szCs w:val="20"/>
                <w:color w:val="auto"/>
              </w:rPr>
            </w:pPr>
            <w:r>
              <w:rPr>
                <w:rFonts w:ascii="Times New Roman" w:cs="Times New Roman" w:eastAsia="Times New Roman" w:hAnsi="Times New Roman"/>
                <w:sz w:val="16"/>
                <w:szCs w:val="16"/>
                <w:color w:val="0000FF"/>
              </w:rPr>
              <w:t>40 WEST 57TH STREET, 28TH FLOOR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8"/>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6"/>
                <w:szCs w:val="16"/>
                <w:color w:val="0000FF"/>
              </w:rPr>
              <w:t>NY</w:t>
            </w:r>
          </w:p>
        </w:tc>
        <w:tc>
          <w:tcPr>
            <w:tcW w:w="1040" w:type="dxa"/>
            <w:vAlign w:val="bottom"/>
            <w:gridSpan w:val="2"/>
          </w:tcPr>
          <w:p>
            <w:pPr>
              <w:ind w:left="40"/>
              <w:spacing w:after="0" w:line="177" w:lineRule="exact"/>
              <w:rPr>
                <w:sz w:val="20"/>
                <w:szCs w:val="20"/>
                <w:color w:val="auto"/>
              </w:rPr>
            </w:pPr>
            <w:r>
              <w:rPr>
                <w:rFonts w:ascii="Times New Roman" w:cs="Times New Roman" w:eastAsia="Times New Roman" w:hAnsi="Times New Roman"/>
                <w:sz w:val="16"/>
                <w:szCs w:val="16"/>
                <w:color w:val="0000FF"/>
              </w:rPr>
              <w:t>10019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8"/>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4"/>
                <w:szCs w:val="14"/>
                <w:color w:val="auto"/>
              </w:rPr>
            </w:pPr>
          </w:p>
        </w:tc>
        <w:tc>
          <w:tcPr>
            <w:tcW w:w="1540" w:type="dxa"/>
            <w:vAlign w:val="bottom"/>
            <w:gridSpan w:val="5"/>
          </w:tcPr>
          <w:p>
            <w:pPr>
              <w:ind w:left="4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ind w:left="48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5"/>
          </w:tcPr>
          <w:p>
            <w:pPr>
              <w:ind w:left="4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ind w:left="800"/>
              <w:spacing w:after="0"/>
              <w:rPr>
                <w:sz w:val="20"/>
                <w:szCs w:val="20"/>
                <w:color w:val="auto"/>
              </w:rPr>
            </w:pPr>
            <w:r>
              <w:rPr>
                <w:rFonts w:ascii="Times New Roman" w:cs="Times New Roman" w:eastAsia="Times New Roman" w:hAnsi="Times New Roman"/>
                <w:sz w:val="16"/>
                <w:szCs w:val="16"/>
                <w:color w:val="0000FF"/>
              </w:rPr>
              <w:t>04/23/2026</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0"/>
                <w:szCs w:val="10"/>
                <w:color w:val="008000"/>
              </w:rPr>
              <w:t>(1)</w:t>
            </w:r>
          </w:p>
        </w:tc>
        <w:tc>
          <w:tcPr>
            <w:tcW w:w="138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6"/>
                <w:szCs w:val="16"/>
                <w:color w:val="0000FF"/>
              </w:rPr>
              <w:t>12,929,322</w:t>
            </w:r>
            <w:r>
              <w:rPr>
                <w:rFonts w:ascii="Times New Roman" w:cs="Times New Roman" w:eastAsia="Times New Roman" w:hAnsi="Times New Roman"/>
                <w:sz w:val="20"/>
                <w:szCs w:val="20"/>
                <w:color w:val="008000"/>
                <w:vertAlign w:val="superscript"/>
              </w:rPr>
              <w:t>(1)</w:t>
            </w:r>
            <w:r>
              <w:rPr>
                <w:rFonts w:ascii="Times New Roman" w:cs="Times New Roman" w:eastAsia="Times New Roman" w:hAnsi="Times New Roman"/>
                <w:sz w:val="16"/>
                <w:szCs w:val="16"/>
                <w:color w:val="0000FF"/>
              </w:rPr>
              <w:t xml:space="preserve">     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21.5</w:t>
            </w:r>
          </w:p>
        </w:tc>
        <w:tc>
          <w:tcPr>
            <w:tcW w:w="7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03"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00" w:type="dxa"/>
            <w:vAlign w:val="bottom"/>
            <w:gridSpan w:val="14"/>
          </w:tcPr>
          <w:p>
            <w:pPr>
              <w:ind w:left="5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148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4"/>
            <w:vMerge w:val="restart"/>
          </w:tcPr>
          <w:p>
            <w:pPr>
              <w:ind w:left="100"/>
              <w:spacing w:after="0" w:line="277"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(1)</w:t>
            </w:r>
          </w:p>
        </w:tc>
        <w:tc>
          <w:tcPr>
            <w:tcW w:w="10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3"/>
                <w:szCs w:val="13"/>
                <w:color w:val="0000FF"/>
                <w:w w:val="93"/>
              </w:rPr>
              <w:t>827,586</w:t>
            </w:r>
            <w:r>
              <w:rPr>
                <w:rFonts w:ascii="Times New Roman" w:cs="Times New Roman" w:eastAsia="Times New Roman" w:hAnsi="Times New Roman"/>
                <w:sz w:val="20"/>
                <w:szCs w:val="20"/>
                <w:color w:val="008000"/>
                <w:w w:val="93"/>
                <w:vertAlign w:val="superscript"/>
              </w:rPr>
              <w:t>(1)</w:t>
            </w: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(3)</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8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827,586</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ind w:left="280"/>
              <w:spacing w:after="0" w:line="277"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Warrant</w:t>
            </w:r>
          </w:p>
        </w:tc>
        <w:tc>
          <w:tcPr>
            <w:tcW w:w="64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0.0001</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04/23/2026</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21.4999</w:t>
            </w:r>
          </w:p>
        </w:tc>
        <w:tc>
          <w:tcPr>
            <w:tcW w:w="56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5"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AI Day1 LLC</w:t>
              </w:r>
            </w:hyperlink>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ACCESS INDUSTRIES, INC.</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40 WEST 57TH STREET, 28TH FLOOR</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10019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28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Access Industries Holdings LLC</w:t>
              </w:r>
            </w:hyperlink>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C/O ACCESS INDUSTRIES, INC.</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40 WEST 57TH STREET, 28TH FLOOR</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10019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-5226050</wp:posOffset>
            </wp:positionV>
            <wp:extent cx="28575" cy="190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90436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ACCESS INDUSTRIES MANAGEMENT, LLC</w:t>
        </w:r>
      </w:hyperlink>
    </w:p>
    <w:p>
      <w:pPr>
        <w:sectPr>
          <w:pgSz w:w="11900" w:h="16838" w:orient="portrait"/>
          <w:cols w:equalWidth="0" w:num="1">
            <w:col w:w="11080"/>
          </w:cols>
          <w:pgMar w:left="460" w:top="215" w:right="359" w:bottom="0" w:gutter="0" w:footer="0" w:header="0"/>
          <w:type w:val="continuous"/>
        </w:sectPr>
      </w:pPr>
    </w:p>
    <w:p>
      <w:pPr>
        <w:spacing w:after="0" w:line="289" w:lineRule="exact"/>
        <w:rPr>
          <w:sz w:val="20"/>
          <w:szCs w:val="20"/>
          <w:color w:val="auto"/>
        </w:rPr>
      </w:pPr>
    </w:p>
    <w:p>
      <w:pPr>
        <w:ind w:left="120"/>
        <w:spacing w:after="0"/>
        <w:tabs>
          <w:tab w:leader="none" w:pos="150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t>C/O ACCESS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-107950</wp:posOffset>
            </wp:positionV>
            <wp:extent cx="2807335" cy="2747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7335" cy="2747010"/>
                    </a:xfrm>
                    <a:prstGeom prst="rect">
                      <a:avLst/>
                    </a:prstGeom>
                    <a:noFill/>
                  </pic:spPr>
                </pic:pic>
              </a:graphicData>
            </a:graphic>
          </wp:anchor>
        </w:drawing>
      </w: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40 WEST 57TH STREET, 28TH FLOOR</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1280" w:type="dxa"/>
            <w:vAlign w:val="bottom"/>
            <w:gridSpan w:val="3"/>
          </w:tcPr>
          <w:p>
            <w:pPr>
              <w:ind w:left="20"/>
              <w:spacing w:after="0" w:line="214"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Blavatnik Len</w:t>
              </w:r>
            </w:hyperlink>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ACCESS INDUSTRIES, INC.</w:t>
            </w: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 w:type="dxa"/>
            <w:vAlign w:val="bottom"/>
          </w:tcPr>
          <w:p>
            <w:pPr>
              <w:spacing w:after="0"/>
              <w:rPr>
                <w:sz w:val="21"/>
                <w:szCs w:val="21"/>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40 WEST 57TH STREET, 28TH FLOOR</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4"/>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50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NY</w:t>
            </w: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right="16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9, 2026, AI Day1 tendered all of its shares of Common Stock pursuant to the tender offer by Servier Detroit Inc. ("Purchaser") to purchase all of the issued and outstanding shares of Common Stock for $21.50 per share in cash, upon the terms and subject to the conditions described in the Offer to Purchase and related Letter of Transmittal filed with the SEC on Schedule TO on March 26, 2026. Such shares were accepted by the Purchaser on April 23, 2026. On April 23, 2026, in connection with the consummation of the merger, each pre-funded warrant held by AI Day1 to purchase Common Stock was converted into the right to receive $21.4999 per warrant in cash.</w:t>
      </w:r>
    </w:p>
    <w:p>
      <w:pPr>
        <w:spacing w:after="0" w:line="26" w:lineRule="exact"/>
        <w:rPr>
          <w:rFonts w:ascii="Times New Roman" w:cs="Times New Roman" w:eastAsia="Times New Roman" w:hAnsi="Times New Roman"/>
          <w:sz w:val="13"/>
          <w:szCs w:val="13"/>
          <w:color w:val="008000"/>
        </w:rPr>
      </w:pPr>
    </w:p>
    <w:p>
      <w:pPr>
        <w:jc w:val="both"/>
        <w:ind w:left="2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are held directly by AI Day1 LLC ("AI Day1") and may be deemed to be beneficially owned by Access Industries Holdings LLC ("AIH"), Access Industries Management, LLC ("AIM") and Len Blavatnik because (i) Mr. Blavatnik controls AIM and AIH, (ii) AIM controls AIH, and (iii) AIH owns all of the voting units of AI Day1. Each of AIH, AIM and Mr. Blavatnik, and each of their affiliated entities and the officers, partners, members and managers thereof,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pacing w:after="0" w:line="26" w:lineRule="exact"/>
        <w:rPr>
          <w:rFonts w:ascii="Times New Roman" w:cs="Times New Roman" w:eastAsia="Times New Roman" w:hAnsi="Times New Roman"/>
          <w:sz w:val="13"/>
          <w:szCs w:val="13"/>
          <w:color w:val="008000"/>
        </w:rPr>
      </w:pPr>
    </w:p>
    <w:p>
      <w:pPr>
        <w:ind w:left="20" w:right="20" w:hanging="2"/>
        <w:spacing w:after="0" w:line="230"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pre-funded warrant is exercisable at any time after the date of issuance and the pre-funded warrants do not expire. The pre-funded warrants are not exercisable to the extent that the aggregate number of shares of Common Stock beneficially owned by AI Day1 LLC, including together with its direct or indirect affiliates, any person acting or who could be deemed to be acting as a group together with the holder, and any other persons whose beneficial ownership of the Common Stock would or could be aggregated with the holder's for the purposes of Section 13(d) or Section 16 of the Exchange Act of 1934, as amended, immediately following such exercise would exceed 9.99%; provided, however, that AI Day1 LLC may increase or decrease the beneficial ownership limitation by giving 61 days' notice to the Issuer, but not to exceed any percentage in excess of 19.99%.</w:t>
      </w:r>
    </w:p>
    <w:p>
      <w:pPr>
        <w:sectPr>
          <w:pgSz w:w="11900" w:h="16838" w:orient="portrait"/>
          <w:cols w:equalWidth="0" w:num="1">
            <w:col w:w="10900"/>
          </w:cols>
          <w:pgMar w:left="480" w:top="127" w:right="519" w:bottom="1440" w:gutter="0" w:footer="0" w:header="0"/>
        </w:sectPr>
      </w:pPr>
    </w:p>
    <w:p>
      <w:pPr>
        <w:spacing w:after="0" w:line="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Alejandro Moreno for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177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Day1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4470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Alejandro Moreno for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62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Industries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39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Alejandro Moreno for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62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Industries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2268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033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18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403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03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8720" w:space="60"/>
            <w:col w:w="2120"/>
          </w:cols>
          <w:pgMar w:left="480" w:top="127" w:right="51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2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3" Type="http://schemas.openxmlformats.org/officeDocument/2006/relationships/hyperlink" Target="http://www.sec.gov/cgi-bin/browse-edgar?action=getcompany&amp;CIK=0001863302" TargetMode="External"/><Relationship Id="rId14" Type="http://schemas.openxmlformats.org/officeDocument/2006/relationships/hyperlink" Target="http://www.sec.gov/cgi-bin/browse-edgar?action=getcompany&amp;CIK=0001845337" TargetMode="External"/><Relationship Id="rId15" Type="http://schemas.openxmlformats.org/officeDocument/2006/relationships/hyperlink" Target="http://www.sec.gov/cgi-bin/browse-edgar?action=getcompany&amp;CIK=0001391297" TargetMode="External"/><Relationship Id="rId17" Type="http://schemas.openxmlformats.org/officeDocument/2006/relationships/hyperlink" Target="http://www.sec.gov/cgi-bin/browse-edgar?action=getcompany&amp;CIK=0001508226" TargetMode="External"/><Relationship Id="rId19"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2026-04-27T17:13:20Z</dcterms:created>
  <dcterms:modified xsi:type="dcterms:W3CDTF">2026-04-27T17:13:20Z</dcterms:modified>
</cp:coreProperties>
</file>