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l</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480" w:right="740" w:hanging="459"/>
        <w:spacing w:after="0" w:line="242" w:lineRule="auto"/>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DAY ONE BIOPHARMACEUTICALS, INC.</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33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980" w:type="dxa"/>
            <w:vAlign w:val="bottom"/>
            <w:vMerge w:val="restart"/>
          </w:tcPr>
          <w:p>
            <w:pPr>
              <w:jc w:val="center"/>
              <w:ind w:left="15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3920" w:type="dxa"/>
            <w:vAlign w:val="bottom"/>
            <w:vMerge w:val="restart"/>
          </w:tcPr>
          <w:p>
            <w:pPr>
              <w:jc w:val="right"/>
              <w:ind w:right="2395"/>
              <w:spacing w:after="0"/>
              <w:rPr>
                <w:sz w:val="20"/>
                <w:szCs w:val="20"/>
                <w:color w:val="auto"/>
              </w:rPr>
            </w:pPr>
            <w:r>
              <w:rPr>
                <w:rFonts w:ascii="Times New Roman" w:cs="Times New Roman" w:eastAsia="Times New Roman" w:hAnsi="Times New Roman"/>
                <w:sz w:val="14"/>
                <w:szCs w:val="14"/>
                <w:b w:val="1"/>
                <w:bCs w:val="1"/>
                <w:color w:val="auto"/>
              </w:rPr>
              <w:t>83-2415215</w:t>
            </w:r>
          </w:p>
        </w:tc>
        <w:tc>
          <w:tcPr>
            <w:tcW w:w="0" w:type="dxa"/>
            <w:vAlign w:val="bottom"/>
          </w:tcPr>
          <w:p>
            <w:pPr>
              <w:spacing w:after="0"/>
              <w:rPr>
                <w:sz w:val="1"/>
                <w:szCs w:val="1"/>
                <w:color w:val="auto"/>
              </w:rPr>
            </w:pPr>
          </w:p>
        </w:tc>
      </w:tr>
      <w:tr>
        <w:trPr>
          <w:trHeight w:val="194"/>
        </w:trPr>
        <w:tc>
          <w:tcPr>
            <w:tcW w:w="3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80" w:type="dxa"/>
            <w:vAlign w:val="bottom"/>
          </w:tcPr>
          <w:p>
            <w:pPr>
              <w:jc w:val="center"/>
              <w:ind w:left="1573"/>
              <w:spacing w:after="0" w:line="124"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920" w:type="dxa"/>
            <w:vAlign w:val="bottom"/>
          </w:tcPr>
          <w:p>
            <w:pPr>
              <w:jc w:val="center"/>
              <w:ind w:right="1635"/>
              <w:spacing w:after="0" w:line="124"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24"/>
        </w:trPr>
        <w:tc>
          <w:tcPr>
            <w:tcW w:w="3980" w:type="dxa"/>
            <w:vAlign w:val="bottom"/>
          </w:tcPr>
          <w:p>
            <w:pPr>
              <w:jc w:val="center"/>
              <w:ind w:left="1573"/>
              <w:spacing w:after="0" w:line="124" w:lineRule="exact"/>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920" w:type="dxa"/>
            <w:vAlign w:val="bottom"/>
          </w:tcPr>
          <w:p>
            <w:pPr>
              <w:jc w:val="center"/>
              <w:ind w:right="1655"/>
              <w:spacing w:after="0" w:line="124" w:lineRule="exact"/>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73"/>
              <w:spacing w:after="0" w:line="149" w:lineRule="exact"/>
              <w:rPr>
                <w:sz w:val="20"/>
                <w:szCs w:val="20"/>
                <w:color w:val="auto"/>
              </w:rPr>
            </w:pPr>
            <w:r>
              <w:rPr>
                <w:rFonts w:ascii="Times New Roman" w:cs="Times New Roman" w:eastAsia="Times New Roman" w:hAnsi="Times New Roman"/>
                <w:sz w:val="14"/>
                <w:szCs w:val="14"/>
                <w:b w:val="1"/>
                <w:bCs w:val="1"/>
                <w:color w:val="auto"/>
              </w:rPr>
              <w:t>1800 Sierra Point Parkway, Suite 200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vMerge w:val="restart"/>
          </w:tcPr>
          <w:p>
            <w:pPr>
              <w:jc w:val="right"/>
              <w:ind w:right="2575"/>
              <w:spacing w:after="0"/>
              <w:rPr>
                <w:sz w:val="20"/>
                <w:szCs w:val="20"/>
                <w:color w:val="auto"/>
              </w:rPr>
            </w:pPr>
            <w:r>
              <w:rPr>
                <w:rFonts w:ascii="Times New Roman" w:cs="Times New Roman" w:eastAsia="Times New Roman" w:hAnsi="Times New Roman"/>
                <w:sz w:val="14"/>
                <w:szCs w:val="14"/>
                <w:b w:val="1"/>
                <w:bCs w:val="1"/>
                <w:color w:val="auto"/>
              </w:rPr>
              <w:t>94005</w:t>
            </w:r>
          </w:p>
        </w:tc>
        <w:tc>
          <w:tcPr>
            <w:tcW w:w="0" w:type="dxa"/>
            <w:vAlign w:val="bottom"/>
          </w:tcPr>
          <w:p>
            <w:pPr>
              <w:spacing w:after="0"/>
              <w:rPr>
                <w:sz w:val="1"/>
                <w:szCs w:val="1"/>
                <w:color w:val="auto"/>
              </w:rPr>
            </w:pPr>
          </w:p>
        </w:tc>
      </w:tr>
      <w:tr>
        <w:trPr>
          <w:trHeight w:val="157"/>
        </w:trPr>
        <w:tc>
          <w:tcPr>
            <w:tcW w:w="3980" w:type="dxa"/>
            <w:vAlign w:val="bottom"/>
          </w:tcPr>
          <w:p>
            <w:pPr>
              <w:jc w:val="center"/>
              <w:ind w:left="1573"/>
              <w:spacing w:after="0" w:line="157" w:lineRule="exact"/>
              <w:rPr>
                <w:sz w:val="20"/>
                <w:szCs w:val="20"/>
                <w:color w:val="auto"/>
              </w:rPr>
            </w:pPr>
            <w:r>
              <w:rPr>
                <w:rFonts w:ascii="Times New Roman" w:cs="Times New Roman" w:eastAsia="Times New Roman" w:hAnsi="Times New Roman"/>
                <w:sz w:val="14"/>
                <w:szCs w:val="14"/>
                <w:b w:val="1"/>
                <w:bCs w:val="1"/>
                <w:color w:val="auto"/>
              </w:rPr>
              <w:t>Brisbane, CA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80" w:type="dxa"/>
            <w:vAlign w:val="bottom"/>
          </w:tcPr>
          <w:p>
            <w:pPr>
              <w:jc w:val="center"/>
              <w:ind w:left="1573"/>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34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jc w:val="center"/>
              <w:ind w:right="1635"/>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3340" w:type="dxa"/>
            <w:vAlign w:val="bottom"/>
            <w:gridSpan w:val="7"/>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100" w:type="dxa"/>
            <w:vAlign w:val="bottom"/>
            <w:gridSpan w:val="4"/>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(650) 484-0899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80" w:type="dxa"/>
            <w:vAlign w:val="bottom"/>
            <w:vMerge w:val="restart"/>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5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80" w:type="dxa"/>
            <w:vAlign w:val="bottom"/>
            <w:tcBorders>
              <w:top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DAWN</w:t>
            </w:r>
          </w:p>
        </w:tc>
        <w:tc>
          <w:tcPr>
            <w:tcW w:w="120" w:type="dxa"/>
            <w:vAlign w:val="bottom"/>
          </w:tcPr>
          <w:p>
            <w:pPr>
              <w:spacing w:after="0"/>
              <w:rPr>
                <w:sz w:val="14"/>
                <w:szCs w:val="14"/>
                <w:color w:val="auto"/>
              </w:rPr>
            </w:pPr>
          </w:p>
        </w:tc>
        <w:tc>
          <w:tcPr>
            <w:tcW w:w="1120" w:type="dxa"/>
            <w:vAlign w:val="bottom"/>
            <w:tcBorders>
              <w:top w:val="single" w:sz="8" w:color="auto"/>
            </w:tcBorders>
            <w:gridSpan w:val="2"/>
          </w:tcPr>
          <w:p>
            <w:pPr>
              <w:spacing w:after="0"/>
              <w:rPr>
                <w:sz w:val="14"/>
                <w:szCs w:val="14"/>
                <w:color w:val="auto"/>
              </w:rPr>
            </w:pPr>
          </w:p>
        </w:tc>
        <w:tc>
          <w:tcPr>
            <w:tcW w:w="3920" w:type="dxa"/>
            <w:vAlign w:val="bottom"/>
            <w:tcBorders>
              <w:top w:val="single" w:sz="8" w:color="auto"/>
            </w:tcBorders>
          </w:tcPr>
          <w:p>
            <w:pPr>
              <w:jc w:val="center"/>
              <w:ind w:right="1055"/>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32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9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0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based on the closing price of the shares of common stock on June 30, 2025, was approximately $567.0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19, 2026 was 103,297,691.</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Shareholders are incorporated by reference into Part III of this Annual Report on Form 10-K to the extent stated herein. The Definitive Proxy Statement will be filed within 120 days of the Registrant’s fiscal year ended December 31, 2024.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our future results of operations and financial position, business strategy, market size, potential growth opportunities, the potential benefits and therapeutic scope of our acquisitions and collaborations, including our acquisition of Mersana Therapeutics, Inc. and its lead product candidate, emiltatug ledadotin (XMT-1660), or Emi-Le, nonclinical and clinical development activities, efficacy and safety profile of OJEMDA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(tovorafenib) and our product candidates, potential therapeutic benefits and economic value of OJEMDA and our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fluctuating interest rates, supply chain disruptions, labor shortages, labor displacement, high unemployment rates, government shutdowns, significant political or regulatory developments or changes in tax or trade policy, the imposition of trade barriers, tariffs and other protectionist measures, shifting priorities within the U.S. Food and Drug Administration and reduced funding to federal healthcare programs, significant political, trade or regulatory developments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w:t>
      </w:r>
    </w:p>
    <w:p>
      <w:pPr>
        <w:spacing w:after="0" w:line="18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on Form 10-K, the terms “Day One,” “the Company,” “we,” “us,” and “our” refer to Day One Biopharmaceuticals, Inc., a Delaware corporation, and its consolidated subsidiaries taken as a whole, unless otherwise noted. “Day One” and all product and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4"/>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8"/>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3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62"/>
        <w:spacing w:after="0" w:line="282" w:lineRule="auto"/>
        <w:rPr>
          <w:sz w:val="20"/>
          <w:szCs w:val="20"/>
          <w:color w:val="auto"/>
        </w:rPr>
      </w:pPr>
      <w:r>
        <w:rPr>
          <w:rFonts w:ascii="Times New Roman" w:cs="Times New Roman" w:eastAsia="Times New Roman" w:hAnsi="Times New Roman"/>
          <w:sz w:val="18"/>
          <w:szCs w:val="18"/>
          <w:color w:val="auto"/>
        </w:rPr>
        <w:t>Day One Biopharmaceuticals, Inc., or the Company or Day One, is a biopharmaceutical company dedicated to developing and commercializing targeted therapies for people of all ages with life-threatening diseases.</w:t>
      </w:r>
    </w:p>
    <w:p>
      <w:pPr>
        <w:spacing w:after="0" w:line="54"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 or first-in-class programs with the goal of introducing new medicines that will make a real difference in the treatment of children and adults.</w:t>
      </w:r>
    </w:p>
    <w:p>
      <w:pPr>
        <w:spacing w:after="0" w:line="68"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in July 2021 to tovorafenib for treatment of low-grade gliomas, or LGGs, harboring an activating RAF alteration.</w:t>
      </w:r>
    </w:p>
    <w:p>
      <w:pPr>
        <w:spacing w:after="0" w:line="84" w:lineRule="exact"/>
        <w:rPr>
          <w:sz w:val="20"/>
          <w:szCs w:val="20"/>
          <w:color w:val="auto"/>
        </w:rPr>
      </w:pPr>
    </w:p>
    <w:p>
      <w:pPr>
        <w:ind w:right="200" w:firstLine="562"/>
        <w:spacing w:after="0" w:line="256" w:lineRule="auto"/>
        <w:rPr>
          <w:sz w:val="20"/>
          <w:szCs w:val="20"/>
          <w:color w:val="auto"/>
        </w:rPr>
      </w:pPr>
      <w:r>
        <w:rPr>
          <w:rFonts w:ascii="Times New Roman" w:cs="Times New Roman" w:eastAsia="Times New Roman" w:hAnsi="Times New Roman"/>
          <w:sz w:val="18"/>
          <w:szCs w:val="18"/>
          <w:color w:val="auto"/>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a regulatory endpoint of overall response rate and the totality of the Company’s pivotal open-label Phase 2 trial, or FIREFLY-1, data, including duration of response. With the approval, we received, and subsequently sold,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accelerated approval of OJEMDA is based on data from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with relapsed or refractory pLGG showed the following (June 5, 2023 data cutoff):</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ORR of ~51%, which included partial responses in 37% of patients and minor responses in 14% of patients.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64 patients with BRAF fusions or rearrangements, the ORR was 52%, and among those with a BRAF V600 mutation, the ORR was 50%.</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was 49% in the 46 patients who had previously been treated with MAPK-targeted therapy and 55% in the 31 patients who had not received prior MAPK-targeted treatment.</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safety of OJEMDA was evaluated in 137 patients with relapsed or refractory pLGG, with the majority of adverse events being Grade 1 or Grade 2. The most common side effects were rash, hair color changes, tiredness,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viral infection, vomiting, headache, fever, decrease in growth velocity, dry skin, constipation, nausea, acne and upper respiratory tract infection.</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Follow up data from FIREFLY-1 confirmed the original data that supported OJEMDA's approval by the US FDA. In Arm 1, data from the 76 RAPNO LGG evaluable patients with relapsed or refractory pLGG showed the following (May 10, 2024 data cutoff to support the ongoing evaluation of OJEMDA):</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ORR of ~53%, which included partial responses in 38% of patients and minor responses in 15% of patients.</w:t>
      </w:r>
    </w:p>
    <w:p>
      <w:pPr>
        <w:spacing w:after="0" w:line="117" w:lineRule="exact"/>
        <w:rPr>
          <w:rFonts w:ascii="Times New Roman" w:cs="Times New Roman" w:eastAsia="Times New Roman" w:hAnsi="Times New Roman"/>
          <w:sz w:val="18"/>
          <w:szCs w:val="18"/>
          <w:color w:val="auto"/>
        </w:rPr>
      </w:pPr>
    </w:p>
    <w:p>
      <w:pPr>
        <w:ind w:left="1540" w:right="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oAmong the 64 patients with BRAF fusions or rearrangements, the ORR was 53%, and among those with a BRAF V600 mutation, the ORR was 50%.</w:t>
      </w:r>
    </w:p>
    <w:p>
      <w:pPr>
        <w:spacing w:after="0" w:line="53" w:lineRule="exact"/>
        <w:rPr>
          <w:rFonts w:ascii="Times New Roman" w:cs="Times New Roman" w:eastAsia="Times New Roman" w:hAnsi="Times New Roman"/>
          <w:sz w:val="18"/>
          <w:szCs w:val="18"/>
          <w:color w:val="auto"/>
        </w:rPr>
      </w:pPr>
    </w:p>
    <w:p>
      <w:pPr>
        <w:ind w:left="1540" w:right="1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ORR was 51% in the 45 patients who had previously been treated with MAPK-targeted therapy and 55% in the 31 patients who had not received prior MAPK-targeted treatment.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duration of response was 18 months. Of the 77 patients enrolled in Arm 1, 66 patients (~86%) had discontinued primary tovorafenib treatment, most commonly because they transitioned to a planned drug holiday (33 patients). Ten patients discontinued the study entirely.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 to response, following initiation of treatment, with OJEMDA was 5.4 months.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Based on the May 10, 2024 data cutoff from the ongoing study, the safety profile of OJEMDA remained consistent with that observed at the time of approval, with no new safety signals identified.</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2025, we announced updated additional clinical data from the FIREFLY-1 trial, based upon a data cutoff of June 6, 2025. New data from Arm 1, with an updated median study duration of 40.6 months are described as follows: In 76 patients from Arm 1, 44 (58%) completed 26 or more cycles of treatment (approximately 24 months). Amongst the key primary endpoints, the ORR was 53%, the median duration of response was 19.4 months, and the time to response was 5.4 months. The pre-specified secondary study endpoint of Progression Free Survival was evaluated by Response Assessment in Pediatric Neuro-Oncology Low-Grade Glioma. The median was 16.6 months.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Exploratory analyses were undertaken to further assess the clinical impact of tovorafenib in the same study population. Among these analyses:</w:t>
      </w:r>
    </w:p>
    <w:p>
      <w:pPr>
        <w:spacing w:after="0" w:line="117" w:lineRule="exact"/>
        <w:rPr>
          <w:sz w:val="20"/>
          <w:szCs w:val="20"/>
          <w:color w:val="auto"/>
        </w:rPr>
      </w:pPr>
    </w:p>
    <w:p>
      <w:pPr>
        <w:ind w:left="1020" w:right="4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time-to-next-treatment (defined as the time from the date of the first dose of tovorafenib to the start of the first subsequent anticancer treatment, or date of death) was 42.6 months.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Thirty-nine patients entered a treatment-free observation period: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77% were treatment-free for a minimum of 12 months.</w:t>
      </w:r>
    </w:p>
    <w:p>
      <w:pPr>
        <w:spacing w:after="0" w:line="117" w:lineRule="exact"/>
        <w:rPr>
          <w:rFonts w:ascii="Times New Roman" w:cs="Times New Roman" w:eastAsia="Times New Roman" w:hAnsi="Times New Roman"/>
          <w:sz w:val="18"/>
          <w:szCs w:val="18"/>
          <w:color w:val="auto"/>
        </w:rPr>
      </w:pPr>
    </w:p>
    <w:p>
      <w:pPr>
        <w:ind w:left="1540" w:right="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oMedian treatment-free interval, measured from the end of tovorafenib primary treatment to the start of the next subsequent anticancer treatment or death, was not reached.</w:t>
      </w:r>
    </w:p>
    <w:p>
      <w:pPr>
        <w:spacing w:after="0" w:line="54" w:lineRule="exact"/>
        <w:rPr>
          <w:sz w:val="20"/>
          <w:szCs w:val="20"/>
          <w:color w:val="auto"/>
        </w:rPr>
      </w:pPr>
    </w:p>
    <w:p>
      <w:pPr>
        <w:ind w:left="1540" w:right="40" w:hanging="514"/>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Tumor rebound was minimal in the first 6 months off therapy, with 31% of patients experiencing a ≥25% increase in tumor size from the last scan prior to the last dose.</w:t>
      </w:r>
    </w:p>
    <w:p>
      <w:pPr>
        <w:spacing w:after="0" w:line="54"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In this updated three-year analysis, no new safety signals were identified. Grade 3 or higher adverse events most commonly reported (≥ 5% of patients) were decreased growth velocity, anemia, blood creatine phosphokinase increased, maculopapular rash, alanine aminotransferase increased.</w:t>
      </w:r>
    </w:p>
    <w:p>
      <w:pPr>
        <w:spacing w:after="0" w:line="32"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South America, Middle East and Asia, with approximately 140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/dose once weekly, and once-monthly carboplatin regime will be included as a fourth standard of care option for arm 2. We expect to complete enrollment of FIREFLY-2 in the first half of 2026.</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8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June 2025, tovorafenib was added to the National Comprehensive Cancer Network, or NCCN, adult glioma treatment guidelines as a category 2a recommended treatment option for patients with recurrent or progressive BRAF-altered disease.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Pharma SAS, or Ipsen, on an exclusive basis, the right to commercialize tovorafenib in all territories outside the United States and agreed to provide certain research and development and manufacturing services.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in August 2024 and (ii) Ipsen Biopharmaceuticals, Inc., or the Investor, a fully-owned Affiliate of Ipsen, purchased 2,341,495 shares of our common stock in a private placement for $40.0 million, at a price per share representing a 17.0% premium to the volume weighted average price, or VWAP, of our common stock as traded on The Nasdaq Stock Market LLC for the ten consecutive trading days prior to and including the date of our public release of U.S. GAAP revenue for the quarter ended June 30, 2024 on July 30, 2024, or the Revenue Release, and the ten consecutive trading days following the Revenue Release, in accordance with the terms set forth in an investment agreement by and between us and the Investor dated July 23, 2024.</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approximately $375.0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27, 2025, Ipsen received validation of its completed submission of the Marketing Authorization Application to the EMA for tovorafenib for the treatment of patients with relapsed or refractory pLGG. Ipsen anticipates a regulatory decision in 2026.</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In January 2025, we cleared the first cohort (a single-patient accelerated titration cohort) in the Phase 1a portion of the DAY301 Phase 1a/b clinical trial, and the study continues to enroll in the dose escalation phase of the program. We plan to present initial clinical data and provide a program update in the second half of 2026.</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November 2025, we and Mersana Therapeutics, Inc., or Mersana, entered into an Agreement and Plan of Merger, or the Merger Agreement. Pursuant to the Merger Agreement, we commenced a tender offer to acquire all of the issued and outstanding shares of common stock of Mersana, or the Target Shares, for (i) $25.00 net per Target Share, payable in cash, without interest plus (ii) one contingent value right per Target Share which represents the right to receive milestone payments of up to an aggregate of $30.25 per share in cash upon the achievement of certain specified milestones in accordance with the terms and subject to the conditions of a contingent value rights agreement. The transaction closed on January 6, 2026 and we believe it positions us for continued success and expansion of our oncology portfolio, adding Emiltatug ledadotin, or Emi-Le, a potential first-in-class monotherapy for patients with adenoid cystic carcinoma, or ACC, an aggressive cancer with a well-defined patient population and high unmet need, most often arising from the salivary gland. The early anti-tumor activity observed with Emi-Le in an ongoing Phase 1 study, in a disease with a clear unmet medical need, may support a fast path to registration. Emi-Le represents an innovative and differentiated antibody-drug candidate, or ADC, directed against B7-H4, a well-characterized target in certain cancers. B7-H4 is highly expressed in ACC as well as in other adult and pediatric cancers. As a novel targeted investigational agent with monotherapy anti-tumor activity intended for a well-defined patient population without any approved therapies or a clear standard of care, we believe that Emi-Le is well positioned for potential rapid development and commercialization. We plan to present clinical data mid-2026.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Emi-Le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85725</wp:posOffset>
            </wp:positionV>
            <wp:extent cx="5083175" cy="287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8317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RAF kinase inhibitor that inhibits both monomeric and dimeric RAF kinase. Approved BRAF products such as vemurafenib and encorafenib are referred to as type I RAF inhibitors, which only inhibit RAF monomers and are therefore limited to use in BRAF V600-altered tumors. Unlike type I RAF inhibitors, tovorafenib has not been shown to cause paradoxical activation in RAF wild-type cells at clinically active doses – a phenomenon wherein undesired increases in MAPK signaling can lead to renewed tumor growth. Tovorafenib’s inhibition of both RAF monomers and dimers broadens its potential clinical application to treat an array of RAS- or RAF-altered solid tumors. Furthermore, studies have shown tovorafenib has higher brain penetration, distribution and exposure in comparison to other MAPK pathway inhibitors. Taken together, we believe that tovorafenib has the potential to be a high-impact targeted therapeutic in pLGG, where over half of pLGGs are driven by abnormal signaling due to RAF alterations.</w:t>
      </w:r>
    </w:p>
    <w:p>
      <w:pPr>
        <w:spacing w:after="0" w:line="84"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This rationale served as the basis on which researchers at Dana-Farber Cancer Institute initiated the development of tovorafenib in pLGG. In a Phase 1 dose-escalation study, nine pediatric patients (&lt;18 years of age) with relapsed pLGG were treated with tovorafenib. Of the eight patients with RAF fusions, two achieved a complete response by Response Assessment for Neuro-Oncology, or RANO, criteria, three had a partial response, two achieved prolonged stable disease, and one experienced progressive disease as assessed by an independent radiographic review. The median time to achieve a response was 10.5 weeks, which was a notable observation given pLGG is an indolent, slow-growing tumor. In addition to the rapid anti-tumor activity observed, tovorafenib was also well-tolerated, which is important for achieving and maintaining long-term, durable responses in these patients. Based on these results, tovorafenib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received orphan drug designation for the treatment of malignant glioma from the FDA in September 2020 and from the EU Commission for the treatment of glioma in May 2021. Additionally, the FDA granted rare pediatric disease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designation to tovorafenib for treatment of LGGs harboring an activating RAF alteration in July 2021. On April 23, 2024, we announced that the FDA approved OJEMDA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have commenced the commercial launch of OJEMDA in the United States. OJEMDA is the only systemic therapy for pLGG that offers once-weekly dosing, with or without food, as a tablet or oral suspension.</w:t>
      </w:r>
    </w:p>
    <w:p>
      <w:pPr>
        <w:spacing w:after="0" w:line="75" w:lineRule="exact"/>
        <w:rPr>
          <w:sz w:val="20"/>
          <w:szCs w:val="20"/>
          <w:color w:val="auto"/>
        </w:rPr>
      </w:pPr>
    </w:p>
    <w:p>
      <w:pPr>
        <w:ind w:right="60" w:firstLine="562"/>
        <w:spacing w:after="0" w:line="254" w:lineRule="auto"/>
        <w:rPr>
          <w:sz w:val="20"/>
          <w:szCs w:val="20"/>
          <w:color w:val="auto"/>
        </w:rPr>
      </w:pPr>
      <w:r>
        <w:rPr>
          <w:rFonts w:ascii="Times New Roman" w:cs="Times New Roman" w:eastAsia="Times New Roman" w:hAnsi="Times New Roman"/>
          <w:sz w:val="18"/>
          <w:szCs w:val="18"/>
          <w:color w:val="auto"/>
        </w:rPr>
        <w:t>Emi-Le, XMT-1660, is an antibody-drug conjugate that targets B7- H4 conjugated to an auristatin anti-tubulin payload as a component of a proprietary linker-payload platform developed by Mersana Therapeutics. Emi-Le is currently being investigated in a Phase 1 dose escalation and backfill study across multiple tumor types in adults, including breast cancer, ovarian cancer, endometrial cancer, and ACC. We plan to move Emi-Le forward in ACC, an aggressive cancer with a well-defined patient population and high unmet need, most often arising from the salivary gland. The early anti-tumor activity observed with Emi-Le in an ongoing Phase 1 study, in a disease with a clear unmet medical need, may support a fast path to registration. Emi-Le represents an innovative and differentiated antibody-drug candidate, or ADC, directed against B7-H4, a well-characterized target in certain cancers. B7-H4 is highly expressed in ACC as well as in other adult and pediatric cancers. As a novel targeted investigational agent with monotherapy anti-tumor activity intended for a well-defined patient population without any approved therapies or a clear standard of care, we believe that Emi-Le is well positioned for potential rapid development and commercialization.</w:t>
      </w:r>
    </w:p>
    <w:p>
      <w:pPr>
        <w:spacing w:after="0" w:line="80"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DAY301, is a PTK7 targeted ADC composed of a novel humanized anti-PTK7 immunoglobulin G1 monoclonal antibody, or mAb, (referred to as DAY301 mAb) conjugated with a topoisomerase I inhibitor (exatecan mesylate) via a highly stable and hydrophilic modified valine-alanine (VA) cleavable linker. DAY301 is intended for the treatment of patients with advanced solid tumors. DAY301 demonstrated encouraging preclinical antitumor efficacy in relevant tumor models representing a wide range of solid tumors, including ovarian cancer, non-small cell lung cancer (“NSCLC”), triple-negative breast cancer (“TNBC”), small cell lung cancer (“SCLC”), esophageal squamous cell carcinoma (“ESCC”), cutaneous squamous cell carcinoma (“CSCC”), colorectal cancer, and esophageal adenocarcinoma. DAY301 was tolerated in non-human primate nonclinical toxicology studies with favorable pharmacokinetic (PK) and safety profiles. Collectively, DAY301 could potentially have a wide therapeutic window in clinical testing and therefore provide benefits for cancer patients with high unmet medical needs.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0" w:firstLine="569"/>
        <w:spacing w:after="0" w:line="282" w:lineRule="auto"/>
        <w:rPr>
          <w:sz w:val="20"/>
          <w:szCs w:val="20"/>
          <w:color w:val="auto"/>
        </w:rPr>
      </w:pPr>
      <w:r>
        <w:rPr>
          <w:rFonts w:ascii="Times New Roman" w:cs="Times New Roman" w:eastAsia="Times New Roman" w:hAnsi="Times New Roman"/>
          <w:sz w:val="18"/>
          <w:szCs w:val="18"/>
          <w:color w:val="auto"/>
        </w:rPr>
        <w:t>We have a mission-driven strategy to build a differentiated, global biopharmaceutical company through the identification, development and commercialization of targeted therapeutics for people of all ages with life-threatening diseases. The key elements of our strategy are to:</w:t>
      </w:r>
    </w:p>
    <w:p>
      <w:pPr>
        <w:spacing w:after="0" w:line="50" w:lineRule="exact"/>
        <w:rPr>
          <w:sz w:val="20"/>
          <w:szCs w:val="20"/>
          <w:color w:val="auto"/>
        </w:rPr>
      </w:pPr>
    </w:p>
    <w:p>
      <w:pPr>
        <w:ind w:left="10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a leadership position in targeted oncology therapeutics for patients of all ages through our unique expertise in pediatrics. </w:t>
      </w:r>
      <w:r>
        <w:rPr>
          <w:rFonts w:ascii="Times New Roman" w:cs="Times New Roman" w:eastAsia="Times New Roman" w:hAnsi="Times New Roman"/>
          <w:sz w:val="18"/>
          <w:szCs w:val="18"/>
          <w:color w:val="auto"/>
        </w:rPr>
        <w:t>We have built a targeted oncology company with differentiated business and clinical development capabilities. We leverage these capabilities to navigate the unique challenges and nuances of pediatric and adult drug development. We initially focused on pediatric patients as we believe this provides a favorable pathway to approval for tovorafenib. We have established trusted relationships within the pediatric and adult oncology community, and we seek their advice on aligning our clinical development plans with the needs of the patients and their families. We believe we are a leader in this development space and to further this position, we plan to continue to consult and strategically partner with biopharmaceutical companies, academic oncologists and scientists, and patient advocacy groups to identify areas of unmet need and then acquire high-impact assets to address underserved patients.</w:t>
      </w:r>
    </w:p>
    <w:p>
      <w:pPr>
        <w:spacing w:after="0" w:line="76"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first commercial product candidate, tovorafenib, through clinical development towards full regulatory approval in pLGG. </w:t>
      </w:r>
      <w:r>
        <w:rPr>
          <w:rFonts w:ascii="Times New Roman" w:cs="Times New Roman" w:eastAsia="Times New Roman" w:hAnsi="Times New Roman"/>
          <w:sz w:val="18"/>
          <w:szCs w:val="18"/>
          <w:color w:val="auto"/>
        </w:rPr>
        <w:t>We demonstrated clinical proof-of-concept of tovorafenib in pediatric patients for cancers that harbor genetic alterations in RAF.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once-weekly dosed tovorafenib was also well-tolerated in the Phase 1 trial in pLGG, which is important for achieving and maintaining long-term, durable responses in these patients. Further, tovorafenib received FDA breakthrough therapy designation for the treatment of pediatric patients with pLGG harboring an activating RAF alteration who require systemic therapy and who have either progressed following prior treatment or who have no satisfactory alternative treatment options. Tovorafenib also received orphan drug designation from the FDA for the treatment of malignant glioma. We conducted a pivotal Phase 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left="1020"/>
        <w:spacing w:after="0" w:line="253" w:lineRule="auto"/>
        <w:rPr>
          <w:sz w:val="20"/>
          <w:szCs w:val="20"/>
          <w:color w:val="auto"/>
        </w:rPr>
      </w:pPr>
      <w:r>
        <w:rPr>
          <w:rFonts w:ascii="Times New Roman" w:cs="Times New Roman" w:eastAsia="Times New Roman" w:hAnsi="Times New Roman"/>
          <w:sz w:val="18"/>
          <w:szCs w:val="18"/>
          <w:color w:val="auto"/>
        </w:rPr>
        <w:t>FIREFLY-1 trial of tovorafenib as a monotherapy for pediatric patients with relapsed or refractory pLGG harboring an activating BRAF alteration. In April 2024, OJEMDA received accelerated approval from the FDA for the treatment of patients 6 months of age and older with relapsed or refractory pediatric LGG harboring a BRAF fusion or rearrangement, or BRAF V600 mutation based on the FDA’s evaluation of the data from FIREFLY-1 as pivotal study, and other supportive data. Results of this trial were presented in November 2023 at the Society for Neuro-Oncology meeting through two oral plenary presentations and in parallel through a publication in Nature Medicine. FIREFLY-2 is an ongoing Phase 3, randomized, multicenter study to evaluate the efficacy, safety, and tolerability of tovorafenib monotherapy versus standard of care chemotherapy. FIREFLY-2 is the confirmatory trial that will support the conversion of tovorafenib’s accelerated approval by the FDA into a full approval. Approximately 400 patients, less than 25 years of age with an activating RAF alteration pediatric LGG requiring first-line systemic therapy, will be randomized 1:1 to receive either tovorafenib (Arm 1) or an investigator choice of standard of care chemotherapy (Arm 2). The first patient was dosed in FIREFLY-2 in March 2023; we expect to complete enrollment of FIREFLY-2 in the first half of 2026.</w:t>
      </w:r>
    </w:p>
    <w:p>
      <w:pPr>
        <w:spacing w:after="0" w:line="80" w:lineRule="exact"/>
        <w:rPr>
          <w:sz w:val="20"/>
          <w:szCs w:val="20"/>
          <w:color w:val="auto"/>
        </w:rPr>
      </w:pPr>
    </w:p>
    <w:p>
      <w:pPr>
        <w:ind w:left="1020" w:right="2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Deploy our differentiated and proven business development expertise to further expand our targeted oncology pipeline for patients with large unmet medical needs. </w:t>
      </w:r>
      <w:r>
        <w:rPr>
          <w:rFonts w:ascii="Times New Roman" w:cs="Times New Roman" w:eastAsia="Times New Roman" w:hAnsi="Times New Roman"/>
          <w:sz w:val="18"/>
          <w:szCs w:val="18"/>
          <w:color w:val="auto"/>
        </w:rPr>
        <w:t>Our team has diverse backgrounds—from academia and drug research and development,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industry and business development experience. We have a proven track record of identifying and acquiring drug candidates and programs with potentially significant commercial opportunities, including successfully in-licensing our current drug candidates, tovorafenib from Takeda and DAY301 from MabCare, and acquiring Emi-Le in connection with the acquisition of Mersana. We will continue to utilize our broad experience, as well as our network of trusted relationships, to source additional high-impact assets to further expand our targeted oncology pipeline.</w:t>
      </w:r>
    </w:p>
    <w:p>
      <w:pPr>
        <w:spacing w:after="0" w:line="74"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opportunities to accelerate development timelines and enhance the commercial potential of our programs in collaboration with third parties. </w:t>
      </w:r>
      <w:r>
        <w:rPr>
          <w:rFonts w:ascii="Times New Roman" w:cs="Times New Roman" w:eastAsia="Times New Roman" w:hAnsi="Times New Roman"/>
          <w:sz w:val="18"/>
          <w:szCs w:val="18"/>
          <w:color w:val="auto"/>
        </w:rPr>
        <w:t>We have entered, and may selectively in the future enter, into collaborations where we believe there is an opportunity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accelerate the development and commercialization of our products and product candidates—for example, in July 2024 we entered into the Ipsen License Agreement, pursuant to which we licensed to Ipsen, on an exclusive basis, the right to commercialize tovorafenib in all territories outside the United States. We intend to commercialize our product candidates in key markets either alone or with partners in order to maximize the worldwide commercial potential of our programs.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Focused on Advancing First- or Best-in-Class Medicines for People of All Ages with Life-Threatening Diseases</w:t>
      </w:r>
    </w:p>
    <w:p>
      <w:pPr>
        <w:spacing w:after="0" w:line="121"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Our company is focused on prioritizing the clinical development of novel targeted therapeutics in children and adults with equal intensity. Historically, most pharmaceutical companies focused discovery and development efforts for new cancer therapies on adult tumor types. An analysis of agents for which the first-in-adult trial, or FHCT, began between 2006 to 2011 found that of the 185 drugs relevant to the pediatric population, only about a one third were evaluated in the pediatric population, of which 30 ultimately received FDA approval (29 were adult only indications; only one received a pediatric indication within nine years of following evaluation in adults). This analysis found a median lag between FHCT and first-in-child trial, or FCCT, for agents that received FDA approval of 5.6 years. In October 2023, the World Health Organization published an analysis spanning 15 years from 2007 to 2022 concluding that of 440 agents used in 2,519 cancer treatment trials worldwide, approximately 41% have also been approved for use in children. Furthermore, only five have been approved for use exclusively in children. The median time between adult and pediatric approvals in this analysis was approximately three years.</w:t>
      </w:r>
    </w:p>
    <w:p>
      <w:pPr>
        <w:spacing w:after="0" w:line="80"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We believe that now is the right time to revisit and correct historic assumptions about pediatric oncology drug development. In doing so, we believe there are unique advantages to developing new oncology products and product candidates in pediatric patients, in parallel with, or even in advance of, adult indications:</w:t>
      </w:r>
    </w:p>
    <w:p>
      <w:pPr>
        <w:spacing w:after="0" w:line="64" w:lineRule="exact"/>
        <w:rPr>
          <w:sz w:val="20"/>
          <w:szCs w:val="20"/>
          <w:color w:val="auto"/>
        </w:rPr>
      </w:pPr>
    </w:p>
    <w:p>
      <w:pPr>
        <w:ind w:left="1020" w:hanging="503"/>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Enriched responder populations. </w:t>
      </w:r>
      <w:r>
        <w:rPr>
          <w:rFonts w:ascii="Times New Roman" w:cs="Times New Roman" w:eastAsia="Times New Roman" w:hAnsi="Times New Roman"/>
          <w:sz w:val="18"/>
          <w:szCs w:val="18"/>
          <w:color w:val="auto"/>
        </w:rPr>
        <w:t>The generation of large-scale molecular profiling datasets necessary to define addressable subpopulations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pediatric oncology has accelerated over the last decade. This has allowed scientists and drug developers to identify oncogenic drivers underlying numerous pediatric tumor types and has revealed druggable oncogenic drivers in nearly 50% of pediatric cancers. Moreover, pediatric tumors are less heterogeneous and genomically more stable compared to highly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1020" w:right="120"/>
        <w:spacing w:after="0" w:line="282" w:lineRule="auto"/>
        <w:rPr>
          <w:sz w:val="20"/>
          <w:szCs w:val="20"/>
          <w:color w:val="auto"/>
        </w:rPr>
      </w:pPr>
      <w:r>
        <w:rPr>
          <w:rFonts w:ascii="Times New Roman" w:cs="Times New Roman" w:eastAsia="Times New Roman" w:hAnsi="Times New Roman"/>
          <w:sz w:val="18"/>
          <w:szCs w:val="18"/>
          <w:color w:val="auto"/>
        </w:rPr>
        <w:t>heterogeneous adult tumors. Directly targeting these mutations may lead to deep and sustained anti-tumor activity, as demonstrated by other targeted oncology products.</w:t>
      </w:r>
    </w:p>
    <w:p>
      <w:pPr>
        <w:spacing w:after="0" w:line="50" w:lineRule="exact"/>
        <w:rPr>
          <w:sz w:val="20"/>
          <w:szCs w:val="20"/>
          <w:color w:val="auto"/>
        </w:rPr>
      </w:pPr>
    </w:p>
    <w:p>
      <w:pPr>
        <w:ind w:left="1020" w:right="80" w:hanging="503"/>
        <w:spacing w:after="0" w:line="25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efficiently advance clinical development. </w:t>
      </w:r>
      <w:r>
        <w:rPr>
          <w:rFonts w:ascii="Times New Roman" w:cs="Times New Roman" w:eastAsia="Times New Roman" w:hAnsi="Times New Roman"/>
          <w:sz w:val="18"/>
          <w:szCs w:val="18"/>
          <w:color w:val="auto"/>
        </w:rPr>
        <w:t>Recently, global regulatory authorities have established paths for accelerated feedback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design and execution of clinical trials in pediatrics. As part of the FDA Reauthorization Act, 205 relevant molecular targets were identified for pediatric cancers. In addition, new tumor-specific pediatric oncology consortia and cooperative groups have been established, allowing industry to sponsor pediatric clinical trials in the same manner as adult clinical trials. Further, the potential to achieve proof-of-concept and regulatory approval can be obtained with relatively smaller-sized clinical trials with clear endpoints.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and commercial tailwinds. </w:t>
      </w:r>
      <w:r>
        <w:rPr>
          <w:rFonts w:ascii="Times New Roman" w:cs="Times New Roman" w:eastAsia="Times New Roman" w:hAnsi="Times New Roman"/>
          <w:sz w:val="18"/>
          <w:szCs w:val="18"/>
          <w:color w:val="auto"/>
        </w:rPr>
        <w:t>The scarcity of approved products or an established standard of care, particularly in relapsed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in pediatric oncology, provides multiple opportunities to bring new therapeutics to market. Passionate patient advocacy groups and investigators have the potential to accelerate the uptake of therapies, if approved.</w:t>
      </w:r>
    </w:p>
    <w:p>
      <w:pPr>
        <w:spacing w:after="0" w:line="67" w:lineRule="exact"/>
        <w:rPr>
          <w:sz w:val="20"/>
          <w:szCs w:val="20"/>
          <w:color w:val="auto"/>
        </w:rPr>
      </w:pPr>
    </w:p>
    <w:p>
      <w:pPr>
        <w:jc w:val="both"/>
        <w:ind w:right="280" w:firstLine="562"/>
        <w:spacing w:after="0" w:line="266" w:lineRule="auto"/>
        <w:rPr>
          <w:sz w:val="20"/>
          <w:szCs w:val="20"/>
          <w:color w:val="auto"/>
        </w:rPr>
      </w:pPr>
      <w:r>
        <w:rPr>
          <w:rFonts w:ascii="Times New Roman" w:cs="Times New Roman" w:eastAsia="Times New Roman" w:hAnsi="Times New Roman"/>
          <w:sz w:val="18"/>
          <w:szCs w:val="18"/>
          <w:color w:val="auto"/>
        </w:rPr>
        <w:t>Our company is uniquely positioned to deliver much-needed targeted therapeutics to pediatric oncology patients. We have extensive capabilities and experience with these patients, and our trusted relationships across all key stakeholders in the pediatric medical community enable us to effectively navigate the challenges and nuances of pediatric drug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We seek to identify, acquire and develop products and product candidates that target high-value oncogenic drivers in cancers with high unmet need. Although our clinical development begins by leveraging our unique expertise in the pediatric oncology setting, we are committed to advancing targeted therapies for adult cancer patients with equivalent intensity.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Tovorafenib</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RAF kinase inhibitor. Tovorafenib has been studied in over 325 patients, and as a monotherapy demonstrated good tolerability and encouraging anti-tumor activity in pediatric and adult populations with specific MAPK pathway-alterations. We have now fully enrolled a pivotal Phase 2 FIREFLY-1 trial of tovorafenib as a monotherapy for patients with pLGG, the most common brain tumor diagnosed in children, for which there are no approved therapies and no recognized standard of care for the majority of patients. The FIREFLY-1 trial has also been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We reported data from the registrational arm of the Phase 2 FIREFLY-1 trial at the American Society of Clinical Oncology annual meeting in June 2023 and selected analysis at the annual meeting of the Society of Neuro-Oncology in November 2023. In April 2024, the FDA approved OJEMDA™ (tovorafenib) for the treatment of patients 6 months of age and older with relapsed or refractory pLGG harboring a BRAF fusion or rearrangement, or BRAF V600 mutation.</w:t>
      </w:r>
    </w:p>
    <w:p>
      <w:pPr>
        <w:spacing w:after="0" w:line="86"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140 sites activated. We expect to complete enrollment of FIREFLY-2 in the first half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RAF kinase drives cell proliferation and carcinogenesis</w:t>
      </w:r>
    </w:p>
    <w:p>
      <w:pPr>
        <w:spacing w:after="0" w:line="121" w:lineRule="exact"/>
        <w:rPr>
          <w:sz w:val="20"/>
          <w:szCs w:val="20"/>
          <w:color w:val="auto"/>
        </w:rPr>
      </w:pPr>
    </w:p>
    <w:p>
      <w:pPr>
        <w:ind w:right="440" w:firstLine="569"/>
        <w:spacing w:after="0" w:line="266" w:lineRule="auto"/>
        <w:rPr>
          <w:sz w:val="20"/>
          <w:szCs w:val="20"/>
          <w:color w:val="auto"/>
        </w:rPr>
      </w:pPr>
      <w:r>
        <w:rPr>
          <w:rFonts w:ascii="Times New Roman" w:cs="Times New Roman" w:eastAsia="Times New Roman" w:hAnsi="Times New Roman"/>
          <w:sz w:val="18"/>
          <w:szCs w:val="18"/>
          <w:color w:val="auto"/>
        </w:rPr>
        <w:t>Cell functions such as growth, survival and differentiation are regulated by cascades of signaling events of which RAF kinase is a critical component. RAF is a protein kinase that is normally activated by RAS, a protein that transmits activating signals from extracellular receptors to RAF. Activation of RAF then leads to the activation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MEK kinase and the downstream MAPK pathway. Genetic alterations that result in overactivation of the pathway, such as RAS or RAF alterations, have long been characterized as oncogenic.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45720</wp:posOffset>
            </wp:positionV>
            <wp:extent cx="2691765" cy="279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7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Figure 1. RAF kinases (ARAF, BRAF, CRAF) are critical components of the MAPK pathway. BRAF V600E can signal as a monomer and is sensitive to type I and type II RAF inhibitors. Wild-type RAF dimers are only sensitive to type II RAF inhibitors. Modified from: Solit and Rosen, Cancer Discover, 2014.</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One of the most frequently altered genes in this pathway is BRAF, one of three RAF genes in human cells and the form of RAF most easily activated by RAS. The majority of alterations in BRAF are mutations known as V600. Mutations in V600 transform non-mutant or wild-type BRAF into a form of BRAF that has increased signaling activity and is no longer dependent on RAS for activation. The abundance of V600 mutant BRAF and its central role in tumor growth have made it a focus of historical drug discovery efforts.</w:t>
      </w:r>
    </w:p>
    <w:p>
      <w:pPr>
        <w:spacing w:after="0" w:line="72"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Another class of important oncogenic BRAF alterations are BRAF wild-type gene fusions. Gene fusions involving BRAF occur through intra- or inter-chromosomal rearrangements in which genes for unrelated proteins are physically joined together resulting in the synthesis of a chimeric protein. BRAF consists of a regulatory domain which modulates the activity of BRAF, and a catalytic kinase domain which then activates downstream signaling to promote cell growth. In BRAF fusions, the regulatory domain of BRAF is replaced with a different sequence, allowing BRAF to signal independent of RAS activation. This uncoupling of the regulatory and catalytic domains of BRAF has important consequences: the resultant novel oncogene is both aberrantly expressed and it also exhibits constitutive, or always-on, activation of the kinase domain. This kinase activity can result in the activation of downstream oncogenic signaling, exacerbating tumor growth. BRAF gene fusions have been observed in patients with prostate cancer, melanoma, radiation-induced thyroid cancer, and pLGG.</w:t>
      </w:r>
    </w:p>
    <w:p>
      <w:pPr>
        <w:spacing w:after="0" w:line="84"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Three BRAF inhibitors have been approved by the FDA for the treatment of certain solid tumors containing only BRAF V600E or V600K mutations, including melanoma, non-small cell lung cancer, anaplastic thyroid cancer, and colorectal cancer. These first-generation BRAF inhibitors, known more generally as type I RAF inhibitors, are vemurafenib, marketed as Zelboraf® by Genentech; dabrafenib, marketed as Tafinlar® by Novartis; and encorafenib, marketed as Braftovi® by Pfizer. However, despite initial clinical responses to monotherapy type 1 RAF inhibitors, most patients relapse within one year following the initiation of treatment.</w:t>
      </w:r>
    </w:p>
    <w:p>
      <w:pPr>
        <w:spacing w:after="0" w:line="75"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One way by which resistance develops to type I RAF inhibitors is related to the mechanism of normal RAF activation in cells. In contrast to the constitutively active V600E or V600K variant, which is active as a monomer, normal RAF function requires formation of dimers of RAF. Approved inhibitors of V600E/K BRAF do not block the activity of RAF dimers or other non-V600 BRAF mutations. In fact, the binding of some of these inhibitors to V600E/K BRAF can stimulate the formation of dimers, thereby causing paradoxical activation (undesired increases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MAP kinase signaling) in RAF wild-type cells – a phenomenon which could potentially lead to renewed tumor growth. Paradoxical activation of wild-type RAF also occurs in non-tumor tissue. This leads to a common adverse event associated with these agents—the development of proliferative pre-malignant and malignant skin lesions. In order to avoid resistance and paradoxical activation, in many instances type I RAF inhibitors need to be given in combination with MEK inhibitors, but again only to patients with BRAF V600E/K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262890</wp:posOffset>
            </wp:positionV>
            <wp:extent cx="3128645" cy="279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Figure 2. Schema showing the effect of different RAF inhibitors on monomeric RAF kinases (i.e., BRAF V600E; top section) or dimeric RAF kinases (bottom section). ERK activation is strongly activated downstream of BRAF V600E, even more so than seen for dimeric RAF kinase signaling. Monomer-selective type I RAF inhibitors bind to the ATP site in BRAF monomers and inhibit downstream signaling. In RAF dimeric kinases, binding of drug inhibits the bound RAF protomer, but leads to a conformational change in the other protomer in the dimer pair and strong transactivation of this protomer, leading to overall increased ERK activation (paradoxical activation). Type II RAF inhibitors are able to bind to mutant RAF monomers and dimers at equipotent doses and therefore can inhibit mutant RAF monomers and dimers at the same dose. Adapted from Yaeger and Corcoran, Cancer Discovery, 2019.</w:t>
      </w:r>
    </w:p>
    <w:p>
      <w:pPr>
        <w:spacing w:after="0" w:line="81"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Type I RAF inhibitors that target V600E/K alterations are not able to inhibit the wild-type RAF kinase domains in KIAA1549-BRAF gene fusions and are thus unable to effectively inhibit the overactive signaling that results from this fusion. Furthermore, because of the potential for paradoxical activation, these RAF inhibitors are contraindicated in patients with BRAF gene fusions.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Tovorafenib's mechanism of action</w:t>
      </w:r>
    </w:p>
    <w:p>
      <w:pPr>
        <w:spacing w:after="0" w:line="121" w:lineRule="exact"/>
        <w:rPr>
          <w:sz w:val="20"/>
          <w:szCs w:val="20"/>
          <w:color w:val="auto"/>
        </w:rPr>
      </w:pPr>
    </w:p>
    <w:p>
      <w:pPr>
        <w:ind w:firstLine="562"/>
        <w:spacing w:after="0" w:line="281" w:lineRule="auto"/>
        <w:rPr>
          <w:sz w:val="20"/>
          <w:szCs w:val="20"/>
          <w:color w:val="auto"/>
        </w:rPr>
      </w:pPr>
      <w:r>
        <w:rPr>
          <w:rFonts w:ascii="Times New Roman" w:cs="Times New Roman" w:eastAsia="Times New Roman" w:hAnsi="Times New Roman"/>
          <w:sz w:val="17"/>
          <w:szCs w:val="17"/>
          <w:color w:val="auto"/>
        </w:rPr>
        <w:t>Tovorafenib is a selective, small molecule RAF inhibitor that can block the activity of multiple forms of RAF including wild-type RAF, BRAF and CRAF fusion proteins, and variants that function as dimers (Class II mutations), as well as variants such as BRAF V600E and non-V600E mutations that function as monomers (Class I mutations). Tovorafenib is known as a type II RAF inhibitor as it’s designed to inhibit both monomeric and dimeric RAF kinase. Tovorafenib's inhibition of both RAF monomers and dimers broadens its potential clinical application to treat an array of RAF-altered tumors.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980440</wp:posOffset>
            </wp:positionV>
            <wp:extent cx="3891915" cy="3034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89191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Figure 3. Signaling pathways in different classes of BRAF mutations. BRAF V600 mutations (Class I) are independent of RAS signaling and work as monomers. BRAF non-V600 Class II mutations are also independent of RAS but signal as constitutive dimers. The Class II mutations include BRAF wild-type fusions. Non-V600 Class III BRAF mutations have low or no kinase activity and depend on RAS activation acting as amplifiers of the RAS signaling pathway. Tovorafenib inhibits Class I and Class II RAF alterations, including BRAF wild-type fusions and non-V600E/K variations. Modified from Fontana and Valeri, Clinical Cancer Research,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low-grade glioma disease and treatment overview</w:t>
      </w:r>
    </w:p>
    <w:p>
      <w:pPr>
        <w:spacing w:after="0" w:line="12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Pediatric low-grade glioma is the most common brain tumor diagnosed in children, accounting for 30%-50% of all central nervous system tumors. For the most part, these tumors are slow-growing, chronic, and relentless. While malignant transformation and dissemination of pLGGs are rare there are many long-term consequences of the disease. The growth of pLGG is highly morbid as pLGG tumors are space-occupying lesions that have the potential to compress critical neurovascular structures in the brain. Symptoms can vary from patient to patient depending on the location of the tumor and the amount of pressure it exerts on surrounding tissues. These symptoms can include headaches, nausea, vomiting, lethargy, sixth cranial nerve palsies, seizures and behavioral changes, depending on tumor location. The majority of children with pLGG are long-term survivors and live into adulthood; however, survivors of pediatric glioma often suffer long-lasting functional, neurologic, and endocrine complications from their disease and/or treatment. These patients require more effective treatment strategies that minimize long-term morbidity and treatment-associated toxicity.</w:t>
      </w:r>
    </w:p>
    <w:p>
      <w:pPr>
        <w:spacing w:after="0" w:line="84"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Patients with pLGG have historically been treated with surgery, radiation, and chemotherapy. While surgical resection of pLGG is associated with 10-year overall survival rates of 90% or more, the majority of children are unable to undergo complete resection, a procedure which can be associated in some instances with significant and long-lasting morbidity. Incompletely resected or unresectable pLGG is associated with a high rate of disease progression or recurrence. Patients with subtotal resections have a 10-year progression-free survival of only 55%. Although more modern radiation therapy modalities have been shown to lead to improvements in progression free survival, radiotherapy is historically associated with a risk of significant decline in neurocognitive outcomes in younger children, as well as the risk of endocrine dysfunction, secondary malignancy, and an increased risk of stroke. As a result, even modern radiation therapy techniques continue to be reserved for use when all other therapies have failed.</w:t>
      </w:r>
    </w:p>
    <w:p>
      <w:pPr>
        <w:spacing w:after="0" w:line="81" w:lineRule="exact"/>
        <w:rPr>
          <w:sz w:val="20"/>
          <w:szCs w:val="20"/>
          <w:color w:val="auto"/>
        </w:rPr>
      </w:pPr>
    </w:p>
    <w:p>
      <w:pPr>
        <w:ind w:right="240" w:firstLine="562"/>
        <w:spacing w:after="0" w:line="282" w:lineRule="auto"/>
        <w:rPr>
          <w:sz w:val="20"/>
          <w:szCs w:val="20"/>
          <w:color w:val="auto"/>
        </w:rPr>
      </w:pPr>
      <w:r>
        <w:rPr>
          <w:rFonts w:ascii="Times New Roman" w:cs="Times New Roman" w:eastAsia="Times New Roman" w:hAnsi="Times New Roman"/>
          <w:sz w:val="18"/>
          <w:szCs w:val="18"/>
          <w:color w:val="auto"/>
        </w:rPr>
        <w:t>Most patients with pLGG requiring initial systemic therapy are treated with combination chemotherapy such as carboplatin and vincristine or, in certain countries, vinblastine or carboplatin as single-agents. Results from the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largest randomized Phase 3 study for children with newly diagnosed pLGG showed a 5-year event-free survival of 47% for vincristine/carboplatin. Outcomes for a subgroup of patients with pLGG not associated with neurofibromatosis, which included those with BRAF alterations, were inferior, showing a 5-year event-free survival of 39%. Of note, the overall response rate to chemotherapy in newly diagnosed patients with pLGG was 30%-35%. In addition to chemotherapy’s efficacy limitations, treatment-related morbidity was significant, with more than 95% of patients having experienced at least one Grade 3 or Grade 4 adverse event. A number of therapies targeting pathway have been assessed in tumor types harboring molecular alteration on the MAPK pathway, including BRAF and MEK, as further discussed below. While some of these agents have been approved for the treatment of tumors harboring BRAF V600 mutation including in children with pLGG, there is no consensual standard-of-care therapy for patients whose tumors progress following the failure of these chemotherapy regiment or targeted therapies.</w:t>
      </w:r>
    </w:p>
    <w:p>
      <w:pPr>
        <w:spacing w:after="0" w:line="84"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Because many pLGGs undergo senescence when patient ages reach their 20s, the goal of therapy is to maximize tumor control while minimizing treatment-associated toxicities from surgery, chemotherapy, and radiation. As a result, a large number of patients with pLGG will undergo multiple lines of systemic therapy over the course of their disease.</w:t>
      </w:r>
    </w:p>
    <w:p>
      <w:pPr>
        <w:spacing w:after="0" w:line="68"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Based on incidence results published in academic journals, we estimate that approximately 1,100 patients under the age of 25 are newly diagnosed with BRAF-altered pLGG every year. We partnered with an epidemiology firm to perform SEER and CBTRUS registry analysis that estimates the prevalence, as of January 1, 2017, in the United States for BRAF-altered patients with pLGG under the age of 25 to be 26,000. The estimated addressable pool of recurrent, progressive, or refractory patients with pLGG for tovorafenib is approximately between 2,000 to 3,000 per year at steady state.</w:t>
      </w:r>
    </w:p>
    <w:p>
      <w:pPr>
        <w:spacing w:after="0" w:line="72" w:lineRule="exact"/>
        <w:rPr>
          <w:sz w:val="20"/>
          <w:szCs w:val="20"/>
          <w:color w:val="auto"/>
        </w:rPr>
      </w:pPr>
    </w:p>
    <w:p>
      <w:pPr>
        <w:ind w:right="280" w:firstLine="562"/>
        <w:spacing w:after="0" w:line="261" w:lineRule="auto"/>
        <w:rPr>
          <w:sz w:val="20"/>
          <w:szCs w:val="20"/>
          <w:color w:val="auto"/>
        </w:rPr>
      </w:pPr>
      <w:r>
        <w:rPr>
          <w:rFonts w:ascii="Times New Roman" w:cs="Times New Roman" w:eastAsia="Times New Roman" w:hAnsi="Times New Roman"/>
          <w:sz w:val="18"/>
          <w:szCs w:val="18"/>
          <w:color w:val="auto"/>
        </w:rPr>
        <w:t>Over the last decade, it has been found that between 50% and 60% of pLGGs are driven by abnormal signaling due to alterations in RAF, approximately 85% to 90% of which are a gene fusion known as KIAA1549-BRAF. This gene alteration results in the expression of a wild-type BRAF catalytic domain without its normal regulatory domain, thereby rendering constitutively active BRAF activity. In addition, between 5% and 17% of children with pLGGs have tumors with a BRAF V600E activating mutation.</w:t>
      </w:r>
    </w:p>
    <w:p>
      <w:pPr>
        <w:spacing w:after="0" w:line="72"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With the exception of the combination of dabrafenib-trametinib for patients &gt;6 years of age with relapsed/progressive tumors bearing a BRAF V600E/K mutation, there have been no agents approved for use in this population and as such, are only available via clinical trials or off-label prescription. Off-label use, while common in the pediatric oncology setting, is recognized to be an inferior approach as it exposes children to potential risks without the associated safeguards that accompany comprehensive clinical development activities, such as long-term safety monitoring and pharmacovigilance activities. We believe that the intentional development of a specifically-targeted, brain-penetrant therapy for pLGG is essential to improve outcomes for these patients, particularly those with BRAF fusions, and patients with BRAF V600E mutations who are either &lt;6 years of age or who have progressed on, or cannot tolerate, combined Type I RAF/MEK inhibition.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for pLGG</w:t>
      </w:r>
    </w:p>
    <w:p>
      <w:pPr>
        <w:spacing w:after="0" w:line="121"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Tovorafenib is currently being evaluated in an ongoing investigator-initiated, multi-center study (PNOC014, NCT03429803) in patients with relapsed or refractory gliomas (high- and low-grade) and other RAS/RAF/MEK/ERK pathway-activated tumors that is being conducted by Dana-Farber Cancer Institute in collaboration with Pediatric Neuro-Oncology Consortium, or PNOC. The trial remains open but is closed to new patient accrual. As of June 2023, a total of 44 patients had been enrolled in Part B of this Phase 1 dose-escalation trial (9 patients in Part A, 35 patients in Part B), which was conducted at multiple institutions within the PNOC network.</w:t>
      </w:r>
    </w:p>
    <w:p>
      <w:pPr>
        <w:spacing w:after="0" w:line="75"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As shown in Figure 4 below, the Phase 1 trial, which initially started in February 2018, was designed to determine maximum tolerated dose, or MTD, in pediatric patients. Part A of this trial was an initial dose-escalation of tovorafenib as monotherapy that utilized a 3+3 design. The starting dose of 280 mg/m2 was 80% of the adult recommended phase 2 dose, or RP2D, of 600 mg orally once weekly, adjusted for body surface area. Patients enrolled in this trial were treated for a period of up to two years. The trial was amended in December 2019 to continue dose escalation, using an adaptive design, until either dose limiting toxicities, or DLTs, or the MTD was observed.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2162810</wp:posOffset>
            </wp:positionH>
            <wp:positionV relativeFrom="page">
              <wp:posOffset>980440</wp:posOffset>
            </wp:positionV>
            <wp:extent cx="3231515" cy="263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23151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Figure 4. Design of the Phase 1 trial of tovorafenib in pLGG.</w:t>
      </w:r>
    </w:p>
    <w:p>
      <w:pPr>
        <w:spacing w:after="0" w:line="117"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Data from Part A of this study was presented in November 2020 in which tovorafenib was evaluated at three different dose levels: 280 mg/m2, 350 mg/m2, and 420 mg/m2, with three patients at each dose level. Tovorafenib was well tolerated at all doses tested with no dose reductions or interruptions in patients receiving doses of 420 mg/m2 or below. None of these patients experienced a DLT. The vast majority of treatment emergent adverse events, or TEAEs, were Grade 1 or 2. No ophthalmologic or cardiac adverse events were observed. The most frequently reported TEAEs across all dose cohorts in Part A were all Grade 1 or 2 in severity and included rash (89%), graying of the hair (achromotrichia) (78%), moles (nevus) (78%), anemia (67%), and itching (pruritis) (67%). One patient experienced a single Grade 3 adverse event (increased creatinine phosphokinase), and there were no Grade 4 adverse events reported. These side effects were found to be reversible and manageable.</w:t>
      </w:r>
    </w:p>
    <w:p>
      <w:pPr>
        <w:spacing w:after="0" w:line="81" w:lineRule="exact"/>
        <w:rPr>
          <w:sz w:val="20"/>
          <w:szCs w:val="20"/>
          <w:color w:val="auto"/>
        </w:rPr>
      </w:pPr>
    </w:p>
    <w:p>
      <w:pPr>
        <w:ind w:right="100" w:firstLine="569"/>
        <w:spacing w:after="0" w:line="253" w:lineRule="auto"/>
        <w:rPr>
          <w:sz w:val="20"/>
          <w:szCs w:val="20"/>
          <w:color w:val="auto"/>
        </w:rPr>
      </w:pPr>
      <w:r>
        <w:rPr>
          <w:rFonts w:ascii="Times New Roman" w:cs="Times New Roman" w:eastAsia="Times New Roman" w:hAnsi="Times New Roman"/>
          <w:sz w:val="18"/>
          <w:szCs w:val="18"/>
          <w:color w:val="auto"/>
        </w:rPr>
        <w:t>While 420 mg/m2 was initially considered the RP2D because of anti-tumor activity observed at all dose levels in Part A, dose escalation was continued in Part B of this study in an attempt to determine a MTD. Upon resumption of the dose-escalation portion in Part B of this trial, the dose escalation was split between two subgroups, based on body surface area, to account for the possibility that at dose levels of 530mg/m2 or higher there might be larger children that may exceed the adult MTD at a given dose level, while smaller children may not. Data from Part B of this study were presented in November of 2022. Thirty-five additional patients were enrolled in Part B PNOC014: twenty-one patients with gliomas bearing a KIAA1549:BRAF fusion, nine patients with tumors bearing a BRAFV600E mutation, four patients with a novel RAF- and one patient with an FGFR1-altered tumor. Histologically, the cohort included 30 patients with LGGs, four patients with high grade gliomas and one patient with soft tissue sarcoma. There were six DLTs: three in each body surface area, or BSA, subgroup, all at 530 mg/m2/dose, all Grade 3, and five known side effects (two fatigue, three rash, one menorrhagia). Across these 35 patients, oral weekly tovorafenib was well tolerated. While the TITE-BOIN continuous reassessment model recommended 530 mg/m2/dose per os, or PO, weekly for patients with BSA &lt; 1.5m2 and 420 mg/m2/dose PO weekly for patients with BSA &gt;1.5m2, the probability of a DLT for patients with a BSA &lt; 1.5m2 was found to be nearly 20%. As such, 420 mg/m2/dose PO weekly was selected as the dose for the pivotal Phase 2 FIREFLY-1 and pivotal Phase 3 FIREFLY-2 studies.</w:t>
      </w:r>
    </w:p>
    <w:p>
      <w:pPr>
        <w:spacing w:after="0" w:line="82"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Overall, data from the now-completed Part A, where the patients received up to two years of continuous treatment, supported by data from Part B, indicate that the tolerability profile of tovorafenib at 420mg/m2 supported the potential for chronic long-term usage of tovorafenib.</w:t>
      </w:r>
    </w:p>
    <w:p>
      <w:pPr>
        <w:spacing w:after="0" w:line="54"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Based on the results from Part A of PNOC014, tovorafenib was granted breakthrough therapy designation by the FDA for the treatment of pediatric patients with pLGG harboring an activating RAF alteration who require systemic therapy and who have either progressed following prior treatment or who have no satisfactory alternative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options. Tovorafenib also received orphan drug designation from the FDA for the treatment of malignant glioma.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for pLGG</w:t>
      </w:r>
    </w:p>
    <w:p>
      <w:pPr>
        <w:spacing w:after="0" w:line="121"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We have completed enrollment of a pivotal Phase 2 FIREFLY-1 trial of tovorafenib in pediatric patients aged six months to 25 years with relapsed or refractory pLGGs harboring an activating BRAF alteration, such as a KIAA1549-BRAF fusion or a BRAF activating mutation, such as V600E. This is an open-label, global registrational, single-arm trial of oral tovorafenib administered once weekly at a dose of 420 mg/m2. Patients are allowed to continue on tovorafenib until radiographic evidence of disease progression by RANO criteria as determined by treating investigator, unacceptable toxicity, patient withdrawal of consent, or death. The first patient was dosed in FIREFLY-1 in May 2021, and we completed enrollment in the registrational arm in May 2022. The FIREFLY-1 trial was also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This trial generated a dataset that, in combination with the existing safety database, served as the basis for regulatory approval. The primary endpoint was overall response rate, defined as the proportion of patients with best overall confirmed response rate (complete response and partial response based on the RANO criteria), as determined by independent review. Secondary and exploratory endpoints include the overall response rate based on RAPNO and volumetric analyses, event free survival, safety, functional outcomes, and quality of life measures. In April 2024, evaluation of the data from FIREFLY-1 by FDA resulted in accelerated approval of tovorafenib in the United States for the treatment of patients 6 months of age and older with relapsed or refractory pediatric LGG harboring a BRAF fusion or rearrangement, or BRAF V600 mutation. 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67310</wp:posOffset>
            </wp:positionV>
            <wp:extent cx="5349240" cy="1268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5. Design of the Phase 2 trial of tovorafenib in pLGG.</w:t>
      </w:r>
    </w:p>
    <w:p>
      <w:pPr>
        <w:spacing w:after="0" w:line="117" w:lineRule="exact"/>
        <w:rPr>
          <w:sz w:val="20"/>
          <w:szCs w:val="20"/>
          <w:color w:val="auto"/>
        </w:rPr>
      </w:pPr>
    </w:p>
    <w:p>
      <w:pPr>
        <w:ind w:right="420" w:firstLine="562"/>
        <w:spacing w:after="0" w:line="282" w:lineRule="auto"/>
        <w:rPr>
          <w:sz w:val="20"/>
          <w:szCs w:val="20"/>
          <w:color w:val="auto"/>
        </w:rPr>
      </w:pPr>
      <w:r>
        <w:rPr>
          <w:rFonts w:ascii="Times New Roman" w:cs="Times New Roman" w:eastAsia="Times New Roman" w:hAnsi="Times New Roman"/>
          <w:sz w:val="18"/>
          <w:szCs w:val="18"/>
          <w:color w:val="auto"/>
        </w:rPr>
        <w:t>Tovorafenib is currently dosed as immediate-release tablets. We have developed a pediatric formulation suitable for oral dosing of children as young as six months of age and have dosed patients with this pediatric formulation in our pivotal Phase 2 FIREFLY-1 trial.</w:t>
      </w:r>
    </w:p>
    <w:p>
      <w:pPr>
        <w:spacing w:after="0" w:line="54"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Comprehensive genomic profiling of newly diagnosed or recurrent/progressive pLGG is standard practice within pediatric neuro-oncology programs across the United States, either utilizing CLIA/College of American Pathologists, or CAP, accredited hospital laboratories or third-party commercial vendors. In addition, the 2021 revision of the WHO Classification of Tumors of the Central Nervous System now includes assessment of BRAF mutation or fusion status as part of the diagnosis of LGGs. As a result, we expect that the vast majority of both patients with newly diagnosed and relapsed pLGG harboring a BRAF alteration will be identified. The technology platforms and solutions for the identification of the BRAF V600E mutation and BRAF wild-type fusions currently in use by individual investigators will be used to meet the clinical trial enrollment criteria, while we continue to work with regulatory authorities to ensure that any requirement for a companion diagnostic assay or device are met, for which we have entered into a collaboration with Foundation Medicine, Inc. to develop.</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January 2025, the FDA approved FoundationOne CDx to be used as a companion diagnostic for OJEMDA.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6"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have initiated a pivotal Phase 3 FIREFLY-2 trial of tovorafenib as a front-line therapy in pLGG. The first patient was dosed in March 2023. We believe that treating patients before they have undergone multiple rounds of toxic chemotherapy has the potential to both improve the efficacy of tovorafenib and reduce the overall burden of therapy and related toxicities associated with the use of currently-employed cytotoxic agents. We expect to complete enrollment of FIREFLY-2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57150</wp:posOffset>
            </wp:positionV>
            <wp:extent cx="5349240" cy="1157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6. Design of the Phase 3 trial of tovorafenib in pLGG.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market opportunity for tovorafenib in pLGG</w:t>
      </w:r>
    </w:p>
    <w:p>
      <w:pPr>
        <w:spacing w:after="0" w:line="121" w:lineRule="exact"/>
        <w:rPr>
          <w:sz w:val="20"/>
          <w:szCs w:val="20"/>
          <w:color w:val="auto"/>
        </w:rPr>
      </w:pPr>
    </w:p>
    <w:p>
      <w:pPr>
        <w:ind w:right="340" w:firstLine="569"/>
        <w:spacing w:after="0" w:line="261" w:lineRule="auto"/>
        <w:rPr>
          <w:sz w:val="20"/>
          <w:szCs w:val="20"/>
          <w:color w:val="auto"/>
        </w:rPr>
      </w:pPr>
      <w:r>
        <w:rPr>
          <w:rFonts w:ascii="Times New Roman" w:cs="Times New Roman" w:eastAsia="Times New Roman" w:hAnsi="Times New Roman"/>
          <w:sz w:val="18"/>
          <w:szCs w:val="18"/>
          <w:color w:val="auto"/>
        </w:rPr>
        <w:t>Brain tumors are the most frequently occurring solid tumors in children. While pLGG is the most common brain tumor diagnosed, representing approximately 30% of all childhood brain tumors, the annual estimated incidence of pLGG is 1.3 to 2.1 per 100,000 in the United States. Given the incidence of this disease, our team recognized the market opportunity for developing tovorafenib in this patient population based on the following rationale:</w:t>
      </w:r>
    </w:p>
    <w:p>
      <w:pPr>
        <w:spacing w:after="0" w:line="72" w:lineRule="exact"/>
        <w:rPr>
          <w:sz w:val="20"/>
          <w:szCs w:val="20"/>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tovorafenib, a type-II RAF inhibitor, to be a high-impact targeted therapeutic in pLGG where approximately 70% of tumors are BRAF-altered pLGG in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reimbursement precedents for high impact therapeutics in rare diseases, oncology and pediatrics.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duration of treatment required over many years to address these slow-growing and relentless tumors.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unmet medical need with limited current treatment alternatives for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value proposition for physicians, patients and families.</w:t>
      </w:r>
    </w:p>
    <w:p>
      <w:pPr>
        <w:spacing w:after="0" w:line="117"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We believe tovorafenib, if approved, could become the standard of care for the treatment of pLGG. Due to the need for chronic administration, potentially over many years, the standard of care should be an effective, long-term therapeutic while providing a tolerability profile that minimizes long-term morbidity and treatment-associated toxicity. We believe that tovorafenib has the potential to provide long-term benefit—similar to effective therapies for more traditional chronic rare diseases—to patients with pLGG. We also believe that tovorafenib’s oral, once-weekly dosing regimen would appeal to physicians, patients and their parents.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Investigator-initiated trials of tovorafenib</w:t>
      </w:r>
    </w:p>
    <w:p>
      <w:pPr>
        <w:spacing w:after="0" w:line="121" w:lineRule="exact"/>
        <w:rPr>
          <w:sz w:val="20"/>
          <w:szCs w:val="20"/>
          <w:color w:val="auto"/>
        </w:rPr>
      </w:pPr>
    </w:p>
    <w:p>
      <w:pPr>
        <w:ind w:right="420" w:firstLine="562"/>
        <w:spacing w:after="0" w:line="266" w:lineRule="auto"/>
        <w:rPr>
          <w:sz w:val="20"/>
          <w:szCs w:val="20"/>
          <w:color w:val="auto"/>
        </w:rPr>
      </w:pPr>
      <w:r>
        <w:rPr>
          <w:rFonts w:ascii="Times New Roman" w:cs="Times New Roman" w:eastAsia="Times New Roman" w:hAnsi="Times New Roman"/>
          <w:sz w:val="18"/>
          <w:szCs w:val="18"/>
          <w:color w:val="auto"/>
        </w:rPr>
        <w:t>We intend to leverage our relationships with academic investigators and pediatric oncology cooperative groups and consortia to explore the potential for tovorafenib in other rare pediatric tumor types. The following investigator-sponsored trials are currently open to enrollment as of January 2025:</w:t>
      </w:r>
    </w:p>
    <w:p>
      <w:pPr>
        <w:spacing w:after="0" w:line="68"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A Phase 2 trial in relapsed Langerhans cell histiocytosis was initiated in March 2022 by the Children’s Oncology Group, a National Cancer Institute-supported clinical trials group and the world’s largest organization devoted exclusively to childhood and adolescent cancer research. This study is part of a Written Request issued by the FDA and is planned as a single-arm non-randomized trial, which has an estimated enrollment of 56 participants who will be administered tovorafenib to determine overall response rate for children and young adults with recurrent or progressive Langerhans cell histiocytosis.</w:t>
      </w:r>
    </w:p>
    <w:p>
      <w:pPr>
        <w:spacing w:after="0" w:line="75" w:lineRule="exact"/>
        <w:rPr>
          <w:sz w:val="20"/>
          <w:szCs w:val="20"/>
          <w:color w:val="auto"/>
        </w:rPr>
      </w:pPr>
    </w:p>
    <w:p>
      <w:pPr>
        <w:ind w:right="220" w:firstLine="562"/>
        <w:spacing w:after="0" w:line="266" w:lineRule="auto"/>
        <w:rPr>
          <w:sz w:val="20"/>
          <w:szCs w:val="20"/>
          <w:color w:val="auto"/>
        </w:rPr>
      </w:pPr>
      <w:r>
        <w:rPr>
          <w:rFonts w:ascii="Times New Roman" w:cs="Times New Roman" w:eastAsia="Times New Roman" w:hAnsi="Times New Roman"/>
          <w:sz w:val="18"/>
          <w:szCs w:val="18"/>
          <w:color w:val="auto"/>
        </w:rPr>
        <w:t>A second Phase 2 trial in craniopharyngioma was initiated in July 2022 by the Pacific Pediatric Neuro-Oncology Consortium. This study was originally designed as a randomized multi-arm trial, where patients would be administered nivolumab and tovorafenib in combination with nivolumab to assess the tolerability and efficacy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combination therapy with PD-1 (nivolumab) and pan-RAF-kinase (tovorafenib) inhibition for the treatment of children and young adults with craniopharyngioma, however, the study was amended in January 2025 as a single-arm study of tovorafenib only with an estimated enrollment of 57 patients.</w:t>
      </w:r>
    </w:p>
    <w:p>
      <w:pPr>
        <w:spacing w:after="0" w:line="68" w:lineRule="exact"/>
        <w:rPr>
          <w:sz w:val="20"/>
          <w:szCs w:val="20"/>
          <w:color w:val="auto"/>
        </w:rPr>
      </w:pPr>
    </w:p>
    <w:p>
      <w:pPr>
        <w:ind w:right="360" w:firstLine="562"/>
        <w:spacing w:after="0" w:line="282" w:lineRule="auto"/>
        <w:rPr>
          <w:sz w:val="20"/>
          <w:szCs w:val="20"/>
          <w:color w:val="auto"/>
        </w:rPr>
      </w:pPr>
      <w:r>
        <w:rPr>
          <w:rFonts w:ascii="Times New Roman" w:cs="Times New Roman" w:eastAsia="Times New Roman" w:hAnsi="Times New Roman"/>
          <w:sz w:val="18"/>
          <w:szCs w:val="18"/>
          <w:color w:val="auto"/>
        </w:rPr>
        <w:t>A Phase 1/2 study of tovorafenib in combination with vinblastine was initiated in 2024 by the Hospital for Sick Kids in Toronto, Canada, in collaboration with the C17 Council, in patients with relapsed/refractory low-grade glioma. The study is anticipated to enroll approximately 55 patients.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Emiltatug Ledadotin (Emi-Le)</w:t>
      </w:r>
    </w:p>
    <w:p>
      <w:pPr>
        <w:spacing w:after="0" w:line="121"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Emiltatug ledadotin (Emi-Le; DAY501 or XMT-1660) is a B7-H4-directed ADC with a site-specific conjugated auristatin F-HPA microtubule inhibitor payload at a homogenous DAR6 via a fully synthetic linker framework using the GlycoConnect® technology. Emi-le is indicated for the potential treatment of patients with advanced solid tumors.</w:t>
      </w:r>
    </w:p>
    <w:p>
      <w:pPr>
        <w:spacing w:after="0" w:line="68" w:lineRule="exact"/>
        <w:rPr>
          <w:sz w:val="20"/>
          <w:szCs w:val="20"/>
          <w:color w:val="auto"/>
        </w:rPr>
      </w:pPr>
    </w:p>
    <w:p>
      <w:pPr>
        <w:ind w:right="60" w:firstLine="562"/>
        <w:spacing w:after="0" w:line="254" w:lineRule="auto"/>
        <w:rPr>
          <w:sz w:val="20"/>
          <w:szCs w:val="20"/>
          <w:color w:val="auto"/>
        </w:rPr>
      </w:pPr>
      <w:r>
        <w:rPr>
          <w:rFonts w:ascii="Times New Roman" w:cs="Times New Roman" w:eastAsia="Times New Roman" w:hAnsi="Times New Roman"/>
          <w:sz w:val="18"/>
          <w:szCs w:val="18"/>
          <w:color w:val="auto"/>
        </w:rPr>
        <w:t>B7-H4 (VTCN1) is a member of the B7 immune checkpoint family with a distinct expression pattern from classical checkpoint pathways. It acts as an immunosuppressant that regulates the innate and adaptive immune systems and is associated with exclusion of T cells from the tumor microenvironment. B7-H4 has elevated expression across a range of solid tumor indications, namely breast, endometrial, ovarian, cholangiocarcinoma and gastrointestinal tumors. Notably, in adenoid cystic carcinoma, or ACC, 94% of tumors exhibit some level of expression and high B7-H4 expression is correlated with worse prognosis. ACC is a rare cancer that typically arises in the salivary glands but can affect various organs. Up to 40% of patients have an aggressive form of ACC characterized by solid/basaloid or high-grade transformation histology and poor prognosis with median progression-free survival (PFS) of 2–3 months and median overall survival of approximately 3 years. There are no approved systemic therapies for recurrent or metastatic ACC.</w:t>
      </w:r>
    </w:p>
    <w:p>
      <w:pPr>
        <w:spacing w:after="0" w:line="84"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Emi-le is being evaluated in a Phase 1 dose escalation and expansion study in patients with solid tumors. The objective of the Phase 1b study is to define an optimized dose and to define clinical activity in one or more histologically defined tumor types for a potential single-arm registrational trial for accelerated approval or randomized trial. In 2025, at American Society of Clinical Oncology, or ASCO, 2025 and European Society for Medical Oncology Breast Cancer 2025, interim clinical data in patients with triple negative breast cancer, or TNBC, post-topo-1 treatment and from nine evaluable patients with aggressive ACC were presented. To date, a substantially greater number of patients with ACC have been enrolled in backfill dose cohorts than was presented at ASCO 2025. The data from ACC patients enrolled in this trial continue to mature as we enroll additional patients, and patients remain on treatment for longer periods. Emi-Le continues to be generally well-tolerated, and its observed safety profile remains consistent with previously disclosed data.</w:t>
      </w:r>
    </w:p>
    <w:p>
      <w:pPr>
        <w:spacing w:after="0" w:line="84" w:lineRule="exact"/>
        <w:rPr>
          <w:sz w:val="20"/>
          <w:szCs w:val="20"/>
          <w:color w:val="auto"/>
        </w:rPr>
      </w:pPr>
    </w:p>
    <w:p>
      <w:pPr>
        <w:ind w:right="380" w:firstLine="562"/>
        <w:spacing w:after="0" w:line="282" w:lineRule="auto"/>
        <w:rPr>
          <w:sz w:val="20"/>
          <w:szCs w:val="20"/>
          <w:color w:val="auto"/>
        </w:rPr>
      </w:pPr>
      <w:r>
        <w:rPr>
          <w:rFonts w:ascii="Times New Roman" w:cs="Times New Roman" w:eastAsia="Times New Roman" w:hAnsi="Times New Roman"/>
          <w:sz w:val="18"/>
          <w:szCs w:val="18"/>
          <w:color w:val="auto"/>
        </w:rPr>
        <w:t>Day One is continuing to evaluate Emi-Le in patients with aggressive ACC in the backfill cohorts of the dose escalation portion of the ongoing Phase 1 clinical trial and expects to report updated clinical data in mid-2026.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DAY301</w:t>
      </w:r>
    </w:p>
    <w:p>
      <w:pPr>
        <w:spacing w:after="0" w:line="121" w:lineRule="exact"/>
        <w:rPr>
          <w:sz w:val="20"/>
          <w:szCs w:val="20"/>
          <w:color w:val="auto"/>
        </w:rPr>
      </w:pPr>
    </w:p>
    <w:p>
      <w:pPr>
        <w:ind w:right="360" w:firstLine="562"/>
        <w:spacing w:after="0" w:line="266" w:lineRule="auto"/>
        <w:rPr>
          <w:sz w:val="20"/>
          <w:szCs w:val="20"/>
          <w:color w:val="auto"/>
        </w:rPr>
      </w:pPr>
      <w:r>
        <w:rPr>
          <w:rFonts w:ascii="Times New Roman" w:cs="Times New Roman" w:eastAsia="Times New Roman" w:hAnsi="Times New Roman"/>
          <w:sz w:val="18"/>
          <w:szCs w:val="18"/>
          <w:color w:val="auto"/>
        </w:rPr>
        <w:t>DAY301, is a PTK7-targeted ADC composed of a novel humanized anti-PTK7 immunoglobulin G1 monoclonal antibody, or mAb, conjugated with a topoisomerase I inhibitor (exatecan mesylate) via a highly stable and hydrophilic modified valine-alanine (VA) cleavable linker. DAY301 is intended for the treatment of patients with advanced solid tumors.</w:t>
      </w:r>
    </w:p>
    <w:p>
      <w:pPr>
        <w:spacing w:after="0" w:line="68"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DAY301 targets PTK7, a highly-conserved, catalytically inactive transmembrane protein that is overexpressed in multiple adult cancers. DAY301 demonstrated encouraging preclinical antitumor efficacy in relevant tumor models representing a wide range of solid tumors, including ovarian cancer, NSCLC, TNBC, SCLC, ESCC, CSCC, colorectal cancer, and esophageal adenocarcinoma. DAY301 was tolerated in non-human primate nonclinical toxicology studies with favorable pharmacokinetic and safety profiles. Collectively, the data suggest that DAY301 could potentially have a wide therapeutic window in clinical testing and therefore provide benefits for cancer patients with high unmet medical needs.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have initiated a Phase 1a/b dose-escalation and cohort expansion study to evaluate the safety and tolerability of DAY301 in patients with tumor types known to have high PTK7 expression. The objective of the Phase 1a study is to identify two recommended dose levels for further evaluation based on safety and anti-tumor activity. Once the two recommended doses are established, a minimum of two cohorts of patients selected based 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PTK7 expression clinical trial assay will be enrolled in the Phase 1b dose expansion and optimization portion of this trial. The objective of the Phase 1b study is to define an optimized dose and to define clinical activity in one or more histologically defined tumor types for a potential single-arm registrational trial for accelerated approval or randomized trial. The primary endpoint for the Phase 1a/b study is safety. In January 2025, we cleared the first cohort (a single-patient accelerated titration cohort) in the Phase 1a portion of the DAY301 Phase 1a/b clinical trial. We expect to report initial clinical data and provide a program update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402590</wp:posOffset>
            </wp:positionV>
            <wp:extent cx="5349240" cy="1337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7. Design of the Phase 1a and Phase 1b trials of DAY301.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build, any manufacturing facilities. We rely, and expect to continue to rely, on third parties for the manufacture of our product candidates for clinical testing, as well as for commercial use. We also rely, and expect to continue to rely, on third parties to package, label, store and distribute our investigational product candidates, as well as our commercial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75"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To date, for tovorafenib, we have contracted to obtain active pharmaceutical ingredients, or API, drug product, and packaging services for our product candidates from STA Pharmaceutical Hong Kong Limited, Quotient Sciences – Philadelphia, LLC, Experic, LLC and Sharp Packaging Services, LLC, respectively, upon whom we currently rely as single-source contract manufacturing organizations, or CMOs. For clinical and commercial supply of tovorafenib, we have negotiated supply agreements to meet the anticipated demand of the product.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DAY301, the antibody and linker payload as well as final drug product manufacturing are all conducted in China.</w:t>
      </w:r>
    </w:p>
    <w:p>
      <w:pPr>
        <w:spacing w:after="0" w:line="117"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As we advance our product candidates through development and expand our commercial volumes, we will explore adding backup suppliers for the API, drug product, packaging and formulation for each of our product candidates to protect against any potential supply disruptions.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generally expect to rely on third parties for the manufacture of any companion diagnostics we may develop.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100" w:firstLine="562"/>
        <w:spacing w:after="0" w:line="255" w:lineRule="auto"/>
        <w:rPr>
          <w:sz w:val="20"/>
          <w:szCs w:val="20"/>
          <w:color w:val="auto"/>
        </w:rPr>
      </w:pPr>
      <w:r>
        <w:rPr>
          <w:rFonts w:ascii="Times New Roman" w:cs="Times New Roman" w:eastAsia="Times New Roman" w:hAnsi="Times New Roman"/>
          <w:sz w:val="18"/>
          <w:szCs w:val="18"/>
          <w:color w:val="auto"/>
        </w:rPr>
        <w:t>In order to deliver the best outcomes for patients of all ages, we aim to identify and develop first-in-class or best-in-class medicines for childhood and adult diseases with equal intensity. Our commercial team consists of experts in analytics, access, distribution, marketing and sales. The analytics team evaluates our market competitors and provides deep understanding of our customers to our organization. Our access team engages with managed care, government payers, hospital systems, specialty distributors and specialty pharmacies to ensure the effective distribution and coverage for our product. The marketing team sets the strategy for the brand and delivers the materials needed to engage physicians and patients and to provide information about our product. In the United States, pLGG is treated by a focused group of specialists, which has enabled us to build a very efficient sales organization with 18 representatives calling on the approximately 200 accounts that treat over 90% of pLGG patients.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6"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Outside of the United States, we have entered into a collaboration agreement with Ipsen to distribute and commercialize OJEMDA, leveraging a company with established teams and deep expertise in these markets instead of building these capabilities internally. For future molecules, each molecule will be individually assessed to determine our strategy in key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75"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Future mergers and acquisitions may result in even more resource concentration in our competitors.</w:t>
      </w:r>
    </w:p>
    <w:p>
      <w:pPr>
        <w:spacing w:after="0" w:line="79" w:lineRule="exact"/>
        <w:rPr>
          <w:sz w:val="20"/>
          <w:szCs w:val="20"/>
          <w:color w:val="auto"/>
        </w:rPr>
      </w:pPr>
    </w:p>
    <w:p>
      <w:pPr>
        <w:jc w:val="both"/>
        <w:ind w:right="160" w:firstLine="562"/>
        <w:spacing w:after="0" w:line="258"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or more effective, have fewer or less severe side effects, and are more convenient or less expensive than products that we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w:t>
      </w:r>
    </w:p>
    <w:p>
      <w:pPr>
        <w:spacing w:after="0" w:line="75"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Three BRAF inhibitors have been approved by the FDA for the treatment of tumors containing V600E or V600K mutations. These first-generation BRAF inhibitors, known more generally as type I RAF inhibitors, are vemurafenib, marketed as Zelboraf® by Genentech; dabrafenib, marketed as Tafinlar® by Novartis; and encorafenib, marketed as Braftovi® by Pfizer. Dabrafinib,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(approximately 10%-20%) of the greater RAF-altered pLGG clinical scope of the tovorafenib development program.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4"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Five MEK inhibitors have been approved by the FDA. Three have been approved for the treatment of tumors containing BRAF V600E or V600K mutations, including cobimetinib, marketed as Cotellic® by Genentech; trametinib, marketed as Mekinist® by Novartis; and binimetinib, marketed as Mektovi®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spacing w:after="0" w:line="8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Pharma's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pan-RAF inhibitor JZP815 is currently being evaluated in a Phase 1 trial in adult solid tumors harboring alterations in the MAPK pathway. Erasca and Novartis’ naporafenib, a pan-RAF inhibitor with a potential first-in-class and best-in-class profile in NRAS mutant melanoma and other RAS/MAPK pathway-driven tumors is being evaluated in combination with trametinib in a Phase 3 clinical trial in patients with NRAS-mutant melanoma. Nested Therapeutics has advanced NST-628, a pan-RAF/MEK “molecular glue” into a Phase 1 clinical trial. Pfizer’s PF-07799933 (ARRY-440) is a brain-penetrant BRAF-selective monomer/dimer inhibitor that spares ARAF and CRAF, and is currently being evaluated in a phase 1 trial in adults with solid tumors.</w:t>
      </w:r>
    </w:p>
    <w:p>
      <w:pPr>
        <w:spacing w:after="0" w:line="79" w:lineRule="exact"/>
        <w:rPr>
          <w:sz w:val="20"/>
          <w:szCs w:val="20"/>
          <w:color w:val="auto"/>
        </w:rPr>
      </w:pPr>
    </w:p>
    <w:p>
      <w:pPr>
        <w:jc w:val="both"/>
        <w:ind w:right="380" w:firstLine="562"/>
        <w:spacing w:after="0" w:line="266" w:lineRule="auto"/>
        <w:rPr>
          <w:sz w:val="20"/>
          <w:szCs w:val="20"/>
          <w:color w:val="auto"/>
        </w:rPr>
      </w:pPr>
      <w:r>
        <w:rPr>
          <w:rFonts w:ascii="Times New Roman" w:cs="Times New Roman" w:eastAsia="Times New Roman" w:hAnsi="Times New Roman"/>
          <w:sz w:val="18"/>
          <w:szCs w:val="18"/>
          <w:color w:val="auto"/>
        </w:rPr>
        <w:t>Further, some MEK inhibitors and some type I RAF inhibitors and other targeted therapies are being studied in academic investigator-initiated clinical trials, and in some regions may be being used in an off-label manner. These agents may represent competition for OJEMDA when it enters the market.</w:t>
      </w:r>
    </w:p>
    <w:p>
      <w:pPr>
        <w:spacing w:after="0" w:line="6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development. In February 2024, Profound Bio dosed its first patient in a Phase 1/2 Clinical Trial of PRO1107, a PTK7-targetted ADC with an auristatin payload. Profound Bio was acquired by Genmab A/S in May of 2024 and the program was renamed to GEN1107. In September 2025, Genmab announced that PRO1107 was being discontinued due to the overall benefit-risk balance of the program. In May 2024, Sichuan Kelun Pharmaceutical Research Institute listed a Phase 1 study of SKB518, a PTK7-targeted ADC with a topoisomerase-1 payload, in adults with advanced or metastatic solid tumors. A Phase 2 trial evaluating SKB518 in patients with NSCLC and SCLC was recently announced but has not yet opened for recruitment. Eli Lilly and Company is also conducting a clinical trial, initiated in July 2025, for LY4175408, a PTK7 targeted ADC with an exatecan payload. Notable PTK7-targeted ADCs in preclinical development include Whitehawk’s HWK-007, IDEAYA’s IDE-034, Biocytogen’s BCG003 and BCG017, Kivu Bio’s KIVU107, Zymeworks’ ZW318 and SutroBio’s STRO-227.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 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84"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5"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XOMA</w:t>
      </w:r>
    </w:p>
    <w:p>
      <w:pPr>
        <w:spacing w:after="0" w:line="121"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 in December 2019.</w:t>
      </w:r>
    </w:p>
    <w:p>
      <w:pPr>
        <w:spacing w:after="0" w:line="75"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spacing w:after="0" w:line="68"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spacing w:after="0" w:line="72"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spacing w:after="0" w:line="68"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referred to as the XOMA License Agreement. No material terms of the XOMA License Agreement have been amended or modified in relation to the same.</w:t>
      </w:r>
    </w:p>
    <w:p>
      <w:pPr>
        <w:spacing w:after="0" w:line="72" w:lineRule="exact"/>
        <w:rPr>
          <w:sz w:val="20"/>
          <w:szCs w:val="20"/>
          <w:color w:val="auto"/>
        </w:rPr>
      </w:pPr>
    </w:p>
    <w:p>
      <w:pPr>
        <w:jc w:val="both"/>
        <w:ind w:right="80" w:firstLine="562"/>
        <w:spacing w:after="0" w:line="266" w:lineRule="auto"/>
        <w:rPr>
          <w:sz w:val="20"/>
          <w:szCs w:val="20"/>
          <w:color w:val="auto"/>
        </w:rPr>
      </w:pPr>
      <w:r>
        <w:rPr>
          <w:rFonts w:ascii="Times New Roman" w:cs="Times New Roman" w:eastAsia="Times New Roman" w:hAnsi="Times New Roman"/>
          <w:sz w:val="18"/>
          <w:szCs w:val="18"/>
          <w:color w:val="auto"/>
        </w:rPr>
        <w:t>On March 27, 2025, Ipsen received validation of its completed submission of the Marketing Authorization Application to the EMA for tovorafenib for the treatment of patients with relapsed or refractory pLGG. Ipsen anticipates a regulatory decision in 2026. As a result, we paid $4.0 million to XOMA for the achievement of this milestone in March 2025.</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26, 2025, we achieved a regulatory milestone related to tovorafenib for the treatment of patients with relapsed or refractory pLGG.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we paid $2.0 million to XOMA for the achievement of this milestone in December 2025.</w:t>
      </w:r>
    </w:p>
    <w:p>
      <w:pPr>
        <w:spacing w:after="0" w:line="9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As of December 31, 2025, we could be required to make additional milestone payments of up to $34.0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obligations to use commercially reasonable efforts to develop, obtain regulatory approval for, and commercialize at least one licensed product in one indication in each of the United States, Japan, and three European countries.</w:t>
      </w:r>
    </w:p>
    <w:p>
      <w:pPr>
        <w:spacing w:after="0" w:line="54"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spacing w:after="0" w:line="75" w:lineRule="exact"/>
        <w:rPr>
          <w:sz w:val="20"/>
          <w:szCs w:val="20"/>
          <w:color w:val="auto"/>
        </w:rPr>
      </w:pPr>
    </w:p>
    <w:p>
      <w:pPr>
        <w:ind w:right="32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we made an upfront payment of $55.0 million in July 2024. As of December 31, 2025, we could be required to make additional payments of $1,132.0 million based upon the achievement of specified development, regulatory, and commercial success-based milestones plus low-to-mid single-digit royalties on net sales outside of Greater China.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spacing w:after="0" w:line="75"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2025, we are also eligible to receive up to approximately $375.0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120" w:firstLine="464"/>
        <w:spacing w:after="0" w:line="266" w:lineRule="auto"/>
        <w:rPr>
          <w:sz w:val="20"/>
          <w:szCs w:val="20"/>
          <w:color w:val="auto"/>
        </w:rPr>
      </w:pPr>
      <w:r>
        <w:rPr>
          <w:rFonts w:ascii="Times New Roman" w:cs="Times New Roman" w:eastAsia="Times New Roman" w:hAnsi="Times New Roman"/>
          <w:sz w:val="18"/>
          <w:szCs w:val="18"/>
          <w:color w:val="auto"/>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spacing w:after="0" w:line="68" w:lineRule="exact"/>
        <w:rPr>
          <w:sz w:val="20"/>
          <w:szCs w:val="20"/>
          <w:color w:val="auto"/>
        </w:rPr>
      </w:pPr>
    </w:p>
    <w:p>
      <w:pPr>
        <w:ind w:right="12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expect that we will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 property position. Presently, our patent portfolio includes issued patents and pending patent applications that are in-licensed, owned and/or co-owned by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We currently, and expect that we will continue to, own, co-own or in-license patent applications and issued patents related to our drug candidates, as well as their use in the treatment of various diseases such as pediatric and adult cancers. For our drug candidates, we generally pursue multilayered patent protection covering compositions of matter, methods of use, and methods of manufacture. We intend to strengthen the patent protection of our drug candidates and technologies through additional patent application filings.</w:t>
      </w:r>
    </w:p>
    <w:p>
      <w:pPr>
        <w:spacing w:after="0" w:line="72" w:lineRule="exact"/>
        <w:rPr>
          <w:sz w:val="20"/>
          <w:szCs w:val="20"/>
          <w:color w:val="auto"/>
        </w:rPr>
      </w:pPr>
    </w:p>
    <w:p>
      <w:pPr>
        <w:ind w:right="300" w:firstLine="562"/>
        <w:spacing w:after="0" w:line="261" w:lineRule="auto"/>
        <w:rPr>
          <w:sz w:val="20"/>
          <w:szCs w:val="20"/>
          <w:color w:val="auto"/>
        </w:rPr>
      </w:pPr>
      <w:r>
        <w:rPr>
          <w:rFonts w:ascii="Times New Roman" w:cs="Times New Roman" w:eastAsia="Times New Roman" w:hAnsi="Times New Roman"/>
          <w:sz w:val="18"/>
          <w:szCs w:val="18"/>
          <w:color w:val="auto"/>
        </w:rPr>
        <w:t>As of January 1, 2026, we owned or co-owned a patent portfolio consisting of ten patent families, non-exclusively in-licensed one patent family from Takeda Pharmaceutical Company Limited, exclusively in-licensed one patent family from MabCare Therapeutics and non-exclusively in-licensed three patent families from MabCare Therapeutics. Our owned or co-owned patent families include patent families that cover compositions of matter, pharmaceutical compositions, methods of synthesis, synthetic intermediates, methods of treatment, and combination therapies related to tovorafenib.</w:t>
      </w:r>
    </w:p>
    <w:p>
      <w:pPr>
        <w:spacing w:after="0" w:line="7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Certain patents and patent applications of our owned or co-owned patent portfolio have been out-licensed to Ipsen Pharma SAS, on an exclusive basis, with the right to commercialize tovorafenib in all territories outside the United States (see License agreement with Ipsen Pharma SAS, herein). The non-exclusively in-licensed patent family from Takeda Pharmaceutical Company Limited covers a catalyst that may be used in a preparation of our product candidate tovorafenib. The patent families in-licensed from MabCare Therapeutics cover the compositions of matter and methods of use of our product candidate, DAY301. Patent terms for our owned, co-owned or licensed patents discussed herein exclude any patent term extension that may be awarded.</w:t>
      </w:r>
    </w:p>
    <w:p>
      <w:pPr>
        <w:spacing w:after="0" w:line="75"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Our owned or co-owned patent portfolio, as of January 1, 2026, includes a co-owned patent family that is directed to the compositions of matter and methods of use of tovorafenib with four issued U.S. patents and multiple foreign patents and applications including granted patents in Germany, France, the United Kingdom, Belgium, Switzerland, Denmark, Spain, Ireland, Italy, Netherlands, Australia, Brazil, China, India, Japan, Korea, Mexico, Russia, Singapore, South Africa, Taiwan, and Hong Kong, which are expected to expire between 2028 and 2031. The issued composition of matter patent of tovorafenib provides protection in the United States, out to 2036 with 5 years of patent term extension, if granted.</w:t>
      </w:r>
    </w:p>
    <w:p>
      <w:pPr>
        <w:spacing w:after="0" w:line="75" w:lineRule="exact"/>
        <w:rPr>
          <w:sz w:val="20"/>
          <w:szCs w:val="20"/>
          <w:color w:val="auto"/>
        </w:rPr>
      </w:pPr>
    </w:p>
    <w:p>
      <w:pPr>
        <w:ind w:right="40" w:firstLine="562"/>
        <w:spacing w:after="0" w:line="252" w:lineRule="auto"/>
        <w:rPr>
          <w:sz w:val="20"/>
          <w:szCs w:val="20"/>
          <w:color w:val="auto"/>
        </w:rPr>
      </w:pPr>
      <w:r>
        <w:rPr>
          <w:rFonts w:ascii="Times New Roman" w:cs="Times New Roman" w:eastAsia="Times New Roman" w:hAnsi="Times New Roman"/>
          <w:sz w:val="18"/>
          <w:szCs w:val="18"/>
          <w:color w:val="auto"/>
        </w:rPr>
        <w:t>Our owned or co-owned patent portfolio includes a patent family that is directed to pharmaceutical formulations of tovorafenib with an issued U.S. patent and multiple foreign patents and applications including granted patents in Germany, France, the United Kingdom, Belgium, Brazil, Switzerland, Spain, India, Ireland, Italy, Luxembourg, Monaco, Japan, and China, which are expected to expire in 2035. Our owned or co-owned patent portfolio includes an additional pharmaceutical formulation patent family that is directed to formulations of tovorafenib including pending applications in the United States, Europe, China, Hong Kong, and Japan that, if issued, are expected to expire in 2040. Our owned or co-owned patent portfolio includes a patent family directed to additional formulations of tovorafenib with pending applications in the United States, Australia, Brazil, Canada, China, Europe, Hong Kong, Israel, Japan, Korea, Kuwait, Mexico, Russia, Saudi Arabia, and the United Arab Emirates, that, if issued, are expected to expire in 2043. Our owned or co-owned patent portfolio also includes a patent family directed to methods of synthesizing tovorafenib including two issued U.S. patents, and granted patents in Australia, Brazil, Eurasia, Spain, the United Kingdom, Israel, Japan, Korea, India, China, Hong Kong, Singapore, and Mexico which are expected to expire in 2038, as well as pending applications in China, Europe, Canada, Hong Kong, and Singapore that, if issued, are expected to expire in 2038. Our owned or co-owned patent portfolio further includes a patent family directed to methods of treating cancer using tovorafenib in combination with docetaxel with multiple foreign patents including granted patents in China, Germany, France, the United Kingdom, Belgium, Switzerland, Spain, Ireland, Italy, Luxembourg, and Monaco that are expected to expire in 2035. Our owned or co-owned patent portfolio includes a patent family directed to methods of treating pLGG including pending applications in the United States, Singapore, Mexico, Korea, Japan, Hong Kong, Europe, China, Canada, and Australia that, if issued, are expected to expire in 2041. Our owned or co-owned patent portfolio includes a patent family directed to methods of treating cancer using tovorafenib in combination with a MEK inhibitor including a granted patent in South Africa and pending applications in the United States, Singapore, New Zealand, Mexico, Korea, Japan, Israel, Hong Kong, Europe, China, Canada, Brazil, and Australia that, if issued, are expected to expire in 2042. Our owned or co-owned patent portfolio includes a patent family directed to methods of selecting patients for treatment with tovorafenib with pending applications in the United States, Hong Kong, and Europe, that, if issued, are expected to expire in 2042. Our owned or co-owned patent portfolio further includes an additional patent family with a pending PCT application directed to methods of treating pLGG that, if nationalized and issued, is expected to expire in 2044.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Upon closure of the Mersana Therapeutics, Inc. acquisition on January 6, 2026, our owned patent portfolio includes patent families directed to Emi-Le including the related components, intermediates, methods of manufacture, and methods of treatment. One patent family covers the Emi-Le payload and methods of synthesizing the payload, and this patent family includes ten issued United States patents and several issued patents in foreign jurisdictions with expected patent term to 2032. Two patent families cover Emi-Le, intermediates, and methods of synthesizing Emi-Le. The first family includes one issued United States patent with expected patent term to 2041, and pending patent applications in the United States and several foreign jurisdictions that, if issued, are expected to expire in 2041. The second patent family includes one issued United States patent with expected patent term to 2042, and pending patent applications in the United States and several foreign jurisdictions that, if issued, are expected to expire in 2042. One patent family is directed to methods of treating adenoid cystic carcinoma using Emi-Le, which has one pending PCT International patent application that, if nationalized and issued, is expected to expire in 2044. One patent family is directed to methods of treating triple negative breast cancer using Emi-Le, which has pending patent applications in the United States and several foreign jurisdictions that, if issued, are expected to expire in 2043. One patent family is directed to methods of treating cancer using Emi-Le or combinations including Emi-Le, which has one pending PCT International patent application that, if nationalized and issued, is expected to expire in 2046. One patent family is directed to Emi-Le treatment regimens, which has one pending United States provisional patent application that, if nationalized and issued, is expected to expire in 2046.</w:t>
      </w:r>
    </w:p>
    <w:p>
      <w:pPr>
        <w:spacing w:after="0" w:line="79"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Our patent portfolio, as of January 1, 2026, includes patent families in-licensed from Mabcare Therapeutics that cover compositions of matter, methods of use, and synthetic intermediates of DAY301. One patent family directed to the composition of matter and use of DAY301 with an allowed application in the United States, and pending applications in the Australia, Brazil, Canada, China, Europe, Hong Kong, India, Israel, Japan, Korea, Mexico, Singapore, South Africa, and Taiwan, that if issued, are expected to expire in 2044. The MabCare in-licensed portfolio also includes three patent families directed to an ADC linker used in DAY301 and includes pending applications in the United States and foreign jurisdictions that, if issued, are expected to expire in 2042. Details of the terms of the license agreement with Mabcare Therapeutics are discussed under the heading License agreement with MabCare Therapeutics herein.</w:t>
      </w:r>
    </w:p>
    <w:p>
      <w:pPr>
        <w:spacing w:after="0" w:line="81"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 which we file, the patent term is generally 20 years from the earliest date of filing a non-provisional patent application. In the United States, the patent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Additionally, the Drug Price Competition and Patent Term Restoration Act of 1984, or the Hatch-Waxman Act, permits patent term extension of up to five years beyond the expiration date of a U.S. patent as partial compensation for the length of time a drug is under regulatory review while a patent that covers the drug is in force.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86"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In the future, if and when our future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Our Intellectual Property.”</w:t>
      </w:r>
    </w:p>
    <w:p>
      <w:pPr>
        <w:spacing w:after="0" w:line="75" w:lineRule="exact"/>
        <w:rPr>
          <w:sz w:val="20"/>
          <w:szCs w:val="20"/>
          <w:color w:val="auto"/>
        </w:rPr>
      </w:pPr>
    </w:p>
    <w:p>
      <w:pPr>
        <w:ind w:right="160" w:firstLine="562"/>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participate in interference or derivation proceedings in the USPTO to determine priority of invention. For more information, see the section titled “Risk Factors–Risks Related to Our Intellectual Property.”</w:t>
      </w:r>
    </w:p>
    <w:p>
      <w:pPr>
        <w:spacing w:after="0" w:line="54" w:lineRule="exact"/>
        <w:rPr>
          <w:sz w:val="20"/>
          <w:szCs w:val="20"/>
          <w:color w:val="auto"/>
        </w:rPr>
      </w:pPr>
    </w:p>
    <w:p>
      <w:pPr>
        <w:ind w:right="60" w:firstLine="562"/>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trademarks, other proprietary information and continuing technological innovation to develop and maintain our competitive position. Our trademark portfolio currently contains applications and/or registrations for Day One and Day One Biopharmaceuticals, the Day One Biopharmaceuticals Logo, Everyday Support from Day One, and Rethink PLGG in the United States as well as applications for OJEMDA, the marketing name for tovorafenib, in the United States and applications and/or registrations for OJEMDA, OJEMDA in various languages, and the OJEMDA Logo in 30 additional countries/jurisdictions outside the United States.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approval, packaging, storage, recordkeeping, labeling, advertising, promotion, marketing, distribution, post-approval monitoring, studies, and reporting, sampling,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220" w:firstLine="562"/>
        <w:spacing w:after="0" w:line="255"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pursuant to the Federal Food, Drug, and Cosmetic Act, or FD&amp;C Act, and other federal and state statutes and regulations that govern, among other things, the research, development, testing, manufacture, quality, approval, packaging, storage, recordkeeping, labeling, advertising, promotion, marketing, distribution, post-approval monitoring, studies, and reporting, sampling, and import and export of pharmaceutical products. Failure to comply with applicable U.S. requirements may subject a company to a variety of administrative or judicial sanctions, such as clinical holds, FDA refusal to accept new marketing applications or approve pending applications, warning or untitled letters, product recalls, product seizures, total or partial suspension of production or distribution, injunctions, fines, civil monetary penalties, and criminal prosecution, penalties and fines.</w:t>
      </w:r>
    </w:p>
    <w:p>
      <w:pPr>
        <w:spacing w:after="0" w:line="8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The FDA holds broad discretion under the FDCA and other statutes to interpret the conditions and evidence necessary for timely approval of our drugs. Satisfaction of FDA pre-approval requirements typically takes many years and the actual time required may vary substantially based upon the type, complexity and novelty of the product or disease.</w:t>
      </w:r>
    </w:p>
    <w:p>
      <w:pPr>
        <w:spacing w:after="0" w:line="79" w:lineRule="exact"/>
        <w:rPr>
          <w:sz w:val="20"/>
          <w:szCs w:val="20"/>
          <w:color w:val="auto"/>
        </w:rPr>
      </w:pPr>
    </w:p>
    <w:p>
      <w:pPr>
        <w:ind w:right="260" w:firstLine="562"/>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must be conducted: (i) in compliance with federal statutory requirements and regulations; (ii) in compliance with Good Clinical Practices, or GCPs, international standards meant to protect the rights and health of study subjects and to define the roles of clinical trial sponsors, administrators and monitors; as well as (iii) under protocols detailing the objectives of the trial, the parameters to be used in monitoring safety, and the effectiveness criteria to be evaluated. Each protocol involving human clinical testing in the United States and subsequent protocol amendments must be submitted to the FDA as part of the IND.</w:t>
      </w:r>
    </w:p>
    <w:p>
      <w:pPr>
        <w:spacing w:after="0" w:line="80"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study subjects. Imposition of a clinical hold may be full or partial. The study protocol and informed consent information for subjects in clinical trials must also be submitted to an institutional review board, or IRB, for approval. The IRB will also monitor the clinical trial until completed. An IRB may also require the clinical trial at the site to be halted, either temporarily or permanently, for failure to comply with the IRB’s requirements or if the study presents an unacceptable risk to patients, or it may impose other conditions. Additionally, certain clinical trials are overseen by an independent group of qualified experts organized by the clinical trial sponsor, known as Data Safety and Monitoring Boards or Data Monitoring Committees. These groups conduct safety assessments and make recommendations regarding whether a trial may move forward at designated checkpoints based on review of certain data from the trial.</w:t>
      </w:r>
    </w:p>
    <w:p>
      <w:pPr>
        <w:spacing w:after="0" w:line="84"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in some instances, early evidence of effectiveness. If the safety profile of the drug in the Phase 1 study is supportive, Phase two studies may be initiated.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8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75" w:lineRule="exact"/>
        <w:rPr>
          <w:sz w:val="20"/>
          <w:szCs w:val="20"/>
          <w:color w:val="auto"/>
        </w:rPr>
      </w:pPr>
    </w:p>
    <w:p>
      <w:pPr>
        <w:ind w:right="320" w:firstLine="562"/>
        <w:spacing w:after="0" w:line="282"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54"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The FDA approval of the NDA is required before marketing of the product may begin in the United States. The NDA must include the results of all preclinical, clinical and other testing and a compilation of data relating to the product’s pharmacology, chemistry, manufacture and controls.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72"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The FDA reviews each submitted NDA before it determines whether to file it, based on the agency’s threshold determination that it is sufficiently complete to permit substantive review, and the FDA may request additional information. The FDA must make a decision on whether to file an NDA within 60 days of receipt, and such decision could include a refusal to file by the FDA. If the submission is filed, the FDA begins an in-depth review of the NDA. The FDA has agreed to certain non-binding performance goals in the review of NDAs. Most applications for standard review drug products are reviewed within 10 to 12 months; most applications for priority review drugs are reviewed in six to eight months.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80"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72" w:lineRule="exact"/>
        <w:rPr>
          <w:sz w:val="20"/>
          <w:szCs w:val="20"/>
          <w:color w:val="auto"/>
        </w:rPr>
      </w:pPr>
    </w:p>
    <w:p>
      <w:pPr>
        <w:ind w:right="260" w:firstLine="562"/>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current Good Manufacturing Practices, or cGMPs. The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75"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or CRL. A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spacing w:after="0" w:line="8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the FDA’s satisfaction in a resubmission of the NDA, the FDA will issue an approval letter. 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for and profitability of the drug. Moreover, product approval may require substantial post-approval testing and surveillance to monitor the drug’s safety or efficacy. Once granted, product approvals may be withdrawn if the FDA determines that the drug is not safe and effective under the approved conditions of use or if the sponsor fails to comply with certain regulatory requirements.</w:t>
      </w:r>
    </w:p>
    <w:p>
      <w:pPr>
        <w:spacing w:after="0" w:line="80"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cases, a new NDA, before the change can be implemented. An NDA supplement for a new indication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typically requires clinical data similar to that in the original application, and the FDA uses the same procedures and actions in reviewing NDA supplements as it does in reviewing NDAs.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Sponsors of certain clinical trials of FDA-regulated products, including drugs, are required to register and disclose certain clinical trial information on clinicaltrials.gov. Information related to the intervention (e.g., drug product), patient population, phase of investigation, study sites and investigators, and other aspects of the clinical trial, is then made public as part of the registration. Sponsors are also required to submit the results of their clinical trials no later than one year after the primary completion date of the trial. Disclosure of the results of these trials can be delayed in certain circumstances upon timely submission of a certification, but results must be submitted not later than 2 years after the certification’s submission. Extensions may be available for good cause. Competitors may use this publicly available information to gain knowledge regarding the progress of development programs.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the disease or condition will be recovered from sales of the product in the United States.</w:t>
      </w:r>
    </w:p>
    <w:p>
      <w:pPr>
        <w:spacing w:after="0" w:line="72"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68" w:lineRule="exact"/>
        <w:rPr>
          <w:sz w:val="20"/>
          <w:szCs w:val="20"/>
          <w:color w:val="auto"/>
        </w:rPr>
      </w:pPr>
    </w:p>
    <w:p>
      <w:pPr>
        <w:ind w:right="160" w:firstLine="562"/>
        <w:spacing w:after="0" w:line="254"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the FDA has granted orphan designation is entitled to a seven-year exclusivity period in the United States for the specific product and the specific indication for which orphan designation was granted. During the seven-year exclusivity period, the FDA may not approve any other sponsor’s application to market the same drug for the same indication, except in limited circumstances, such as a showing of clinical superiority to the product with orphan drug exclusivity by means of greater effectiveness, greater safety, or providing a major contribution to patient care, or in instances of drug supply issues or consent by the exclusivity holder. Orphan drug exclusivity does not prevent the FDA from approving a different drug for the same indication, or the same drug for a different indication. Other benefits of orphan drug designation include tax credits for certain research and an exemption from the user fee required to submit an NDA, as long as the NDA does not seek approval of an indication that has not received orphan drug designation.</w:t>
      </w:r>
    </w:p>
    <w:p>
      <w:pPr>
        <w:spacing w:after="0" w:line="82"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2021, the U.S. Court of Appeals for the Eleventh Circuit held in </w:t>
      </w:r>
      <w:r>
        <w:rPr>
          <w:rFonts w:ascii="Times New Roman" w:cs="Times New Roman" w:eastAsia="Times New Roman" w:hAnsi="Times New Roman"/>
          <w:sz w:val="18"/>
          <w:szCs w:val="18"/>
          <w:i w:val="1"/>
          <w:iCs w:val="1"/>
          <w:color w:val="auto"/>
        </w:rPr>
        <w:t>Catalyst Pharmaceuticals, Inc. v. Becerra</w:t>
      </w:r>
      <w:r>
        <w:rPr>
          <w:rFonts w:ascii="Times New Roman" w:cs="Times New Roman" w:eastAsia="Times New Roman" w:hAnsi="Times New Roman"/>
          <w:sz w:val="18"/>
          <w:szCs w:val="18"/>
          <w:color w:val="auto"/>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orphan drug exclusivity instead protected the rare disease or condition that received orphan drug designation. Following this court decision in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case, the FDA announced in January 2023 that it would continue to apply the FDA’s regulations limiting the scope of orphan drug exclusivity to a product’s approved uses or indications. Nevertheless,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could serve as a precedent for future challenges to the FDA’s orphan drug-related decisions, and, accordingly, could fundamentally change how companies rely on, or seek to work around, orphan drug exclusivity in the United States. More recently, the U.S. Court of Appeals for the D.C. Circuit, in </w:t>
      </w:r>
      <w:r>
        <w:rPr>
          <w:rFonts w:ascii="Times New Roman" w:cs="Times New Roman" w:eastAsia="Times New Roman" w:hAnsi="Times New Roman"/>
          <w:sz w:val="18"/>
          <w:szCs w:val="18"/>
          <w:i w:val="1"/>
          <w:iCs w:val="1"/>
          <w:color w:val="auto"/>
        </w:rPr>
        <w:t>Jazz Pharmaceuticals, Inc. v. Kennedy</w:t>
      </w:r>
      <w:r>
        <w:rPr>
          <w:rFonts w:ascii="Times New Roman" w:cs="Times New Roman" w:eastAsia="Times New Roman" w:hAnsi="Times New Roman"/>
          <w:sz w:val="18"/>
          <w:szCs w:val="18"/>
          <w:color w:val="auto"/>
        </w:rPr>
        <w:t xml:space="preserve">,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In light of these developments, the scope of orphan drug exclusivity and other issues relating to FDA’s implementation of the Orphan Drug Act with respect to previously approved and future products may be the subject of further litigation. Additionally, legislation has been introduced in Congress that may reverse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Jazz Pharmaceuticals</w:t>
      </w:r>
      <w:r>
        <w:rPr>
          <w:rFonts w:ascii="Times New Roman" w:cs="Times New Roman" w:eastAsia="Times New Roman" w:hAnsi="Times New Roman"/>
          <w:sz w:val="18"/>
          <w:szCs w:val="18"/>
          <w:color w:val="auto"/>
        </w:rPr>
        <w:t xml:space="preserve"> decisions, but such legislation has not yet passed.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121"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The 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121"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Accelerated approval of an NDA may be granted for a product that is intended to treat a serious or life-threatening disease or condition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granted accelerated approval generally provide a meaningful therapeutic advantage to patients over existing treatments.</w:t>
      </w:r>
    </w:p>
    <w:p>
      <w:pPr>
        <w:spacing w:after="0" w:line="75" w:lineRule="exact"/>
        <w:rPr>
          <w:sz w:val="20"/>
          <w:szCs w:val="20"/>
          <w:color w:val="auto"/>
        </w:rPr>
      </w:pPr>
    </w:p>
    <w:p>
      <w:pPr>
        <w:ind w:right="340" w:firstLine="562"/>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often used in settings in which the course of a disease is relatively long, and an extended period of time is required to measure the intended clinical benefit of a product, even if the effect on the surrogate or intermediate clinical endpoint occurs rapidly. Accelerated approval is frequently used in the development and approval of products for treatment of a variety of cancers in which the ultimate goal of therapy is to improve overall survival or decrease serious long-term morbidity and the duration of the typical disease course requires lengthy and sometimes large studies to demonstrate a survival or long-term clinical benefit.</w:t>
      </w:r>
    </w:p>
    <w:p>
      <w:pPr>
        <w:spacing w:after="0" w:line="75"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generally requires a sponsor’s agreement to conduct an additional post-approval confirmatory study or studies to verify and describe the product’s clinical benefit. Any such confirmatory trial must be completed with due diligence and the FDA may require that the trial be underway prior to approval. Failure to conduct such required post-approval studies with due diligence, or to confirm a clinical benefit during such studies, would allow the FDA to withdraw the product from the market on an expedited basis. In addition, the FDA currently requires, as a condition of accelerated approval, the pre-submission of promotional materials, which can adversely impact the timing of the commercial launch of a product. The accelerated approval pathway does not always lead to a faster development or regulatory review or approval process, and receiving accelerated approval does not provide assurance of ultimate full FDA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adequate to assess the safety and effectiveness of the drug for the claimed indications in all relevant pediatric subpopulations and to support dosing and administration for each pediatric subpopulation for which the drug is safe and effective. Alternatively, for an original NDA for a new active ingredient, the application could instead be required to include reports on a molecularly targeted pediatric cancer investigation, if the drug is intended for the treatment of an adult cancer and directed at a molecular target that the FDA determines to be substantially relevant to the growth or progression of a pediatric cancer. The FDA may grant full or partial waivers, or deferrals, for either requirement. Unless otherwise required by regulation, PREA does not apply to any drug for an indication for which orphan designation has been granted. This exemption does not apply to an original NDA for a new active ingredient for an indication that is orphan-designated if the NDA is subject to the molecularly targeted pediatric cancer investigation requirement.</w:t>
      </w:r>
    </w:p>
    <w:p>
      <w:pPr>
        <w:spacing w:after="0" w:line="84" w:lineRule="exact"/>
        <w:rPr>
          <w:sz w:val="20"/>
          <w:szCs w:val="20"/>
          <w:color w:val="auto"/>
        </w:rPr>
      </w:pPr>
    </w:p>
    <w:p>
      <w:pPr>
        <w:ind w:right="40" w:firstLine="562"/>
        <w:spacing w:after="0" w:line="256"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a six-month extension of unexpired exclusivity if certain conditions are met. For NDAs, pediatric exclusivity will attach to unexpired nonpatent and patent exclusivity listed in the Approved Drug Products With Therapeutic Equivalence Evaluations for any drug containing same active moiety as the drug studied. Conditions for earning pediatric exclusivity include the FDA’s determination that information relating to the use of a new drug in the pediatric population may produce health benefits in that population, FDA making a written request for pediatric studies, the applicant agreeing to perform and completing those studies, and the applicant reporting on the requested studies within the statutory timeframe for pediatric exclusivity to be granted. Applications and supplements proposing a labeling change as a result of 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86" w:lineRule="exact"/>
        <w:rPr>
          <w:sz w:val="20"/>
          <w:szCs w:val="20"/>
          <w:color w:val="auto"/>
        </w:rPr>
      </w:pPr>
    </w:p>
    <w:p>
      <w:pPr>
        <w:ind w:right="2140"/>
        <w:spacing w:after="0" w:line="375" w:lineRule="auto"/>
        <w:rPr>
          <w:sz w:val="20"/>
          <w:szCs w:val="20"/>
          <w:color w:val="auto"/>
        </w:rPr>
      </w:pPr>
      <w:r>
        <w:rPr>
          <w:rFonts w:ascii="Times New Roman" w:cs="Times New Roman" w:eastAsia="Times New Roman" w:hAnsi="Times New Roman"/>
          <w:sz w:val="18"/>
          <w:szCs w:val="18"/>
          <w:color w:val="auto"/>
        </w:rPr>
        <w:t xml:space="preserve">pediatric study conducted under the BPCA are treated as priority applications, with all of the benefits that designation confers. </w:t>
      </w:r>
      <w:r>
        <w:rPr>
          <w:rFonts w:ascii="Times New Roman" w:cs="Times New Roman" w:eastAsia="Times New Roman" w:hAnsi="Times New Roman"/>
          <w:sz w:val="18"/>
          <w:szCs w:val="18"/>
          <w:b w:val="1"/>
          <w:bCs w:val="1"/>
          <w:i w:val="1"/>
          <w:iCs w:val="1"/>
          <w:color w:val="auto"/>
        </w:rPr>
        <w:t>Post-approval requirements</w:t>
      </w:r>
    </w:p>
    <w:p>
      <w:pPr>
        <w:spacing w:after="0" w:line="1"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the FDA closely regulates the advertising, promotion, marketing, and communications relating to approved drugs, including direct-to-consumer advertising, off-label promotion, industry-sponsored scientific and educational activities, and communications on social media and on the Internet. Drugs may be marketed only for their approved indications and in a manner consistent with the FDA-approved labeling.</w:t>
      </w:r>
    </w:p>
    <w:p>
      <w:pPr>
        <w:spacing w:after="0" w:line="7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The FDA also may require, or ask the sponsor to commit to, certain post-marketing surveillance, studies, and/or testing. These post-approval obligations are known as post-marketing requirements or post-marketing commitments depending on the authorities under which they are imposed. The FDA also may require enhanced safety surveillance to monitor potential adverse events relating to the approved product or impose a REMS to ensure that the benefits of the product outweigh the risks. Depending on the severity of the safety concern, a REMS may place conditions restricting the distribution or use of the product.</w:t>
      </w:r>
    </w:p>
    <w:p>
      <w:pPr>
        <w:spacing w:after="0" w:line="75" w:lineRule="exact"/>
        <w:rPr>
          <w:sz w:val="20"/>
          <w:szCs w:val="20"/>
          <w:color w:val="auto"/>
        </w:rPr>
      </w:pPr>
    </w:p>
    <w:p>
      <w:pPr>
        <w:ind w:right="240" w:firstLine="562"/>
        <w:spacing w:after="0" w:line="258" w:lineRule="auto"/>
        <w:rPr>
          <w:sz w:val="20"/>
          <w:szCs w:val="20"/>
          <w:color w:val="auto"/>
        </w:rPr>
      </w:pPr>
      <w:r>
        <w:rPr>
          <w:rFonts w:ascii="Times New Roman" w:cs="Times New Roman" w:eastAsia="Times New Roman" w:hAnsi="Times New Roman"/>
          <w:sz w:val="18"/>
          <w:szCs w:val="18"/>
          <w:color w:val="auto"/>
        </w:rPr>
        <w:t>Further, FDA extensively regulates all aspects of manufacturing quality for pharmaceuticals under their cGMP regulations. Quality control, drug manufacture, packaging and labeling procedures must continue to conform to cGMPs after approval. Drug manufacturers and certain subcontractors are required to register their establishments with the FDA and certain state agencies. Registration with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w:t>
      </w:r>
    </w:p>
    <w:p>
      <w:pPr>
        <w:spacing w:after="0" w:line="75"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Manufacturing quality and other post-approval regulatory compliance is heavily scrutinized by FDA and may result in government investigations, regulatory and legal actions, product recalls and seizures, product approval withdrawals, fines and penalties, interruption of production leading to product shortages, import bans or denials of import certifications, delays or denials in new product approvals or line extensions or supplemental approvals of current products pending resolution of any issues, any of which have and could adversely affect our business and reputation.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the FDA may award a priority review voucher to the sponsor of an approved marketing application for a product that treats or prevents a rare pediatric disease. A rare pediatric disease is a serious or life-threatening disease or condition that affects less than 200,000 persons in the United States; affects more than 200,000 persons in the United States with no reasonable expectation of recovering the cost of developing and making the drug available in the United States; or is an orphan subset of a disease or condition that otherwise affects 200,000 or more persons in the United States. A voucher may be awarded only upon approval of a rare pediatric disease product application. A rare pediatric disease product application is a marketing application that meets the following criteria: the application is for a product that treats or prevents a rare pediatric disease; the application must be deemed eligible for priority review; the application must not seek approval for an adult indication; the product must not contain an active moiety or ingredient (as applicable) that has been previously approved by the FDA; the application must be submitted under section 505(b)(1) of the FD&amp;C Act; and the application must rely on clinical data derived from studies examining a pediatric population and dosages of the drug intended for that population such that the approved product can be adequately labeled for the pediatric population. At a sponsor’s request, the FDA may designate a product as a product for a rare pediatric disease and the application for the new product as a rare pediatric disease product application.</w:t>
      </w:r>
    </w:p>
    <w:p>
      <w:pPr>
        <w:spacing w:after="0" w:line="84"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A sponsor must notify the FDA, upon submission of the rare pediatric disease application, of its intent to request a voucher. The FDA may revoke a rare pediatric disease priority review voucher if the product for which it was awarded is not marketed in the United States within 365 days of the product’s approval. The voucher, which is transferable to another sponsor, may be submitted with a subsequent application and entitles the holder to priority review of that application. The sponsor using a rare pediatric disease priority review voucher must notify FDA of its intent to submit the voucher with the NDA at least 90 days prior to submission of the application and must pay a priority review user fee determined by the FDA in addition to any other required user fee. Under the FDA’s current performance goals, the FDA’s goal is to take action on a priority review application within six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began to sunset on December 20, 2024, and, under current law, the FDA may not award rare pediatric disease priority review vouchers after September 30, 2026. Renewal of the PRV Voucher Program is subject to approval by Congress and it is currently uncertain whether the program will be renewed and whether any such renewal will be retroactively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HatchWaxman Amendments or Hatch-Waxman, NDA applicants are required to submit to the FDA information about each patent for which a patent infringement claim could reasonably be asserted if a person not licensed by the patent owner engaged in the manufacture, use, or sale of the drug, and that claims the applicant’s drug (i.e., and is a drug substance or drug product patent), or that claims a method of using the drug, or listing requirements, based on the proposed labeling. Upon approval of a drug, the applicant must again submit patent information to the FDA based on the approved labeling in a timely fashion regarding patents that satisfy the listing requirements for the drug, and information about each of these patents is then published in the FDA’s Approved Drug Products with Therapeutic Equivalence Evaluations, commonly known as the Orange Book.</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 drug listed in the Orange Book potentially may be identified by a generic manufacturer as a reference listed drug in an abbreviated new drug application, or ANDA. An ANDA provides for marketing of a drug product that has the same active ingredient(s), strength, route of administration, dosage form, and labeling as the reference listed drug, subject to certain exceptions, and is bioequivalent to the reference listed drug. An approved ANDA product generally is considered to be therapeutically equivalent to the reference listed drug. Other than any data submitted to show bioequivalence, ANDA applicants are not required to conduct, or submit results of, preclinical or clinical tests to prove the safety or effectiveness of their drug product. Drugs approved under the ANDA pathway are commonly referred to as “generic equivalents” to the reference listed drug and can often be substituted by pharmacists under prescriptions written for the reference listed drug pursuant to each state’s laws on drug substitution.</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ANDA applicant is required to submit an appropriate certification or statement to the FDA concerning each patent identified in connection with the reference listed drug in the Orange Book. Specifically, the applicant may make one of the following four patent certifications: (i) the required patent information has not been filed; (ii) the listed patent has expired; (iii) the listed patent has not expired but will expire on a particular date and approval is sought after patent expiration; or (iv) the listed patent is invalid, unenforceable, or will not be infringed by the manufacture, use, or sale of the proposed product (a type of certification known as a Paragraph IV certification). For listed patents that claim an approved method of use, under certain circumstances the ANDA applicant may elect to submit a section viii statement, instead of a patent certification, certifying that the proposed ANDA labeling does not contain (or carves out)an indication or other condition of use that is covered by the method-of-use patent. By carving out relevant portions of the drug’s labeling, an ANDA applicant can avoid patent litigation with respect to the method-of-use patent, and the patent will not impact the ANDA applicant’s ability to secure FDA approval for its generic product. Otherwise, if the applicant does not challenge the listed patents through a Paragraph IV certification, the ANDA will not be eligible for approval until all the listed patents for the reference listed drug have expired. If the ANDA applicant has submitted a Paragraph IV certification to the FDA, the applicant must also send notice of the Paragraph IV certification to the NDA 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if certain requirements are met, prevents the FDA from approving the ANDA until the earlier of 30 months from the date the notice letter is received, expiration of the patent, the date a settlement order or consent decree is signed and entered by the court stating that the patent that is the subject of the Paragraph IV certification is invalid or not infringed, or a decision in the patent litigation that the patent is invalid or not infringed.</w:t>
      </w:r>
    </w:p>
    <w:p>
      <w:pPr>
        <w:spacing w:after="0" w:line="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 listed drug has expired. In some instances, an ANDA applicant may receive approval prior to expiration of certain non-patent exclusivity if the applicant seeks, and the FDA permits, the omission of the exclusivity-protected information from the ANDA prescribing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the FDA in any other NDA, that drug receives five years of exclusivity during which the FDA cannot receive any ANDA seeking approval of a generic version of that drug unless the application contains a Paragraph IV certification, in which case an ANDA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Certain changes to an approved drug for which new clinical investigations conducted or sponsored by the applicant are essential to approval, which may include, among other changes, the approval of a new indication, the approval of a new strength, or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prescribing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Hatch-Waxman permits the extension of one patent further to the approval of a product as compensation for patent term lost during the FDA regulatory review process pertaining to that drug. Patent term extension, however, cannot extend the term of a patent beyond a date that provides the patent with 14 years of effective patent life from the product’s approval date. One or more patent term extension applications may be filed after NDA approval, but ultimately only one patent can be extended. The allowable patent term extension is calculated based on the post-patent issuance period that includes half of the drug’s testing phase (from the date the IND application became effective up to NDA submission) and all of the review phase (the time between NDA submission and approval), up to a maximum of five years. The time can be reduced for any time the FDA determines that the applicant did not pursue approval with due diligence.</w:t>
      </w:r>
    </w:p>
    <w:p>
      <w:pPr>
        <w:spacing w:after="0" w:line="81"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The USPTO, in consultation with the FDA, reviews and approves the application for any patent term extension or restoration. However, the USPTO may decide not to grant an extension because of a failure to satisfy applicable requirements. Moreover, the applicable time period or the scope of patent protection afforded could be less than requested.</w:t>
      </w:r>
    </w:p>
    <w:p>
      <w:pPr>
        <w:spacing w:after="0" w:line="68"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The application for the extension must be submitted prior to the expiration of the patent, and for patents that might expire during the application phase, the patent owner may request an interim patent extension. If granted, an interim patent extension will increase the patent term by up to one year and may be renewed up to four times, depending on the amount of extension to which an applicant is entitled. Interim patent extensions are also available as to patents that may expire prior to NDA approval; however, such interim patent extension will only apply if an application for product approval has been submitted to the FDA.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right="60" w:firstLine="562"/>
        <w:spacing w:after="0" w:line="255" w:lineRule="auto"/>
        <w:rPr>
          <w:sz w:val="20"/>
          <w:szCs w:val="20"/>
          <w:color w:val="auto"/>
        </w:rPr>
      </w:pPr>
      <w:r>
        <w:rPr>
          <w:rFonts w:ascii="Times New Roman" w:cs="Times New Roman" w:eastAsia="Times New Roman" w:hAnsi="Times New Roman"/>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With respect to cancer drugs specifically, the FDA has generally required companion diagnostics intended to select the patients who are likely to respond to a particular cancer treatment to obtain a pre-market approval, or PMA, simultaneously with approval of the drug, except in limited circumstances. The review of these companion diagnostics in conjunction with the review of a cancer therapeutic involves coordination of review by the FDA’s Center for Drug Evaluation and Research and by the FDA’s Center for Devices and Radiological Health. Approval of the drug and corresponding approval or clearance of a companion diagnostic also requires a high level of coordination between the drug manufacturer and device manufacturer, if different companies.</w:t>
      </w:r>
    </w:p>
    <w:p>
      <w:pPr>
        <w:spacing w:after="0" w:line="81" w:lineRule="exact"/>
        <w:rPr>
          <w:sz w:val="20"/>
          <w:szCs w:val="20"/>
          <w:color w:val="auto"/>
        </w:rPr>
      </w:pPr>
    </w:p>
    <w:p>
      <w:pPr>
        <w:ind w:right="180" w:firstLine="562"/>
        <w:spacing w:after="0" w:line="261" w:lineRule="auto"/>
        <w:rPr>
          <w:sz w:val="20"/>
          <w:szCs w:val="20"/>
          <w:color w:val="auto"/>
        </w:rPr>
      </w:pPr>
      <w:r>
        <w:rPr>
          <w:rFonts w:ascii="Times New Roman" w:cs="Times New Roman" w:eastAsia="Times New Roman" w:hAnsi="Times New Roman"/>
          <w:sz w:val="18"/>
          <w:szCs w:val="18"/>
          <w:color w:val="auto"/>
        </w:rPr>
        <w:t>The PMA process, including the gathering of preclinical and 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79"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81"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any contract manufacturers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Medical device manufacturers are also subject to requirements for reporting certain adverse events and malfunction associated with the device and for reporting certain corrections and removals of their devices.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420" w:firstLine="562"/>
        <w:spacing w:after="0" w:line="266" w:lineRule="auto"/>
        <w:rPr>
          <w:sz w:val="20"/>
          <w:szCs w:val="20"/>
          <w:color w:val="auto"/>
        </w:rPr>
      </w:pPr>
      <w:r>
        <w:rPr>
          <w:rFonts w:ascii="Times New Roman" w:cs="Times New Roman" w:eastAsia="Times New Roman" w:hAnsi="Times New Roman"/>
          <w:sz w:val="18"/>
          <w:szCs w:val="18"/>
          <w:color w:val="auto"/>
        </w:rPr>
        <w:t>In addition to FDA regulation of pharmaceutical products, several other types of state and federal laws govern certain general business and marketing practices in the pharmaceutical industry. These laws include anti-kickback, false claims, transparency, health information privacy laws, and other healthcare laws and regulations.</w:t>
      </w:r>
    </w:p>
    <w:p>
      <w:pPr>
        <w:spacing w:after="0" w:line="68"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federal Anti-Kickback Statute has been broadly interpreted by the courts. 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84"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68"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beneficiary’s selection of a provider, practitioner, or supplier of items or services reimbursed by these programs,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1" w:lineRule="exact"/>
        <w:rPr>
          <w:sz w:val="20"/>
          <w:szCs w:val="20"/>
          <w:color w:val="auto"/>
        </w:rPr>
      </w:pPr>
    </w:p>
    <w:p>
      <w:pPr>
        <w:ind w:right="80" w:firstLine="562"/>
        <w:spacing w:after="0" w:line="255"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or HITECH, and their respective implementing regulations,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In addition, many state laws govern the privacy and security of health information in certain circumstances, many of which differ from each other in significant ways and may not have the same effect, and often they are not preempted by HIPAA.</w:t>
      </w:r>
    </w:p>
    <w:p>
      <w:pPr>
        <w:spacing w:after="0" w:line="81"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requires certain manufacturers of prescription drugs to collect and annually report information on certain payments or transfers of value to certain prescribers and teaching hospitals, as well as ownership and investment interests held by physicians and their immediate family members. The reported data is made available in searchable form on a public website on an annual basis, which can be accessed by competitors and regulators. Failure to submit required information may result in civil monetary penalties.</w:t>
      </w:r>
    </w:p>
    <w:p>
      <w:pPr>
        <w:spacing w:after="0" w:line="72"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We may also be subject to analogous state and foreign anti-kickback and false claims laws that may apply to sales or marketing arrangements and claims involving healthcare items or services reimbursed by non-governmental third-party payors, including private insurers, or that apply regardless of payor. In addition, several states require prescription drug companies to report certain expenses relating to the marketing and promotion of drug products and to report gifts and payments to individual healthcare practitioners in those states. Other states prohibit various marketing-related activities, such as the provision of certain kinds of gifts or meals.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80"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right="60" w:firstLine="562"/>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w:t>
      </w:r>
    </w:p>
    <w:p>
      <w:pPr>
        <w:spacing w:after="0" w:line="81"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18"/>
          <w:szCs w:val="18"/>
          <w:color w:val="auto"/>
        </w:rPr>
        <w:t>Other executive, legislative and regulatory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created measures for spending reductions, which triggered a 2% reduction in payments under certain government programs, including Medicare. This reduction will remain in effect for Medicare spending through fiscal year 2032.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On January 20, 2025, the U.S. President signed an executive order creating an advisory commission, the “Department of Government Efficiency,” to reform federal government processes and reduce expenditures. There have been widespread layoffs across various governmental agencies, including at the FDA, and other employees, including senior leaders at certain agencies, have resigned in response to the reforms, the full impact of which is unclear at this time. In addition, there is uncertainty around the funding, functioning and policy priorities of various governmental agencies, including the FDA. Disruptions or changes in how the FDA operates due to these policies could result in delays in FDA review or approval of product candidate applications. Further, applications for product candidates could fail to receive regulatory approval or could be delayed in receiving regulatory approval.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85" w:lineRule="exact"/>
        <w:rPr>
          <w:sz w:val="20"/>
          <w:szCs w:val="20"/>
          <w:color w:val="auto"/>
        </w:rPr>
      </w:pPr>
    </w:p>
    <w:p>
      <w:pPr>
        <w:ind w:right="180" w:firstLine="562"/>
        <w:spacing w:after="0" w:line="254"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FDA also released a final rule on September 24, 2020 providing guidance for states to build and submit importation plans for drugs from Canada. The Biden and Trump administrations both issued executive orders intended to favor government procurement from domestic manufacturers. In addition, the first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w:t>
      </w:r>
    </w:p>
    <w:p>
      <w:pPr>
        <w:spacing w:after="0" w:line="84"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Further, on November 20, 2020, the U.S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or the IRA, further delayed implementation of this rule to January 1, 2032. Additionally, on March 11, 2021, President Biden signed the American Rescue Plan Act of 2021 into law, which eliminates the statutory Medicaid drug rebate cap, currently set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100% of a drug’s average manufacturer price, for single source and innovator multiple source drugs, beginning January 1, 2024.</w:t>
      </w:r>
    </w:p>
    <w:p>
      <w:pPr>
        <w:spacing w:after="0" w:line="117"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In August 2022, President Biden signed into law the IRA, which, among other things, directs the U.S. Department of Health and Human Services, or HHS, to engage in price-capped negotiation for certain drugs and biologics that CMS reimburses under Medicare Part B and Part D. Specifically, the IRA’s Price Negotiation Program will apply to high-expenditure single-source drugs and biologics that have been approved for at least seven and 11 years, respectively, among other negotiation criteria, beginning with ten high-cost drugs paid for by Medicare Part D starting in 2026, followed by 15 Part D drugs in 2027, 15 Part B or Part D drugs in 2028, and 20 Part B or Part D drugs in 2029 and beyond. The negotiated prices will be capped at a statutory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 although to date those challenges have not been successful. Beginning in October 2023,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Failure to comply with the IRA may be subject to various penalties, including civil monetary penalties, which could be significant.</w:t>
      </w:r>
    </w:p>
    <w:p>
      <w:pPr>
        <w:spacing w:after="0" w:line="88"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Under the current presidential administration, there have been significant and wide-ranging reforms to federal policy and the federal government and drug pricing is a particular area of focus.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As another example,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U.S.; and facilitate direct-to-consumer purchasing programs for pharmaceutical manufacturers to sell their products to patients at the most-favored-nation price. Many of these reform initiatives will require additional legal and/or administrative action to implement. Other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One Big Beautiful Bill Act, including restrictions in eligibility and funding for Medicaid, as well as changes to the healthcare marketplace, is expected to increase the number of uninsured. There is uncertainty regarding the nature or impact of any drug or broader healthcare reform proposed or implemented by the current presidential administration through executive or administrative action or by Congress, and the extent to which any such action will be subject to litigation or other challenges. It is unclear how any such healthcare reform measures will impact our business. Healthcare reforms and action taken by the healthcare industry in response could adversely affect reimbursement, competitive dynamics, and our business. We continue to monitor legislative reforms and assess their potential impact on our operations, but we cannot predict their ultimate effect on our business. Additionally, the current presidential administration may propose policy changes that create additional uncertainty for our business. These may include new price restrictions on products we sell to Medicare or other government purchasers, or other regulatory changes impacting reimbursement or competitive dynamics in multisource markets.</w:t>
      </w:r>
    </w:p>
    <w:p>
      <w:pPr>
        <w:spacing w:after="0" w:line="83"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At the state level, governments have and continue to consider and pass legislation and implement regulations designed to control pharmaceutical and biological product pricing. Some of these measures include restricting price, reimbursement, discounts, product access, and marketing; imposing drug price, cost, and marketing disclosure and transparency requirements; permitting importation from other countries; and encouraging bulk purchasing. Furthermore, a growing number of state attorneys general are filing legal challenges (including use of state antitrust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laws) related to drug pricing and reimbursement against various supply chain entities such as pharmacy benefit managers, and such litigation could involve drug manufacturers to a greater degree in the future.</w:t>
      </w:r>
    </w:p>
    <w:p>
      <w:pPr>
        <w:spacing w:after="0" w:line="54" w:lineRule="exact"/>
        <w:rPr>
          <w:sz w:val="20"/>
          <w:szCs w:val="20"/>
          <w:color w:val="auto"/>
        </w:rPr>
      </w:pPr>
    </w:p>
    <w:p>
      <w:pPr>
        <w:ind w:right="1020" w:firstLine="562"/>
        <w:spacing w:after="0" w:line="28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The effect of reducing prices and reimbursement for our products would significantly impact our business and consolidated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particularly if more established or lower-cost therapeutic alternatives are available. Patients are unlikely to use our products unless reimbursement is adequate to cover all or a significant portion of the cost of our drug products.</w:t>
      </w:r>
    </w:p>
    <w:p>
      <w:pPr>
        <w:spacing w:after="0" w:line="8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for determining coverage and reimbursement is often time-consuming and costly—including requiring us to provide scientific, clinical, and economic support for the use of our products to each payor separately—with no assurance that coverage or adequate reimbursement will be obtained. It is difficult to predict at this time what government authorities and third-party payors will decide with respect to coverage and reimbursement for our future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84" w:lineRule="exact"/>
        <w:rPr>
          <w:sz w:val="20"/>
          <w:szCs w:val="20"/>
          <w:color w:val="auto"/>
        </w:rPr>
      </w:pPr>
    </w:p>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drug on their formularies or otherwise restrict patient access to a drug when a less costly generic equivalent or other alternative is available.</w:t>
      </w:r>
    </w:p>
    <w:p>
      <w:pPr>
        <w:spacing w:after="0" w:line="72" w:lineRule="exact"/>
        <w:rPr>
          <w:sz w:val="20"/>
          <w:szCs w:val="20"/>
          <w:color w:val="auto"/>
        </w:rPr>
      </w:pPr>
    </w:p>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and implementation of government controls and measures could exclude or limit our products from coverage and limit payments for pharmaceuticals.</w:t>
      </w:r>
    </w:p>
    <w:p>
      <w:pPr>
        <w:spacing w:after="0" w:line="72" w:lineRule="exact"/>
        <w:rPr>
          <w:sz w:val="20"/>
          <w:szCs w:val="20"/>
          <w:color w:val="auto"/>
        </w:rPr>
      </w:pPr>
    </w:p>
    <w:p>
      <w:pPr>
        <w:ind w:right="180" w:firstLine="562"/>
        <w:spacing w:after="0" w:line="261"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ind w:right="40" w:firstLine="562"/>
        <w:spacing w:after="0" w:line="266" w:lineRule="auto"/>
        <w:rPr>
          <w:sz w:val="20"/>
          <w:szCs w:val="20"/>
          <w:color w:val="auto"/>
        </w:rPr>
      </w:pPr>
      <w:r>
        <w:rPr>
          <w:rFonts w:ascii="Times New Roman" w:cs="Times New Roman" w:eastAsia="Times New Roman" w:hAnsi="Times New Roman"/>
          <w:sz w:val="18"/>
          <w:szCs w:val="18"/>
          <w:color w:val="auto"/>
        </w:rPr>
        <w:t>We view our operations and manage our business as one operating segment, which includes all activities related to the identification, development and commercialization of first- or best-in-class medicines for childhood and adult diseases with equal intensity. For financial information related to our one operating segment, see our Financial Statements and related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We are committed to creating and maintaining a diverse, inclusive and safe work environment where our employees can bring their best selves to work each day. Our commitment extends through our recruitment, retention, learning, engagement, and community partnerships.</w:t>
      </w:r>
    </w:p>
    <w:p>
      <w:pPr>
        <w:spacing w:after="0" w:line="54"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As of December 31, 2025, we had 178 full-time employees. Of these employees, 43 held Ph.D., Pharm.D. or M.D. degrees, and 90 were engaged in research, development and technical operations. From time to time, we also retain independent contractors to support our organization. Approximately 20% of our employees are based at our headquarters in Brisbane, California, with the remaining others working remotely. We have never experienced a work stoppage, none of our employees are represented by a labor union or covered by collective bargaining agreements, and we strive to attract and retain qualified employees in order to foster long-term working relationships.</w:t>
      </w:r>
    </w:p>
    <w:p>
      <w:pPr>
        <w:spacing w:after="0" w:line="75"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We focus on employee development, engagement, and diversity and inclusion to identify, hire, develop, and retain the best talent. The principal purpose of our incentive share plan is to attract, retain and motivate selected employees, consultants and directors through the granting of incentive share-based compensation awards and cash-based performance bonus awards. We provide competitive compensation and benefits that are designed to help us achieve our goals of attracting, hiring and retaining qualified personnel.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Brisbane, California, where we lease approximately 19,000 square feet of office space. The lease expires in January 2032.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We were formed as a limited liability company under the laws of the State of Delaware in November 2018, under the name Hero Therapeutics Holding Company, LLC. We subsequently changed our name to Day One Therapeutics Holding Company, LLC in December 2018 and to Day One Biopharmaceuticals Holding Company, LLC in March 2020. In connection with our initial public offering, we converted from a Delaware limited liability company to a Delaware corporation and changed our name to Day One Biopharmaceuticals, Inc. Our principal executive offices are located at 1800 Sierra Point Parkway, Suite 200, Brisbane, CA 94005, and our telephone number is (650) 484-0899. Our website address is www.dayonebio.com.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Our Internet website address is http://www.dayonebio.com. On our website, we make available, free of charge, our annual, quarterly, proxy statements and current reports, including amendments to such reports, as soon as reasonably practicable after we electronically file such material with, or furnish such material to, the Securities and Exchange Commission, or the SEC. The SEC maintains a website at www.sec.gov that contains reports as well as other information regarding us and other companies that file materials with the SEC electronically.</w:t>
      </w:r>
    </w:p>
    <w:p>
      <w:pPr>
        <w:spacing w:after="0" w:line="72"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Also available on our website is information relating to corporate governance at Day One and our board of directors, including our Corporate Governance Guidelines; our Code of Business Conduct and Ethics (for our directors, officers and employees), and our Board Committee Charters. Copies of our reports on Form 10-K, Forms 10-Q, and Forms 8-K, and amendments to those reports may also be obtained, free of charge, electronically through our Investor Resources page of our website located at the web address appearing below as soon as reasonably practicable after we file such material with, or furnish it to, the SEC.</w:t>
      </w:r>
    </w:p>
    <w:p>
      <w:pPr>
        <w:spacing w:after="0" w:line="75"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We use our Investor Resources website (http://ir.dayonebio.com) as a means of disclosing material non-public information and for complying with our disclosure obligations under Regulation FD promulgated by the SEC. These disclosures are included in the “News and Events” section of our website. Accordingly, investors should monitor these portions of our website, in addition to following our press releases, SEC filings and public conference calls and webcasts.</w:t>
      </w:r>
    </w:p>
    <w:p>
      <w:pPr>
        <w:spacing w:after="0" w:line="72"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 stage biopharmaceutical company with a limited operating history in the initial stages of the commercialization of our product, OJEMDA, which may make it difficult for investors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We expect to incur continued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1"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or identification, development and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4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our product candidates, our reputation may be harmed and our business will suffer.</w:t>
      </w:r>
    </w:p>
    <w:p>
      <w:pPr>
        <w:spacing w:after="0" w:line="71"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data from investigator-initiated studies, as we did for the Phase 1 clinical trial, and we do not control the trial operations or reporting of the results of such trials.</w:t>
      </w:r>
    </w:p>
    <w:p>
      <w:pPr>
        <w:spacing w:after="0" w:line="53"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marketing authorizations for Emi-Le, DAY301 or any future product candidates, on a timely basis or at all.</w:t>
      </w:r>
    </w:p>
    <w:p>
      <w:pPr>
        <w:spacing w:after="0" w:line="53"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OJEMDA and our product candidates, Emi-Le and DAY301, is complex. Our third-party manufacturers may encounter difficulties in production, which could delay or entirely halt their ability to supply our product candidates for clinical trials or, if approved, our products for commercial sale.</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key employees and to attract, retain and motivate qualified personnel and manage our human capital.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117"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commercial-stage biopharmaceutical company with a limited operating history in the initial stages of the commercialization our product OJEMDA, which may make it difficult for investors to evaluate our current business and likelihood of success and viability.</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upon which you can evaluate our business and prospects. Investment in drug development is a highly speculative undertaking and involves a substantial degree of risk. We commenced operations in 2018, and, to date, we have devoted substantially all of our resources to identifying, acquiring and developing OJEMDA and our product candidates, including DAY 301, which we licensed from MabCare Therapeutics in June 2024,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As a result, it may be more difficult for you to accurately predict our likelihood of success and viability than it could be if we had a longer operating history.</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in rapidly evolving fields and with recently approved therapies. If we do not adequately address these risks and difficulties or successfully make a commercial transition, our business will suffer.</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We expect to incur continued losses for the foreseeable future and may never achieve or maintain profitability.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and as of December 31, 2025, we have generated approximately $212.6 million of revenue from product sales of OJEMDA. We have financed our operations principally through the sale and issuance of redeemable convertible preferred shares, the completion of our initial public offering, or IPO, and follow-on public offerings of our common stock. For the years ended December 31, 2025, 2024, and 2023, we reported a net loss of $107.3 million, $95.5 million, and $188.9 million, respectively. We had an accumulated deficit of $661.4 million as of December 31, 2025. We expect to incur increasing levels of operating losses for the foreseeable future, particularly as we advance tovorafenib, Emi-Le and DAY301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manufacturing expenses in connection with the commercialization of OJEMDA, or our product candidates, Emi-Le and DAY301, if marketing authorization is received. We have also incurred, and will continue to incur, additional costs associated with operating as a public company.</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timely complete successful clinical trials, obtain marketing authorization for, and then successfully commercialize, OJEMDA, Emi-Le, DAY301 and our future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OJEMDA will depend on several factors, including the following:</w:t>
      </w:r>
    </w:p>
    <w:p>
      <w:pPr>
        <w:spacing w:after="0" w:line="117" w:lineRule="exact"/>
        <w:rPr>
          <w:sz w:val="20"/>
          <w:szCs w:val="20"/>
          <w:color w:val="auto"/>
        </w:rPr>
      </w:pPr>
    </w:p>
    <w:p>
      <w:pPr>
        <w:ind w:left="520" w:right="5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OJEMDA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marketing, pricing and reimbursement strategies, as well as adequate demand forecasts for supply and sales planning;</w:t>
      </w:r>
    </w:p>
    <w:p>
      <w:pPr>
        <w:spacing w:after="0" w:line="117" w:lineRule="exact"/>
        <w:rPr>
          <w:rFonts w:ascii="Times New Roman" w:cs="Times New Roman" w:eastAsia="Times New Roman" w:hAnsi="Times New Roman"/>
          <w:sz w:val="18"/>
          <w:szCs w:val="18"/>
          <w:color w:val="auto"/>
        </w:rPr>
      </w:pPr>
    </w:p>
    <w:p>
      <w:pPr>
        <w:ind w:left="520" w:right="360" w:hanging="512"/>
        <w:spacing w:after="0" w:line="312"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for OJEMDA, whether alone or in collaboration with others in a market where promotional sales approaches are rapidly moving to digital platforms and access of sales representatives to major institutions remains uncertain;</w:t>
      </w:r>
    </w:p>
    <w:p>
      <w:pPr>
        <w:spacing w:after="0" w:line="31" w:lineRule="exact"/>
        <w:rPr>
          <w:rFonts w:ascii="Times New Roman" w:cs="Times New Roman" w:eastAsia="Times New Roman" w:hAnsi="Times New Roman"/>
          <w:sz w:val="17"/>
          <w:szCs w:val="17"/>
          <w:color w:val="auto"/>
        </w:rPr>
      </w:pPr>
    </w:p>
    <w:p>
      <w:pPr>
        <w:ind w:left="520" w:right="1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OJEMDA by patients, physicians,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payor coverage and adequate reimbursement in both public and private payor spaces across multiple countries;</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shaping the market in the early years following launch to help providers understand a new way of thinking about treating relevant patients;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patents will be sufficient to prevent generic competition for OJEMDA after our orphan drug exclusivity expires;</w:t>
      </w:r>
    </w:p>
    <w:p>
      <w:pPr>
        <w:spacing w:after="0" w:line="117"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any required or committed post-marketing studies and available funding to perform any such post-marketing requirements or post-marketing commitments;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control, and if we cannot address any of them in a timely manner or at all, we could experience significant delays or an inability to successfully commercialize OJEMDA and our product candidates, which would materially harm our business.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development and commercialization of OJEMDA, Emi-Le, DAY301 and our future product candidates.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depends entirely on the successful commercialization of OJEMDA and development of our product candidates. We are early in our development efforts for other indications, and our product tovorafenib is currently in a pivotal Phase 3 clinical trial as a potential front-line therapy in pLGG. Our product candidates, Emi-Le and DAY301, is in the earlier stages of development and is not approved for sale in any jurisdiction. There can be no assurance that tovorafenib, Emi-Le, DAY301 or any future product candidates we develop, if any, will achieve success in their ongoing clinical trials or obtain marketing authorization.</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ability to generate future revenue at the levels or timing we expect and achieve profitability depends on several factors, including, but not limited to, our ability to:</w:t>
      </w:r>
    </w:p>
    <w:p>
      <w:pPr>
        <w:spacing w:after="0" w:line="5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and sell OJEMDA while maintaining full compliance with applicable federal and state laws, rules and regulations;</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3 FIREFLY-2 trial with tovorafenib that achieves a competitive, clinically meaningful and generally well-tolerated target product profile for the front-line treatment of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Phase 1a/b trial of DAY301;</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support Ipsen to obtain foreign marketing authorization for OJEMDA as a treatment for patients with pLGGs;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additional, successful late-stage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authorizations for Emi-Le and DAY301 from applicable regulatory authorities, including NDAs from the FDA, and maintaining such approvals;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allow for the commercialization of OJEMDA and our product candidates and/or may increase the value of our programs;</w:t>
      </w:r>
    </w:p>
    <w:p>
      <w:pPr>
        <w:spacing w:after="0" w:line="53"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OJEMDA, Emi-Le, DAY301 and any future product candidates we may develop, if approved, by building and maintaining a sales force and/or entering into collaborations with third parties;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post-marketing requirements imposed by, or post-marketing commitments made to, applicable regulatory authorities;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an acceptable safety profile of our product and our product candidates, Emi-Le and DAY301, and continue to maintain a continued acceptable safety profile following marketing authorization, if any;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develop new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patent and trade secret protection, statutory exclusivities and other intellectual property protections for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including any necessary licenses from third parties;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86"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Emi-Le and DAY301, if approved, with patients, the medical community and third-party payors, both in the United States and internationally;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 and management.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early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w:t>
      </w:r>
    </w:p>
    <w:p>
      <w:pPr>
        <w:spacing w:after="0" w:line="7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commercialize our product, OJEMDA, and advance product candidates, Emi-Le and DAY301, and any future product candidates through clinical development. We expect increased expenses as we continue our research and development, initiate additional clinical trials, seek to expand our product pipeline, seek marketing authorization for our programs and future product candidates, if any, and invest in our organization. In addition, we expect to incur significant expenses related to the product manufacturing, marketing, sales and distribution of OJEMDA and, if we obtain marketing authorization, for our product candidates, Emi-Le and DAY301.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had $441.1 million in cash, cash equivalents and short-term investments as of December 31, 2025. Based on our cash, cash equivalents and short-term investments, as of December 31, 2025, we estimate that our current liquidity will be sufficient to satisfy our capital requirements at least twelve months after the date that this Annual Report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6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current or future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marketing authorization for our current or future product candidates or the modification of ongoing or planned clinical trials;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and marketing authorization for any complementary or companion diagnostics that may be useful to or necessary for the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OJEMDA, Emi-Le, DAY301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71"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products and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requested or required by the FDA or other regulatory authorities, including for OJEMDA;</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OJEMDA, Emi-Le, DAY301 or any of our future product candidates, if approved, or any other future pipeline product candidates that receive marketing authorization;</w:t>
      </w:r>
    </w:p>
    <w:p>
      <w:pPr>
        <w:spacing w:after="0" w:line="53" w:lineRule="exact"/>
        <w:rPr>
          <w:rFonts w:ascii="Times New Roman" w:cs="Times New Roman" w:eastAsia="Times New Roman" w:hAnsi="Times New Roman"/>
          <w:sz w:val="18"/>
          <w:szCs w:val="18"/>
          <w:color w:val="auto"/>
        </w:rPr>
      </w:pPr>
    </w:p>
    <w:p>
      <w:pPr>
        <w:ind w:left="520" w:right="760" w:hanging="512"/>
        <w:spacing w:after="0" w:line="312" w:lineRule="auto"/>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1" w:lineRule="exact"/>
        <w:rPr>
          <w:rFonts w:ascii="Times New Roman" w:cs="Times New Roman" w:eastAsia="Times New Roman" w:hAnsi="Times New Roman"/>
          <w:sz w:val="17"/>
          <w:szCs w:val="17"/>
          <w:color w:val="auto"/>
        </w:rPr>
      </w:pPr>
    </w:p>
    <w:p>
      <w:pPr>
        <w:ind w:left="520" w:right="3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may require additional capital to complete our planned clinical development programs for our current product candidates to obtain marketing authorization, and we anticipate needing to raise additional capital to complete the development of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6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may be required to obtain further funding through public or private equity financings, debt financings, collaborative agreements, licensing arrangements or other sources of financing, which may dilute our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December 31, 2025.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labor shortages, labor displacement, high unemployment rates, changes in interest rates, changes in domestic and foreign currency rates, significant political, trade or regulatory developments, geopolitical instability, warfare and uncertainty, public health epidemics or otherwise.</w:t>
      </w:r>
    </w:p>
    <w:p>
      <w:pPr>
        <w:spacing w:after="0" w:line="8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OJEMDA and our Product Candidates</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our product candidates, our reputation may be harmed and our business will suffer.</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results of preclinical studies and earlier clinical trials may not be predictive of the results of later-stage preclinical studies or clinical trials. We have limited clinical data for our product candidates. Products and product candidates in later stages of clinical trials may fail to show similar or desired safety and efficacy traits despite having progressed through preclinical and earlier stage clinical trials.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OJEMDA has only been studied in a limited number of patients. Following commercial launch, OJEMDA is now available to a much larger number of patients, and we do not know whether the results of OJEMDA’s use in such larger number of patients will be consistent with the results from our clinical studies.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OJEMDA has been administered only to a limited number of patients in clinical studies. While the FDA granted accelerated approval of OJEMDA based on the data included in the NDAs, we do not know whether the real-world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data from investigator-initiated studies, as we did for the Phase 1 clinical trial, and we do not control the trial operations or reporting of the results of such trials.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suspended, delayed or fail to adequately demonstrate the safety and effectiveness of OJEMDA and our product candidates, which would prevent or delay development, marketing authorization and commercialization.</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from the FDA for our product candidates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may experience numerous challenges and unforeseen events during, or as a result of, clinical trials that could delay or prevent receipt of marketing authorization for our product candidates. or our ability to successfully commercialize OJEMDA or our product candidates, including: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refusing to permit our clinical studies to proceed or placing studies on hold before or after the studies begin;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demonstrate that the dose for a product candidate has been optimized;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important functional, quality, or patient-reported outcomes;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causing clinical trial enrollment challenges or preventing or delaying marketing authorization in one or several subsets studied in our programs, including in relapsed or front-line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research and/or drug development programs;</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our preclinical studies or clinical trials;</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including Good Clinical Practice, or GCP, regulations,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trials to demonstrate the safety or effectiveness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would require us to include data from additional patients or longer term efficacy and safety data.</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some of our product candidates are targeted towards the pediatric population, we may face additional hurdles and be subjected to greater scrutiny by regulatory agencies. Trials involving pediatric populations can be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outcome of our clinical trials, nor can we guarantee that the data we generate from our clinical trials will be acceptable to regulatory authorities so as to support marketing authorization.</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spacing w:after="0" w:line="6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drug development and/or commercialization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authorization;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contraindications, limitations of use or other restrictions that affect the market for the product;</w:t>
      </w:r>
    </w:p>
    <w:p>
      <w:pPr>
        <w:spacing w:after="0" w:line="53"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authorization with labeling that includes safety warnings, a risk evaluation and mitigation strategy, or REMS, and/or other restrictions on distribution or use that could affect market access;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post-marketing safety labeling changes or a REMS;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civil or criminal investigations and litigation;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we may be delayed in or prevented from obtaining necessary marketing authorization for any or all of our product candidates.</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w:t>
      </w:r>
    </w:p>
    <w:p>
      <w:pPr>
        <w:spacing w:after="0" w:line="7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capacity of clinical researchers to conduct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expertise and selection of contract research organizations, or CROs, to manage operations related to clinical trial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invasive procedures that may be required to enroll patients and to obtain evidence of the product candidate’s performance during the clinical trial;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shortages of chemotherapy standard of care, which may be used in the control arm of certain of our clinical trials, including FIREFLY-2;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or patient advocacy organizations to encourage patient participation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whose tumors harbor V600E mutations in clinical trials for OJEMDA.</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reluctant to enroll their children in our clinical trials or may decide to withdraw their children from our clinical trials to pursue other therapies.</w:t>
      </w:r>
    </w:p>
    <w:p>
      <w:pPr>
        <w:spacing w:after="0" w:line="3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RAPNO-LGG criteria.</w:t>
      </w:r>
    </w:p>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dabrafenib, marketed as Tafinlar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encorafenib, marketed as Braftovi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Five MEK inhibitors have been approved by the FDA. Three have been approved for the treatment of tumors containing BRAF V600E or V600K mutations, including cobimetinib, marketed as Cotellic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trametinib, marketed as Mekinist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binimetinib, marketed as Mektovi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spacing w:after="0" w:line="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Pharma's pan-RAF inhibitor JZP815 is currently being evaluated in a Phase 1 trial in adult solid tumors harboring alterations in the MAPK pathway. Erasca and Novartis' naporafenib, a pan-RAF inhibitor with a potential first-in-class and best-in-class profile in NRAS mutant melanoma and other RAS/MAPK pathway-driven tumors, is being evaluated in combination with trametinib, in a Phase 3 clinical trial in patients with NRAS-mutant melanoma. Nested Therapeutics has advanced NST-628, a pan-RAF/MEK “molecular glue” into a Phase 1 clinical trial. Pfizer’s PF-07799933 (ARRY-440) is a brain-penetrant BRAF-selective monomer/dimer inhibitor that spares ARAF and CRAF, and is currently being evaluated in a phase 1 trial in adults with solid tumors.</w:t>
      </w:r>
    </w:p>
    <w:p>
      <w:pPr>
        <w:spacing w:after="0" w:line="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clinical development. In February 2024, Profound Bio dosed its first patient in a Phase 1/2 Clinical Trial of PRO1107, a PTK7-targeted ADC with an auristatin payload. Profound Bio was acquired by Genmab A/S in May of 2024 and the program was renamed to GEN1107. In September 2025, Genmab announced that PRO1107 was being discontinued due to the overall benefit-risk balance of the program. In May 2024, Sichuan Kelun Pharmaceutical Research Institute also listed a Phase 1 study of SKB518, a PTK7-targeted ADC with a topoisomerase-1 payload, in adults with advanced or metastatic solid tumors. A Phase 2 trial evaluating SKB518 in patients with NSCLC and SCLC was recently announced but has not yet opened for recruitment. Eli Lilly and Company is also conducting a clinical trial, initiated in July 2025, for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LY4175408, a PTK7 targeted ADC with an exatecan payload. Notable PTK7 in preclinical development include Whitehawk’s HWK-007, IDEAYA’s IDE-034, Biocytogen’s BCG003 and BCG017, Kivu Bio’s KIVU107, Zymeworks' ZW318 and SutroBio's STRO-227.</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definitive merger agreement to acquire Mersana Therapeutics, we have global rights to emiltatug ledadotin, or Emi-Le, a B7-H4–directed Dolasynthen ADC that has demonstrated early anti-tumor activity in an ongoing Phase 1 study for adenoid cystic carcinoma type-1, or ACC-1, a rare salivary gland cancer with high unmet medical need and no approved systemic therapies in the recurrent or metastatic setting. Several agents are in development for ACC, though progress has been limited. Investigator-sponsored Phase 2 trials in ACC include studies of the B7-H4–targeting ADC puxitatug samrotecan (AZD8205), the TROP-2-targeting ADC sacituzumab govitecan, and the Nectin-4-targeting ADC enfortumab vedotin. Additional agents in early-phase clinical evaluation or recently completed studies in ACC include Remix Therapeutics’ MYB mRNA degrader REM-422, Ascentage’s MDM2 inhibitor alrizomadlin, and the gamma-secretase inhibitor AL101 (osugacestat), which has been studied in ACC patients with activating NOTCH mutations. Emi-Le’s emerging clinical profile in ACC-1 and the lack of existing treatment options support its potential registration path and align with our mission to bring new therapies to underserved rare cancers.</w:t>
      </w:r>
    </w:p>
    <w:p>
      <w:pPr>
        <w:spacing w:after="0" w:line="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w:t>
      </w:r>
    </w:p>
    <w:p>
      <w:pPr>
        <w:spacing w:after="0" w:line="29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Safety risks or other side effects associated with OJEMDA, Emi-Le, DAY301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product, OJEMDA, and our product candidates. The most common side effects were rash, hair color changes, tiredness, viral infection, vomiting, headache, fever, decrease in growth velocity, dry skin, constipation, nausea, acne and upper respiratory tract infection.</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These side effects or unexpected characteristics may be subject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Emi-Le, DAY301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w:t>
      </w:r>
    </w:p>
    <w:p>
      <w:pPr>
        <w:spacing w:after="0" w:line="8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w:t>
      </w:r>
    </w:p>
    <w:p>
      <w:pPr>
        <w:spacing w:after="0" w:line="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 marketing authorization,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authorization or acceptance of our product candidates, if approved, and could significantly harm our business, financial condition, results of operations and prospects.</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products and product candidates we develop, if approved, may be limited to certain smaller patient subsets and may be smaller than we estimate them to be.</w:t>
      </w:r>
    </w:p>
    <w:p>
      <w:pPr>
        <w:spacing w:after="0" w:line="51"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w:t>
      </w:r>
    </w:p>
    <w:p>
      <w:pPr>
        <w:spacing w:after="0" w:line="29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are primarily focused on the development of targeted therapeutics for patients with genomically-defined cancers, which is a rapidly evolving area of science, and the approach we are taking to search and develop drugs is novel and may never lead to additional approved or marketable products.</w:t>
      </w:r>
    </w:p>
    <w:p>
      <w:pPr>
        <w:spacing w:after="0" w:line="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w:t>
      </w:r>
    </w:p>
    <w:p>
      <w:pPr>
        <w:spacing w:after="0" w:line="298"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OJEMDA and our product candidates, Emi-Le and DAY301, may not achieve adequate market acceptance among physicians, healthcare professionals, patients or their families, healthcare payors and others in the medical community necessary for commercial success.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product, OJEMDA, and product candidates, Emi-Le and DAY301, if approved, may not achieve adequate market acceptance among physicians, healthcare professionals, patients or their families, healthcare payors and others in the medical community necessary for commercial success globally. The degree of market acceptance of any of our approved product candidates will depend on a number of factors, including:</w:t>
      </w:r>
    </w:p>
    <w:p>
      <w:pPr>
        <w:spacing w:after="0" w:line="68" w:lineRule="exact"/>
        <w:rPr>
          <w:sz w:val="20"/>
          <w:szCs w:val="20"/>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 in addition to functional, quality or patient-reported outcomes;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and of any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REMS,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OJEMDA and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 market access;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globally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and product candidates we develop may become subject to unfavorable third-party coverage and reimbursement practices, as well as price restrictions.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Emi-Le and DAY301,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spacing w:after="0" w:line="86" w:lineRule="exact"/>
        <w:rPr>
          <w:sz w:val="20"/>
          <w:szCs w:val="20"/>
          <w:color w:val="auto"/>
        </w:rPr>
      </w:pPr>
    </w:p>
    <w:p>
      <w:pPr>
        <w:ind w:right="100" w:firstLine="4"/>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Federal and state governments are implementing various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We believe the increasing emphasis on cost containment initiatives in Europe,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spacing w:after="0" w:line="68" w:lineRule="exact"/>
        <w:rPr>
          <w:sz w:val="20"/>
          <w:szCs w:val="20"/>
          <w:color w:val="auto"/>
        </w:rPr>
      </w:pPr>
    </w:p>
    <w:p>
      <w:pPr>
        <w:ind w:right="20" w:firstLine="4"/>
        <w:spacing w:after="0" w:line="28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products from third-party payors, the adoption and utilization of those products and sales revenue will be adversely affected, which, in turn, could adversely affect the ability to market or sell those products, if approved.</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marketing authorizations for Emi-Le and DAY301 or any future product candidates, on a timely basis or at all.</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Emi-Le and DAY301, currently our only product and product candidate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may refer any application we submit to an advisory committee. An advisory committee is a panel of independent experts, including clinicians and other scientific experts, which reviews, evaluates and provides advice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and recommendations to the FDA as to whether the application should be approved and under what conditions. The FDA is not bound by the recommendations of an advisory committee, but it considers such recommendations carefully when making decisions.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over which the FDA has substantial discretion. The FDA approval process may also take several years. The timelines for the FDA review and approval process may be delayed as a result of future organizational changes, review processes, and/or staffing reductions.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w:t>
      </w:r>
    </w:p>
    <w:p>
      <w:pPr>
        <w:spacing w:after="0" w:line="81"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the case of an NDA seeking accelerated approval that the NDA does not provide evidence that the product candidate represents a meaningful advantage over available therapies and, therefore, may deny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ORR as the primary endpoint, complemented by key secondary endpoints, is insufficient to reliably define clinical benefit;</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adverse events experienced by participants in our clinical trials represent an unacceptable level of risk;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ind w:left="520" w:right="3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 submission due to, among other reasons, the content or formatting of the submission.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yet obtained FDA approval for our product candidates, Emi-Le and DAY301.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spacing w:after="0" w:line="2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seek to avail ourselves of one or more of the FDA’s expedited programs. For example, we may seek Fast Track designation for one or more of our product candidates.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spacing w:after="0" w:line="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submitted with a PRV. We cannot assure you that the FDA would decide to grant priority review of any of our product candidates.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w:t>
      </w:r>
    </w:p>
    <w:p>
      <w:pPr>
        <w:spacing w:after="0" w:line="26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Finally, Congress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also has the authority to withdraw products approved under the accelerated approval pathway using expedited withdrawal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that may lead to such withdrawal include:</w:t>
      </w:r>
    </w:p>
    <w:p>
      <w:pPr>
        <w:spacing w:after="0" w:line="99" w:lineRule="exact"/>
        <w:rPr>
          <w:sz w:val="20"/>
          <w:szCs w:val="20"/>
          <w:color w:val="auto"/>
        </w:rPr>
      </w:pPr>
    </w:p>
    <w:p>
      <w:pPr>
        <w:ind w:left="520" w:right="1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conduct any required post-approval study of a product candidate with due diligence, including with respect to conditions specified by the FDA;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required to verify and describe the predicted clinical benefit of a product candidate fails to verify and describe such benefit;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dissemination of false or misleading promotional materials relating to the relevant product candidate.</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and in the EU for use of tovorafenib in treating malignant glioma and glioma, respectively. We may seek orphan drug designation for tovorafenib in additional geographies or indications, or for Emi-Le and DAY301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EU, if a medicinal product is granted marketing authorization as an orphan medicinal product, it benefits from a period of orphan market exclusivity during which the European Medicines Agency, or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exclusivity that could result from orphan drug designation or be afforded the other incentives associated with orphan drug designation.</w:t>
      </w:r>
    </w:p>
    <w:p>
      <w:pPr>
        <w:spacing w:after="0" w:line="11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Moreover, a recent Eleventh Circuit decision in </w:t>
      </w:r>
      <w:r>
        <w:rPr>
          <w:rFonts w:ascii="Times New Roman" w:cs="Times New Roman" w:eastAsia="Times New Roman" w:hAnsi="Times New Roman"/>
          <w:sz w:val="18"/>
          <w:szCs w:val="18"/>
          <w:i w:val="1"/>
          <w:iCs w:val="1"/>
          <w:color w:val="auto"/>
        </w:rPr>
        <w:t>Catalyst Pharmaceuticals, Inc. vs. FDA</w:t>
      </w:r>
      <w:r>
        <w:rPr>
          <w:rFonts w:ascii="Times New Roman" w:cs="Times New Roman" w:eastAsia="Times New Roman" w:hAnsi="Times New Roman"/>
          <w:sz w:val="18"/>
          <w:szCs w:val="18"/>
          <w:color w:val="auto"/>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beyond the facts at issue in that case,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could serve as a precedent for future challenges to the FDA’s orphan drug-related decisions, and, accordingly, could fundamentally change how companies rely on, or seek to work around, orphan drug exclusivity in the United States. More recently, the U.S. Court of Appeals for the D.C. Circuit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w:t>
      </w:r>
      <w:r>
        <w:rPr>
          <w:rFonts w:ascii="Times New Roman" w:cs="Times New Roman" w:eastAsia="Times New Roman" w:hAnsi="Times New Roman"/>
          <w:sz w:val="18"/>
          <w:szCs w:val="18"/>
          <w:i w:val="1"/>
          <w:iCs w:val="1"/>
          <w:color w:val="auto"/>
        </w:rPr>
        <w:t>Jazz Pharmaceuticals, Inc. v. Kennedy</w:t>
      </w:r>
      <w:r>
        <w:rPr>
          <w:rFonts w:ascii="Times New Roman" w:cs="Times New Roman" w:eastAsia="Times New Roman" w:hAnsi="Times New Roman"/>
          <w:sz w:val="18"/>
          <w:szCs w:val="18"/>
          <w:color w:val="auto"/>
        </w:rPr>
        <w:t xml:space="preserve">. Legislation has also been introduced that may reverse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but such legislation has not yet been passed.</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29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rare pediatric disease PRV.</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Congress authorized the FDA to award PRVs to sponsors of certain rare pediatric disease product applications that meet the specified criteria. These vouchers are designed to encourage development of new drug and biological products for prevention and treatment of certain rare pediatric diseases. However, the statute contains a sunset provision and the FDA generally may not award rare pediatric disease PRVs after December 20, 2024. Regardless, if the sponsor has received rare pediatric disease designation for a drug no later than September 30, 2024, the FDA may award a rare pediatric disease PRV if the drug is approved by September 30, 2026.</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PRV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PRV upon approval.</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spacing w:after="0" w:line="7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w:t>
      </w:r>
    </w:p>
    <w:p>
      <w:pPr>
        <w:spacing w:after="0" w:line="2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each product and product candidate for which marketing authorization is granted, including OJEMDA, an approved product and the marketing authorization holder are subject to ongoing regulation by the FDA, the EMA and other regulators. Regulators may impose post-marketing requirements and elicit post-marketing commitments, which may be onerous and subject us to ongoing review and extensive regulation. For example, the FDA or EMA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product, assess signals of serious risks related to the product or identify an unexpected serious risk when available data indicates the potential for a serious risk.</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testing, product surveillance and quality assurance.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product for which we obtain marketing authorization, such as OJEMDA, along with the manufacturing processes, post-approval clinical data, labeling, advertising and promotional activities for such product, will be subject to continual requirements of and review by the FDA, the EMA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of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authorizations;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spacing w:after="0" w:line="28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and/or product release specifications.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or EMA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and receive approval for marketing authorizations in other foreign jurisdictions and may not receive necessary approvals to commercialize our products in any market.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7" w:name="page68"/>
    <w:bookmarkEnd w:id="67"/>
    <w:p>
      <w:pPr>
        <w:spacing w:after="0" w:line="2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w:t>
      </w:r>
    </w:p>
    <w:p>
      <w:pPr>
        <w:spacing w:after="0" w:line="75" w:lineRule="exact"/>
        <w:rPr>
          <w:sz w:val="20"/>
          <w:szCs w:val="20"/>
          <w:color w:val="auto"/>
        </w:rPr>
      </w:pPr>
    </w:p>
    <w:p>
      <w:pPr>
        <w:ind w:left="520" w:right="8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520" w:right="100" w:hanging="512"/>
        <w:spacing w:after="0" w:line="25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520" w:right="40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520" w:right="80" w:hanging="512"/>
        <w:spacing w:after="0" w:line="254"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83"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impose requirements related to patient copay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6"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prohibit gifts to health care providers, and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reputation, results of operations, financial condition and prospects.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marketing authorization of and commercialize our product candidates and decrease the prices we may obtain.</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repeal or replace certain aspects of the ACA, including measures taken during the first Trump administration.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addition, there have been legal challenges to the constitutionality of the ACA and certain requirements such as the individual mandate. Although these challenges have been unsuccessful to date, there may be other efforts to challenge the individual mandate or to challenge, repeal or replace the ACA. It is unclear how any pending or future litigation and the healthcare reform measures of the current presidential administration and Congress will impact the ACA and our business.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In July 2025, the One Big Beautiful Bill Act, or the OBBBA, was signed into law, which reduces funding to federal healthcare programs and imposes additional requirements to be eligible for healthcare. These laws may result in additional reductions in Medicare and other healthcare funding.</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recent presidential administrations were focused on drug pricing and have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began taking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w:t>
      </w:r>
    </w:p>
    <w:p>
      <w:pPr>
        <w:spacing w:after="0" w:line="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including potentially significant additional changes to current drug pricing and reimbursement structures, such as Most Favored Nation provisions, will be adopted in the future.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future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including the imposition of new or additional tariffs or other trade barriers,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certain U.S. individuals and entities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or gaining an improper advantage.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where corruption is a recognized problem. In addition, the FCPA presents particular challenges in the pharmaceutical industry, because, in many countries, hospitals are operated by the government, and doctors and other hospital employees are considered foreign officials and therefore our interactions with these individuals are subject to regulation under the FCPA.</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w:t>
      </w:r>
    </w:p>
    <w:p>
      <w:pPr>
        <w:spacing w:after="0" w:line="28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may slow the time necessary for new products to be reviewed and/or approved, which would adversely affect our business.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spacing w:after="0" w:line="7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Similar consequences would also result in the event of another significant shutdown of the federal government. For example, in 2025, the U.S. government was on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FDA-regulated industries, such as ours, face uncertainty with regard to the regulatory environment we will face as we proceed with research, development and commercialization. Some of these efforts have manifested to date in the form of personnel measures that could impact the FDA’s ability to hire and retain key personnel, which could result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delays or limitations on our ability to obtain guidance from the FDA on our product candidates in development or obtain the requisite regulatory approvals in the future. There remains general uncertainty regarding future activities. New executive orders, regulations, policies or guidance could be issued or promulgated that adversely affect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1"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OJEMDA or any future approved products may be unsuccessful or less successful than anticipated.</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ongoing commercialization of OJEMDA may not develop as planned or anticipated, which may require us to, among others, adjust or amend our business plan and incur significant expenses.</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clinical trials ourselves. As a result, we are dependent on third parties to conduct our ongoing and planned clinical trials of tovorafenib, Emi-Le, DAY301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 our stated protocols, we will not be able to obtain, or may be delayed in obtaining, marketing authorizations for OJEMDA (outside of the United States), Emi-Le, DAY301 or any future product candidates and will not be able to, or may be delayed in our efforts to, successfully commercialize our products.</w:t>
      </w:r>
    </w:p>
    <w:p>
      <w:pPr>
        <w:spacing w:after="0" w:line="26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OJEMDA and our product candidates, DAY301 and Emi-Le, is complex. Our third-party manufacturers may encounter difficulties in production, which could delay or entirely halt their ability to supply our product candidates for clinical trials or, if approved, for commercial sale.</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in China. For example, for DAY301 the antibody and linker payload as well as final drug product manufacturing are all conducted in China. For OJEMDA, the API is sourced from China. We rely, and expect to continue to rely, on third parties for the manufacture of OJEMDA, Emi-Le and DAY301,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our products. This reliance on third parties increases the risk that we will not have sufficient quantities of OJEMDA, Emi-Le and DAY301 or our other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the imposition of new or additional tariffs or other trade barriers,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economic sanctions, changes in the policies of the United States or Chinese governments, political unrest or unstable economic conditions in China. The U.S. presidential administration has imposed tariffs on non-U.S. goods, including those imported from China, where certain of our third-party manufacturers are located. We believe we currently have sufficient API inventory for commercial and clinical use and do not anticipate any near-term impact to our sales or clinical programs, we expect these tariffs to increase the cost of our API in the future, which would negatively impact our business, financial condition and results of operations. In addition, legislation was introduced in Congress to limit certain U.S. biotechnology companies from using equipment or services produced or provided by certain Chinese biotechnology companies, which could include the manufacturer of our API, Wuxi STA, and others in Congress have advocated for the use of existing executive branch authorities to limit certain Chinese service providers’ ability to engage in business in the United States, although this legislation has not progressed to law. We cannot predict what actions may ultimately be taken with respect to trade relations between the United States and China or other countries, what products and services may be subject to such actions or what actions may be taken by the other countries in retaliation.</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or do so on favorable terms. Our anticipated reliance on a limited number of third party-manufacturers or suppliers exposes us to the following risks: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a Health Authority determines that our CMOs are not in compliance with laws and regulations, including those governing cGMPs, the Health Authority may not approve a regulatory submission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commercialization of OJEMDA, we will need to take steps to increase the scale of production.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7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7" w:name="page78"/>
    <w:bookmarkEnd w:id="77"/>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OJEMDA or our product candidates may adversely affect our future profit margins and our ability to commercialize any products that obtain marketing authorization on a timely and competitive basis.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changes in domestic and foreign currency rates, significant political, trade or regulatory developments, including the implementation of trade barriers, tariffs, and other protectionist measures by the United States, China, and other governments,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is sensitive to increased U.S. tariffs and other trade restrictions, including tariffs specifically on imports from China and tariffs on imports of pharmaceutical products from other jurisdictions. If such tariffs are expanded in scope, increased, or become permanent, the Company could experience higher costs on imported raw materials and product intermediates, which may compress margins. Because the timing, scope and enforceability of such tariffs are uncertain, we may not be able to fully predict or mitigate their impacts. Increased tariffs and other trade restrictions on China could increase annual API costs for OJEMDA. Although the effect of the more recently announced worldwide product-specific Pharmaceutical tariffs is only beginning to materialize, management expects that such measures could further increase costs.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mitigate tariff risk, we are exploring steps such as (i) diversifying sourcing to lower-tariff jurisdictions, (ii) qualifying alternate domestic suppliers, and (iii) managing inventory levels. However, there can be no assurance these measures will fully offset the impacts of increased tariffs.</w:t>
      </w:r>
    </w:p>
    <w:p>
      <w:pPr>
        <w:spacing w:after="0" w:line="26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License Agreement with Ipsen is important to our business. If Ipsen fails to fulfill its contract obligations, or if any of the Ipsen License Agreement is terminated, our ability to commercialize OJEMDA in territories outside the United States may be delayed or prevented and we may never receive milestone payments or future royalties under the License Agreement.</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 A significant portion of our future revenue and cash resources may be derived from the Ipsen License Agreement, or other similar agreements into which we may enter in the future.</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Ipsen License Agreement, we are eligible to receive up to approximately $375.0 million in additional commercial launch and sales-based milestone payments based on exchange rates as of the reporting date, as well as tiered, double-digit royalty payments starting at mid-teens percentage of annual net sales of tovorafenib, subject to customary adjustments.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terms of the Ipsen License Agreement, Ipsen will have significant discretion in determining the efforts and resources that they will apply to their marketing efforts and their management of the ex-U.S. regulatory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activities and they may not perform their obligations as expected. Disputes may arise between Ipsen and us that result in the delay or termination of the research, development or commercialization of our products or product candidates or that result in costly litigation or arbitration that diverts management attention and resources. Furthermore, they may have changes in their strategic focus or available funding, or experience external factors, such as an acquisition, may divert resources or create competing priorities. Any of these events would have a material adverse effect on our business, financial condition and results of operations.</w:t>
      </w:r>
    </w:p>
    <w:p>
      <w:pPr>
        <w:spacing w:after="0" w:line="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Ipsen License Agreement may be terminated by either party for material breach or bankruptcy. In addition, Ipsen may terminate the Ipsen License Agreement after the second anniversary of the effective date for convenience with six months’ prior written notice or for certain other specified reasons.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Ipsen License Agreement is terminated, then, depending on the event:</w:t>
      </w:r>
    </w:p>
    <w:p>
      <w:pPr>
        <w:spacing w:after="0" w:line="117" w:lineRule="exact"/>
        <w:rPr>
          <w:sz w:val="20"/>
          <w:szCs w:val="20"/>
          <w:color w:val="auto"/>
        </w:rPr>
      </w:pPr>
    </w:p>
    <w:p>
      <w:pPr>
        <w:ind w:left="520" w:right="68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could increase significantly if it is necessary for us to hire additional employees and allocate internal resources to the commercialization or other activities that were previously shared by Ipsen;</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bear all of the risks and costs related to the further commercialization and development activities that were previously the subject of the Ipsen License Agreement;</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fund further commercialization activities, we may need to seek out and establish alternative strategic collaborations with third-party partners, which may not be possible; or</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do so on terms which are acceptable to us, in which case it may be necessary for us to limit the size or scope of one or more of our programs or increase our expenditures and seek additional funding by other means.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would have a material adverse effect on our business, financial condition and results of operations.</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our product candidates.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on a select basis, such as our collaboration with Ipsen with respect to commercialization of tovorafenib in all territories outside the United States.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do enter into any additional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2" w:lineRule="exact"/>
        <w:rPr>
          <w:sz w:val="20"/>
          <w:szCs w:val="20"/>
          <w:color w:val="auto"/>
        </w:rPr>
      </w:pPr>
    </w:p>
    <w:p>
      <w:pPr>
        <w:ind w:left="520" w:right="2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86" w:lineRule="exact"/>
        <w:rPr>
          <w:sz w:val="20"/>
          <w:szCs w:val="20"/>
          <w:color w:val="auto"/>
        </w:rPr>
      </w:pPr>
    </w:p>
    <w:p>
      <w:pPr>
        <w:ind w:left="520" w:right="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spacing w:after="0" w:line="67"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or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and</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we establish additional collaborations in the future, all of the risks relating to product development, marketing authorization and commercialization described herein would also apply to the activities of any such future collaborators.</w:t>
      </w:r>
    </w:p>
    <w:p>
      <w:pPr>
        <w:spacing w:after="0" w:line="26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large customer, or any cancellation or delay of a significant purchase by a large customer, could reduce our net sales and harm our operating results.</w:t>
      </w:r>
    </w:p>
    <w:p>
      <w:pPr>
        <w:spacing w:after="0" w:line="5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have received a substantial portion of our revenue from a limited number of customers. For example, for the year ended December 31, 2025, two individual customers accounted for 97.6% of our total net product revenue, with these individual customers representing 66.7% and 30.9% of total net product revenue. As of December 31, 2025, two customers accounted for 94.6% of the accounts receivable balance, with these individual customers representing 67.4% and 27.2% of the accounts receivable balance.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as well as the other members of our management team, other key employees and advisors. We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currently do not maintain key person insurance on these individuals. Although we have entered into employment agreements with our executive officers, each of them may terminate their employment with us at any time.</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had 178 full-time employees as of December 31, 2025.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Emi-Le, DAY301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Emi-Le. DAY301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OJEMDA, Emi-Le, DAY301 our other pipeline product candidates or any future product candidates and, accordingly, may not achieve our research, development and commercialization goals.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future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and third parties that we rely on, including, clinical trial investigators, CROs, CMOs, consultants, vendors and any future commercial partners.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spacing w:after="0" w:line="8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w:t>
      </w:r>
    </w:p>
    <w:p>
      <w:pPr>
        <w:spacing w:after="0" w:line="1" w:lineRule="exact"/>
        <w:rPr>
          <w:sz w:val="20"/>
          <w:szCs w:val="20"/>
          <w:color w:val="auto"/>
        </w:rPr>
      </w:pPr>
    </w:p>
    <w:p>
      <w:pPr>
        <w:ind w:right="300" w:firstLine="8"/>
        <w:spacing w:after="0" w:line="252"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w:t>
      </w:r>
    </w:p>
    <w:p>
      <w:pPr>
        <w:spacing w:after="0" w:line="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w:t>
      </w:r>
    </w:p>
    <w:p>
      <w:pPr>
        <w:spacing w:after="0" w:line="8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9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or other disruptions, it could result in a material disruption of our development programs, compromise sensitive information related to our business and other personal information or prevent us from accessing critical information, potentially exposing us to liability, harming our reputation, or otherwise adversely affecting our business.</w:t>
      </w:r>
    </w:p>
    <w:p>
      <w:pPr>
        <w:spacing w:after="0" w:line="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collect, process, store and transmit proprietary, confidential and sensitive information including intellectual property, trade secrets, proprietary business information, and personal information on our employees and others, along with data we and our CROs collect about trial participants in connection with clinical trials. It is critical that we process this data in a secure manner to maintain its confidentiality, integrity and availability. We depend on information technology and telecommunications systems for significant elements of our operations, including enterprise software systems for human resources, financial reporting, customer relationship management, regulatory compliance and other infrastructure operations. We face a number of risks related to protecting this critical information, including loss of access, inappropriate use or disclosure, inappropriate modification and inability to adequately monitor, audit and modify our controls. These risks also extend to our third parties and partners who operate critical business systems and process confidential, proprietary and sensitive information.</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complexity and increasing amounts of proprietary, confidential and sensitive information maintained by our internal information technology systems and those of our CROs, CMOs, vendors, contractors, consultants and other third-party partners, these systems are potentially vulnerable to breakdown, service interruptions, system malfunction, accidents caused by our own personnel or third-party partners, natural disasters, terrorism, global pandemics, war and telecommunication and electrical failures, as well as security breaches or cyber-attacks by malicious third parties (including through viruses, worms, malicious code, malware, ransomware, distributed denial-of-service attacks and social engineering), which may compromise our system infrastructure, or that of our partners.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viruses, foreign governments or cyber terrorists, has generally increased as the number, intensity and sophistication of attempted attacks have grown. We may not be able to anticipate or prevent all types of such security threats which change frequently, and can originate from a wide variety of sources. Any disruption or security breach could result in loss of, or damage to, our data or applications, inappropriate disclosure of confidential, sensitive, or proprietary information, liability and reputational damage, delays in the development and commercialization of OJEMDA, Emi-Le, DAY301 or any future product candidates and civil fines and penalties, including under HIPAA and other applicable data breach notification laws.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may exceed, or be excluded from, the limits of our cybersecurity insurance coverage, which may not be adequate to cover all losses, including fines, judgments, settlements, penalties, costs, attorney fees, and other impacts arising from such incidents. If the information technology systems of our CROs, CMOs, vendors, contractors, consultants and other third-party partners become subject to disruptions or security breaches, we may have insufficient recourse against such third parties and need to expend significant resources to mitigate the impact of and prevent future events. The successful assertion of one or more large claims against us that exceeds our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assure you that our data protection efforts and investments in information technology will prevent significant breakdowns, data leakages, breaches, or other cyber incidents in our systems or those of our CROs, CMOs, vendors, contractors, consultants and other third-party partners. Such events could materially adversely affect our reputation, business, operations or financial condition, delay our programs and product development, result in the loss of clinical trial data and cause financial, legal, business and reputational harm.</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breaches. Most jurisdictions have enacted laws requiring companies to notify individuals, regulatory authorities and others of security breaches involving certain types of data. Such mandatory disclosures are costly, could lead to negative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and our efforts to address these issues may not be successful. These issues could result in interruptions, delays, negative publicity, loss of customer trust diminished use of our products, and other harms to our business and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7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2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standards, and contractual obligations related to privacy, data protection and data security. The actual or perceived failure to comply with such obligations could lead to government enforcement actions (which could include civil or criminal penalties), fines, sanctions, private litigation and/or adverse publicity and could negatively affect our operating results and business.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and third parties with whom we work are or may become subject to numerous domestic and foreign data protection laws and regulations (i.e., laws and regulations that address privacy and data security), the scopes of which are changing, subject to differing applications and interpretations, and may be inconsistent among states, countries, or conflict with other requirements. We are or may become subject to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health information privacy and security laws, data breach notification laws, and consumer protection laws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focuses on the collection of consumer health data, and has a broader scope than HIPAA and includes a private right of action. Nevada has also passed a similar law with respect to the collection and processing of consumer health information</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California, the California Consumer Privacy Act, or the CCPA, grants individual privacy rights for California consumers and places increased privacy and data security obligations on entities handling personal information of consumers or households. The CCPA is enforced by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and provides for civil penalties and a private right of action for data breaches that is expected to increase data breach litigation.</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Additionally, the U.S. Department of Justice issued a final rule, effective April 8, 2025, entitled “Preventing Access to U.S. Sensitive Personal Data and Government-Related Data by Countries of Concern or Covered Persons,” which places additional restrictions on certain data transactions involving “countries of concern” (currently China (including Hong Kong and Macau), Russia, Iran, North Korea, Cuba, and Venezuela) and “covered persons” (entities owned by, organized under the laws of, or operating in such countries, as well as certain individuals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affiliated with those countries). The rule restricts or prohibits a range of business activities, such as vendor engagement, data brokerage transactions, employment of certain individuals, and certain investor agreements, if they involve the transfer or access to “sensitive personal data” (such as precise geolocation data, biometric identifiers, personal health data, or personal financial data) above specific thresholds. Some such transactions may be permitted if specific security requirements are met or exemptions apply, but others may be outright prohibited. Violations of the rule could result in significant civil and criminal fines and penalties. Aside from certain narrow exemptions, the rule applies regardless of whether data is anonymized, key-coded, pseudonymized, de-identified, or encrypted, which may present challenges for companies like ours and impact our ability to transfer data, including preclinical testing data, clinical trial data, or manufacturing data in connection with certain transactions or agreements.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also subject to foreign data protection laws, including the General Data Protection Regulation, or GDPR, which applies to personal information (including health-related data) obtained from individuals in the European Economic Area, or the EEA (as well as substantially similar laws that govern the collection of data from individuals in the UK and Switzerland, collectively referred to herein as GDPR). The GDPR imposes strict obligations on businesses, including requirements for informed consent practices and detailed notices for clinical trial subjects and investigators,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personal information, and establishing means for data subjects to exercise rights in relation to their personal information. The GDPR subjects noncompliant companies to fines of up to the greater of 20 million Euros (17.5 million GBP in the UK) or 4% of their global annual revenues, potential bans on processing of personal information (including clinical trials), and private litigation.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 GDPR generally prohibits the transfer of personal information to countries outside of the EEA, UK and Switzerland, such as the United States, which are not considered by their relevant authorities to provide an adequate level of data protection unless specific legal mechanisms are in place. These mechanisms are subject to legal challenges and may be invalidated restricting our ability to process personal information from the EEA, UK, or Switzerland of Europeans outside of these territories and adversely impact our business. If we cannot implement a valid compliance mechanism for cross-border data transfers, we may face increased exposure to regulatory actions, substantial fines, and injunctions against processing or transferring personal data from Europe or other foreign jurisdictions.</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Other countries have also adopted certain legal requirements for local storage and processing of data, or restrictions on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 Changes in international legislations may add additional complexity, variation in requirements, restrictions and potential legal risk, require additional investment in resources for compliance programs and could result in increased compliance costs in business practices or impact the availability of previously useful data.</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security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5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There is continued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In addition, in recent years “anti-ESG” sentiment has gained momentum across the United States, with several states and Congress having proposed or enacted “anti-ESG” policies, legislation, or initiatives or issued related legal opinions, and the U.S. presidential administration having recently issued an executive order opposing diversity equity and inclusion (“DEI”) initiatives in the private sector.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9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United States; however, beginning after that period, the OBBBA restored immediate deductibility of research and development expenditures incurred in the United States.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for transactions occurring on or after January 1, 2023, the Inflation Reduction Act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Future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U.S. federal net operating losses generated in tax years beginning after December 31, 2017, will not expire and may be carried forward indefinitely but the deductibility of such federal net operating losses is limited to 80% of current year taxable income (without regard to certain deductions).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During the year ended December 31, 2025, the Company has completed a Section 382 study to determine whether an ownership change per the provisions of Section 382 of the Internal Revenue Code, as well as similar state provisions, has occurred. The study concluded the Company underwent an ownership change during an earlier year as defined by the Code. However, based on the study, all of the tax attributes are fully available for use as of December 31, 2024. As a result, if we undergo an ownership change (or if we previously underwent such an ownership change),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5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or technologies. Moreover, in January 2026, we acquired Mersana and their lead product candidate, Emi-Le.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integration challenges or disrupt our management or business, which could adversely affect our operations and financial results. For example, these transactions may entail numerous operational and financial risks, including:</w:t>
      </w:r>
    </w:p>
    <w:p>
      <w:pPr>
        <w:spacing w:after="0" w:line="54"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520" w:right="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OJEMDA and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3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OJEMDA or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December 31, 2025,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may also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w:t>
      </w:r>
    </w:p>
    <w:p>
      <w:pPr>
        <w:spacing w:after="0" w:line="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or trade secret protection for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we experience any of the foregoing, it could have a materially adverse effect on our business and could force us to cease operations which could cause you to lose all of your investment.</w:t>
      </w:r>
    </w:p>
    <w:p>
      <w:pPr>
        <w:spacing w:after="0" w:line="26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OJEMDA and our product candidates.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Darmstadt, Germany. Further, pursuant to the MabCare License Agreement, we have the exclusive right to develop, manufacture and commercialize DAY301 worldwide, excluding Greater China.</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OJEMDA and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w:t>
      </w:r>
    </w:p>
    <w:p>
      <w:pPr>
        <w:spacing w:after="0" w:line="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even if we successfully develop and commercialize products, we may be unable to achieve or maintain profitability.</w:t>
      </w:r>
    </w:p>
    <w:p>
      <w:pPr>
        <w:spacing w:after="0" w:line="32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2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Third parties may also raise similar invalidity claims before the USPTO or patent offices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9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OJEMDA and our product candidates.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OJEMDA and product candidates, our business may be materially harmed.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relevant to our business, our competitive position may be impaired, and our business, financial condition, results of operations and prospects may be adversely affected.</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trade barriers and unexpected changes in tariffs, including tariffs that have been or may in the future be imposed by the United States or other countries, could impact our intellectual property rights in unpredictable ways. For example, trade barriers and changes in tariffs may require us to change our supply chain and move our current or future production to countries with more favorable trade agreements but less favorable or no intellectual property rights protection. The United States and other countries may also take protectionist or retaliatory measures in response to the changes in tariffs, leading to a plethora of unpredictable consequences that could weaken our intellectual property rights throughout the world.</w:t>
      </w:r>
    </w:p>
    <w:p>
      <w:pPr>
        <w:spacing w:after="0" w:line="28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OJEMDA and some of our product candidates may be dependent on third parties.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 Significant Agreements.” Our licensed patent portfolio may not provide us with adequate and continuing patent protection sufficient to exclude others from commercializing products similar to OJEMDA and our product candidates.</w:t>
      </w:r>
    </w:p>
    <w:p>
      <w:pPr>
        <w:spacing w:after="0" w:line="29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or collaborators are forced to grant a license to third parties with respect to any patents relevant to our business, our competitive position in the relevant jurisdiction may be impaired and our business, financial condition, results of operations and prospects may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operating results will be affected by numerous factors, including:</w:t>
      </w:r>
    </w:p>
    <w:p>
      <w:pPr>
        <w:spacing w:after="0" w:line="117"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the sales of our product, OJEMDA;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variations in the level of expense related to the current or future development of our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86" w:lineRule="exact"/>
        <w:rPr>
          <w:sz w:val="20"/>
          <w:szCs w:val="20"/>
          <w:color w:val="auto"/>
        </w:rPr>
      </w:pPr>
    </w:p>
    <w:p>
      <w:pPr>
        <w:ind w:left="520" w:right="6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we develop receives marketing authorization, the timing and terms of such approval and market acceptance and demand for such product;</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authorization and intend to commercialize on our own or jointly with future collaborators;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current or future product candidates or products, if any, or those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 or gain associated with the change in value of the success payments and contingent consideration;</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rising interest rates, inflation, changes in domestic and foreign currency rates, significant political or trade regulatory developments or changes in trade policy, global regional conflicts and public health epidemics;</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activities, such as additional program in-licensing, which could result in up-front payments or increased development expenses;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68"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for our product, OJEMDA;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or clinical trials by us or those of our competitors or by existing or future collaborators or licensing partners;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our future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86" w:lineRule="exact"/>
        <w:rPr>
          <w:sz w:val="20"/>
          <w:szCs w:val="20"/>
          <w:color w:val="auto"/>
        </w:rPr>
      </w:pPr>
    </w:p>
    <w:p>
      <w:pPr>
        <w:ind w:left="520" w:right="6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and proprietary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biopharmaceutical company stocks;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inflation, changes in interest rates, changes in domestic and foreign currency rates and significant political or regulatory developments or changes in trade policy, many of which are beyond our control;</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global pandemics, such as the COVID-19 pandemic, or war, incidents of terrorism or responses to these events, including global regional conflicts;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experienced significant stock price volatility in recent years. If we face such litigation, it could result in substantial costs and a diversion of management’s attention and our resources, which could harm our business.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holders of an aggregate of 8,502,776 shares of our outstanding common stock as of December 31, 2025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w:t>
      </w:r>
    </w:p>
    <w:p>
      <w:pPr>
        <w:spacing w:after="0" w:line="7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December 31, 2025, our executive officers, directors, holders of 5% or more of our capital stock and their respective affiliates beneficially owned 37.4%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volatile interest rates and increasing inflation, changes in domestic and foreign currency rates, declines in consumer confidence, declines in economic growth, increases in unemployment rates, labor displacement, slowing population growth, the imposition of trade barriers, tariffs and other protectionist measures, and uncertainty about economic stability. A severe or prolonged economic downturn or recession and a continued increase in inflation rates or interest rates could result in a variety of risks to our business, including weakened demand for OJEMDA and our ability to raise additional capital when needed on acceptable terms, if at all. Likewise, the capital and credit markets may be adversely affected by global regional conflicts, and the possibility of wider or additional global conflicts, global sanctions imposed in response thereto or an energy crisis.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in part due to the volatility of the stock market and any general economic downturn.</w:t>
      </w:r>
    </w:p>
    <w:p>
      <w:pPr>
        <w:spacing w:after="0" w:line="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 our business and operations may be impacted by the political instability and military hostilities in multiple geographies including Ukraine, the Middle East and the tensions between China and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leadership, including the board of directors, or the Board, recognizes the critical importance of maintaining the trust and confidence of our patients, investors, business partners and employees. The Board is actively involved in oversight of the Company’s risk management program, and cybersecurity represents an important component of the Company’s overall approach to risk management. The Company’s cybersecurity policies, standards, processes and practices are integrated into the Company’s broader risk management and disclosure controls and procedures and are based on recognized frameworks such as the National Institute of Standards and Technology, or NIST, Cybersecurity Framework, the International Organization for Standardization, or ISO/ International Electrotechnical Commission, or IEC 27001 framework and other applicable industry standards. In general, the Company seeks to address cybersecurity risks through a comprehensive, cross-functional approach that is focused on preserving the confidentiality, integrity and availability of the information that the Company collects and stores by identifying, preventing, mitigating and remediating cybersecurity threats and effectively responding to cybersecurity incidents when they occur.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one of the critical elements of the Company’s overall risk management approach, the Company’s cybersecurity program is focused on the following key areas:</w:t>
      </w:r>
    </w:p>
    <w:p>
      <w:pPr>
        <w:spacing w:after="0" w:line="50" w:lineRule="exact"/>
        <w:rPr>
          <w:sz w:val="20"/>
          <w:szCs w:val="20"/>
          <w:color w:val="auto"/>
        </w:rPr>
      </w:pPr>
    </w:p>
    <w:p>
      <w:pPr>
        <w:ind w:right="4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As discussed in more detail under the heading “Governance,” below, the Board's oversight of cybersecurity risk management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the Audit Committee of the Board, or the Audit Committee, which regularly interacts with the Company’s Vice President of Information Technology and other members of management, including members of management’s Data Privacy and Security Committee.</w:t>
      </w:r>
    </w:p>
    <w:p>
      <w:pPr>
        <w:spacing w:after="0" w:line="6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Collaborative Approach</w:t>
      </w:r>
      <w:r>
        <w:rPr>
          <w:rFonts w:ascii="Times New Roman" w:cs="Times New Roman" w:eastAsia="Times New Roman" w:hAnsi="Times New Roman"/>
          <w:sz w:val="18"/>
          <w:szCs w:val="18"/>
          <w:color w:val="auto"/>
        </w:rPr>
        <w:t>: The Company has implemented a comprehensive, cross-functional approach to identifying, preventing and mitigating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and incidents, while also implementing controls and processes that provide for the prompt escalation of certain cybersecurity incidents so that decisions regarding the public disclosure and reporting of such incidents can be made by management in a timely manner and in accordance with applicable legal requirements, including SEC disclosure requirements.</w:t>
      </w:r>
    </w:p>
    <w:p>
      <w:pPr>
        <w:spacing w:after="0" w:line="68"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Information Security</w:t>
      </w:r>
      <w:r>
        <w:rPr>
          <w:rFonts w:ascii="Times New Roman" w:cs="Times New Roman" w:eastAsia="Times New Roman" w:hAnsi="Times New Roman"/>
          <w:sz w:val="18"/>
          <w:szCs w:val="18"/>
          <w:color w:val="auto"/>
        </w:rPr>
        <w:t>: We implement organizational, administrative and technical measures based on commercially reasonable procedures using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standard information security measures prescribed for use by NIST, (ii) security measures aligned with the ISO/IEC 27000 series of standards, (iii) vendor security due diligence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and assurance activities (e.g., SOC 2 reports), (iv) applicable privacy regulations,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spacing w:after="0" w:line="64" w:lineRule="exact"/>
        <w:rPr>
          <w:sz w:val="20"/>
          <w:szCs w:val="20"/>
          <w:color w:val="auto"/>
        </w:rPr>
      </w:pPr>
    </w:p>
    <w:p>
      <w:pPr>
        <w:ind w:right="4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Technical Safeguards</w:t>
      </w:r>
      <w:r>
        <w:rPr>
          <w:rFonts w:ascii="Times New Roman" w:cs="Times New Roman" w:eastAsia="Times New Roman" w:hAnsi="Times New Roman"/>
          <w:sz w:val="18"/>
          <w:szCs w:val="18"/>
          <w:color w:val="auto"/>
        </w:rPr>
        <w:t>: The Company deploys technical safeguards that are designed to protect the Company’s information systems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including firewalls, intrusion prevention and detection systems, anti-malware functionality and access controls, multi-factor authentication, endpoint detection and response, encryption of data at rest and in transit, and security logging and monitoring, which are evaluated and improved through vulnerability assessments and cybersecurity threat intelligence.</w:t>
      </w:r>
    </w:p>
    <w:p>
      <w:pPr>
        <w:spacing w:after="0" w:line="68"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Incident Response and Recovery Planning</w:t>
      </w:r>
      <w:r>
        <w:rPr>
          <w:rFonts w:ascii="Times New Roman" w:cs="Times New Roman" w:eastAsia="Times New Roman" w:hAnsi="Times New Roman"/>
          <w:sz w:val="18"/>
          <w:szCs w:val="18"/>
          <w:color w:val="auto"/>
        </w:rPr>
        <w:t>: The Company has established and maintains comprehensive incident response and recovery plans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designed to address the Company’s response to a cybersecurity incident, including materiality assessment and disclosure escalation procedures, and such plans are tested and evaluated on a regular basis.</w:t>
      </w:r>
    </w:p>
    <w:p>
      <w:pPr>
        <w:spacing w:after="0" w:line="63"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Third-Party Risk Management</w:t>
      </w:r>
      <w:r>
        <w:rPr>
          <w:rFonts w:ascii="Times New Roman" w:cs="Times New Roman" w:eastAsia="Times New Roman" w:hAnsi="Times New Roman"/>
          <w:sz w:val="18"/>
          <w:szCs w:val="18"/>
          <w:color w:val="auto"/>
        </w:rPr>
        <w:t>: The Company maintains a comprehensive, risk-based approach to identifying and overseeing cybersecurity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by third parties, including CROs, CMOs, vendors, contractors, consultants, service providers and other external users of the Company’s systems, as well as the systems of third parties that could adversely impact our business in the event of a cybersecurity incident affecting those third-party systems which includes due diligence, ongoing monitoring, and contractual requirements addressing security, audit rights, and incident notification.</w:t>
      </w:r>
    </w:p>
    <w:p>
      <w:pPr>
        <w:spacing w:after="0" w:line="68"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Education and Awareness</w:t>
      </w:r>
      <w:r>
        <w:rPr>
          <w:rFonts w:ascii="Times New Roman" w:cs="Times New Roman" w:eastAsia="Times New Roman" w:hAnsi="Times New Roman"/>
          <w:sz w:val="18"/>
          <w:szCs w:val="18"/>
          <w:color w:val="auto"/>
        </w:rPr>
        <w:t>: The Company provides regular, mandatory training for personnel and contractors regarding cybersecurity threats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equip the Company’s personnel with effective tools to address cybersecurity threats, and to communicate the Company’s evolving information security policies, standards, processes and practices.</w:t>
      </w:r>
    </w:p>
    <w:p>
      <w:pPr>
        <w:spacing w:after="0" w:line="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Risk and Readiness Assessments</w:t>
      </w:r>
      <w:r>
        <w:rPr>
          <w:rFonts w:ascii="Times New Roman" w:cs="Times New Roman" w:eastAsia="Times New Roman" w:hAnsi="Times New Roman"/>
          <w:sz w:val="18"/>
          <w:szCs w:val="18"/>
          <w:color w:val="auto"/>
        </w:rPr>
        <w:t>: The Company engages in the periodic assessment and testing of the Company’s policies, standards, processes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practices that are designed to address cybersecurity threats and incidents. These efforts include a wide range of activities, including audits, assessments, tabletop exercises, threat modeling, vulnerability testing, independent penetration testing and other exercises focused on evaluating the effectiveness of our cybersecurity measures and planning. The Company regularly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Audit Committee and the Board, and the Company adjusts its cybersecurity policies, standards, processes and practices as necessary based on the information provided by these assessments, audits and reviews.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We maintain cybersecurity insurance coverage subject to customary terms, conditions and limitations.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the Company’s risk management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members of the Data Privacy and Security Committee, which includes the Company’s Vice President of Information Technology.</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Vice President of Information Technology, who is responsible for assessing and managing material risks from cybersecurity threats, in coordination with the Data Privacy and Security Committee, which includes our Chief Executive Officer, or CEO, Chief Operating and Financial Officer, or COO and CFO, and General Counsel, works collaboratively across the Company to implement a program designed to protect the Company’s information systems from cybersecurity threats and to promptly respond to any cybersecurity incidents in accordance with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the Vice President of Information Technology and the Data Privacy and Security Committee monitor the prevention, detection, mitigation and remediation of cybersecurity threats and incidents on an ongoing basis and report such threats and incidents to the Audit Committee when appropriate.</w:t>
      </w:r>
    </w:p>
    <w:p>
      <w:pPr>
        <w:spacing w:after="0" w:line="72" w:lineRule="exact"/>
        <w:rPr>
          <w:sz w:val="20"/>
          <w:szCs w:val="20"/>
          <w:color w:val="auto"/>
        </w:rPr>
      </w:pPr>
    </w:p>
    <w:p>
      <w:pPr>
        <w:jc w:val="both"/>
        <w:ind w:right="40" w:firstLine="509"/>
        <w:spacing w:after="0" w:line="289" w:lineRule="auto"/>
        <w:rPr>
          <w:sz w:val="20"/>
          <w:szCs w:val="20"/>
          <w:color w:val="auto"/>
        </w:rPr>
      </w:pPr>
      <w:r>
        <w:rPr>
          <w:rFonts w:ascii="Times New Roman" w:cs="Times New Roman" w:eastAsia="Times New Roman" w:hAnsi="Times New Roman"/>
          <w:sz w:val="17"/>
          <w:szCs w:val="17"/>
          <w:color w:val="auto"/>
        </w:rPr>
        <w:t>The Vice President of Information Technology has over 20 years of experience in information technology and information security, including senior leadership roles at public companies overseeing enterprise security and IT risk programs. The Company’s CEO, COO and CFO, and General Counsel have extensive experience overseeing risk management at the Company and at similar companies, including risks arising from cybersecurity threats.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identified cybersecurity threats, including from prior incidents, that have materially affected or are reasonably likely to materially affect us, including our operations, business strategy, results of operations, or financial condition. If we were to experience a material cybersecurity incident in the future, such incidents may have a material effect, including on our operations, business strategy, results of operations or financial condition. For more information regarding cybersecurity risks that we face and potential impacts on our business related thereto, see the risk factor titled “If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Brisbane, California, where we lease approximately 19,000 square feet of office space. The lease expires in January 2032.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became a public company on May 26, 2021. Our common stock is listed for trading on the NASDAQ Capital Market under the symbol “DAWN.”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February 19, 2026, there were approximately 28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an amendment to this Annual Report on Form 10-K or incorporated by reference from our definitive proxy statement to be filed pursuant to Regulation 14A within 120 days of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“filed” with the SEC for purposes of Section 18 of the Exchange Act, or incorporated by reference into any of our filings under the Securities Act or the Exchange Act generally, except as shall be expressly set forth by specific reference in such filing.</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the cumulative total return to our stockholders between May 27, 2021 (the date our common stock commenced trading on the Nasdaq Global Select Market) and December 31, 2025, in comparison to the Nasdaq Biotechnology Index, the Nasdaq Composite Index, and the Standard &amp; Poor’s 500 Index. An initial investment of $100 and reinvestment of dividends is assumed to have been made in our common stock and in each</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4" w:name="page115"/>
    <w:bookmarkEnd w:id="11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index. The historical stock price performance of our common stock shown in the performance graph is not necessarily indicative of, 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45720</wp:posOffset>
            </wp:positionV>
            <wp:extent cx="5074920" cy="28975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749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the comparison of the financial results for the fiscal years ended December 31, 2024 and 2023, see Item 7, Management’s Discussion and Analysis of Financial Condition and Results of Operations, in our Annual Report on Form 10-K for the fiscal year ended December 31, 2024, filed with the SEC on February 25, 2025. As used in this report, unless the context suggests otherwise, “we,” “us,” “our,” “the Company” or “Day One” refer to Day One Biopharmaceuticals,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Day One Biopharmaceuticals, Inc., or Day One, is a biopharmaceutical company dedicated to developing and commercializing targeted therapies for people of all ages with life-threatening diseases.</w:t>
      </w:r>
    </w:p>
    <w:p>
      <w:pPr>
        <w:spacing w:after="0" w:line="5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 or first-in-class programs with the goal of introducing new medicines that will make a real difference in the treatment of children and adults.</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in July 2021 to tovorafenib for treatment of low-grade gliomas, or LGGs, harboring an activating RAF alteration.</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a regulatory endpoint of overall response rate and the totality of the Company’s pivotal open-label Phase 2 trial, or FIREFLY-1, data, including duration of response. With the approval, we received, and subsequently sold,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accelerated approval of OJEMDA is based on data from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with relapsed or refractory pLGG showed the following (June 5, 2023 data cutoff):</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ORR of ~51%, which included partial responses in 37% of patients and minor responses in 14% of patients.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64 patients with BRAF fusions or rearrangements, the ORR was 52%, and among those with a BRAF V600 mutation, the ORR was 50%.</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was 49% in the 46 patients who had previously been treated with MAPK-targeted therapy and 55% in the 31 patients who had not received prior MAPK-targeted treatment.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safety of OJEMDA was evaluated in 137 patients with relapsed or refractory pLGG, with the majority of adverse events being Grade 1 or Grade</w:t>
      </w:r>
    </w:p>
    <w:p>
      <w:pPr>
        <w:spacing w:after="0" w:line="39" w:lineRule="exact"/>
        <w:rPr>
          <w:sz w:val="20"/>
          <w:szCs w:val="20"/>
          <w:color w:val="auto"/>
        </w:rPr>
      </w:pPr>
    </w:p>
    <w:p>
      <w:pPr>
        <w:ind w:right="100" w:firstLine="8"/>
        <w:spacing w:after="0" w:line="260"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side effects were rash, hair color changes, tiredness, viral infection, vomiting, headache, fever, decrease in growth velocity, dry skin, constipation, nausea, acne and upper respiratory tract infection.</w:t>
      </w:r>
    </w:p>
    <w:p>
      <w:pPr>
        <w:spacing w:after="0" w:line="7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Follow up data from FIREFLY-1 confirmed the original data that supported OJEMDA's approval by the US FDA. In Arm 1, data from the 76 RAPNO LGG evaluable patients with relapsed or refractory pLGG showed the following (May 10, 2024 data cutoff to support the ongoing evaluation of OJEMDA):</w:t>
      </w:r>
    </w:p>
    <w:p>
      <w:pPr>
        <w:spacing w:after="0" w:line="6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ORR of ~53%, which included partial responses in 38% of patients and minor responses in 15% of patients.</w:t>
      </w:r>
    </w:p>
    <w:p>
      <w:pPr>
        <w:spacing w:after="0" w:line="117" w:lineRule="exact"/>
        <w:rPr>
          <w:rFonts w:ascii="Times New Roman" w:cs="Times New Roman" w:eastAsia="Times New Roman" w:hAnsi="Times New Roman"/>
          <w:sz w:val="18"/>
          <w:szCs w:val="18"/>
          <w:color w:val="auto"/>
        </w:rPr>
      </w:pPr>
    </w:p>
    <w:p>
      <w:pPr>
        <w:ind w:left="1540" w:right="1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oAmong the 64 patients with BRAF fusions or rearrangements, the ORR was 53%, and among those with a BRAF V600 mutation, the ORR was 50%.</w:t>
      </w:r>
    </w:p>
    <w:p>
      <w:pPr>
        <w:spacing w:after="0" w:line="53" w:lineRule="exact"/>
        <w:rPr>
          <w:rFonts w:ascii="Times New Roman" w:cs="Times New Roman" w:eastAsia="Times New Roman" w:hAnsi="Times New Roman"/>
          <w:sz w:val="18"/>
          <w:szCs w:val="18"/>
          <w:color w:val="auto"/>
        </w:rPr>
      </w:pPr>
    </w:p>
    <w:p>
      <w:pPr>
        <w:ind w:left="1540" w:right="1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ORR was 51% in the 45 patients who had previously been treated with MAPK-targeted therapy and 55% in the 31 patients who had not received prior MAPK-targeted treatment.</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duration of response was 18 months. Of the 77 patients enrolled in Arm 1, 66 patients (~86%) had discontinued primary tovorafenib treatment, most commonly because they transitioned to a planned drug holiday (33 patients). Ten patients discontinued the study entirely.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 to response, following initiation of treatment, with OJEMDA was 5.4 months.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Based on the May 10, 2024 data cutoff from the ongoing study, the safety profile of OJEMDA remained consistent with that observed at the time of approval, with no new safety signals identified.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November 2025, we announced updated additional clinical data from the FIREFLY-1 trial, based upon a data cutoff of June 6, 2025. New data from Arm 1, with an updated median study duration of 40.6 months are described as follows: In 76 patients from Arm 1, 44 (58%) completed 26 or more cycles of treatment (approximately 24 months). Amongst the key primary endpoints, the ORR was 53%, the median duration of response was 19.4 months, and the time to response was 5.4 months. The pre-specified secondary study endpoint of Progression Free Survival was evaluated by Response Assessment in Pediatric Neuro-Oncology Low-Grade Glioma. The median was 16.6 months.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Exploratory analyses were undertaken to further assess the clinical impact of tovorafenib in the same study population. Among these analyses:</w:t>
      </w:r>
    </w:p>
    <w:p>
      <w:pPr>
        <w:spacing w:after="0" w:line="117" w:lineRule="exact"/>
        <w:rPr>
          <w:sz w:val="20"/>
          <w:szCs w:val="20"/>
          <w:color w:val="auto"/>
        </w:rPr>
      </w:pPr>
    </w:p>
    <w:p>
      <w:pPr>
        <w:ind w:left="1020" w:right="5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time-to-next-treatment (defined as the time from the date of the first dose of tovorafenib to the start of the first subsequent anticancer treatment, or date of death) was 42.6 months.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Thirty-nine patients entered a treatment-free observation period: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77% were treatment-free for a minimum of 12 months.</w:t>
      </w:r>
    </w:p>
    <w:p>
      <w:pPr>
        <w:spacing w:after="0" w:line="117" w:lineRule="exact"/>
        <w:rPr>
          <w:rFonts w:ascii="Times New Roman" w:cs="Times New Roman" w:eastAsia="Times New Roman" w:hAnsi="Times New Roman"/>
          <w:sz w:val="18"/>
          <w:szCs w:val="18"/>
          <w:color w:val="auto"/>
        </w:rPr>
      </w:pPr>
    </w:p>
    <w:p>
      <w:pPr>
        <w:ind w:left="1540" w:right="1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oMedian treatment-free interval, measured from the end of tovorafenib primary treatment to the start of the next subsequent anticancer treatment or death, was not reached.</w:t>
      </w:r>
    </w:p>
    <w:p>
      <w:pPr>
        <w:spacing w:after="0" w:line="53" w:lineRule="exact"/>
        <w:rPr>
          <w:rFonts w:ascii="Times New Roman" w:cs="Times New Roman" w:eastAsia="Times New Roman" w:hAnsi="Times New Roman"/>
          <w:sz w:val="18"/>
          <w:szCs w:val="18"/>
          <w:color w:val="auto"/>
        </w:rPr>
      </w:pPr>
    </w:p>
    <w:p>
      <w:pPr>
        <w:ind w:left="1540" w:right="1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oTumor rebound was minimal in the first 6 months off therapy, with 31% of patients experiencing a ≥25% increase in tumor size from the last scan prior to the last dose.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In this updated three-year analysis, no new safety signals were identified. Grade 3 or higher adverse events most commonly reported (≥ 5% of patients) were decreased growth velocity, anemia, blood creatine phosphokinase increased, maculopapular rash, alanine aminotransferase increased.</w:t>
      </w:r>
    </w:p>
    <w:p>
      <w:pPr>
        <w:spacing w:after="0" w:line="32"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South America, Middle East and Asia, with approximately 140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/dose once weekly, and once-monthly carboplatin regime will be included as a fourth standard of care option for arm 2. We expect to complete enrollment of FIREFLY-2 in the first half of 2026.</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June 2025, tovorafenib was added to the National Comprehensive Cancer Network, or NCCN, adult glioma treatment guidelines as a category 2a recommended treatment option for patients with recurrent or progressive BRAF-altered disease.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Pharma SAS, or Ipsen, on an exclusive basis, the right to commercialize tovorafenib in all territories outside the United States and agreed to provide certain research and development and manufacturing services.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in August 2024 and (ii) Ipsen Biopharmaceuticals, Inc., or the Investor, a fully-owned Affiliate of Ipsen, purchased 2,341,495 shares of our common stock in a private placement for $40.0 million, at a price per share representing a 17.0% premium to the volume weighted average price, or VWAP, of our common stock as traded on The Nasdaq Stock Market LLC for the ten consecutive trading days prior to and including the date of our public release of U.S. GAAP revenue for the quarter ended June 30, 2024 on July 30, 2024, or the Revenue Release, and the ten consecutive trading days following the Revenue Release, in accordance with the terms set forth in an investment agreement by and between us and the Investor dated July 23, 2024.</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approximately $375.0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27, 2025, Ipsen received validation of its completed submission of the Marketing Authorization Application to the EMA for tovorafenib for the treatment of patients with relapsed or refractory pLGG. Ipsen anticipates a regulatory decision in 2026.</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May 2025, we notified Sprint of our decision to discontinue our investment in the VRK1 program and terminated the Sprint License Agreement, with termination taking effect on August 15, 2025. This decision was made following careful consideration of the current development status of the program and our overall strategic objectives.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April 2024, the FDA cleared the investigational new drug application for DAY301. In January 2025, we cleared the first cohort (a single-patient accelerated titration cohort) in the Phase 1a portion of the DAY301 Phase 1a/b clinical trial, and the study continues to enroll in the dose escalation phase of the program. We plan to present initial clinical data and provide a program update in the second half of 2026.</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2025, we and Mersana Therapeutics, Inc., or Mersana, entered into an Agreement and Plan of Merger, or the Merger Agreement. Pursuant to the Merger Agreement, we commenced a tender offer to acquire all of the issued and outstanding shares of common stock of Mersana, or the Target Shares, for (i) $25.00 net per Target Share, payable in cash, without interest plus (ii) one contingent value right per Target Share which represents the right to receive milestone payments of up to an aggregate of $30.25 per share in cash upon the achievement of certain specified milestones in accordance with the terms and subject to the conditions of a contingent value rights agreement. The transaction closed on January 6, 2026 and we believe it positions us for continued success and expansion of our oncology portfolio, adding Emiltatug ledadotin, or Emi-Le, a potential first-in-class monotherapy for patients with adenoid cystic carcinoma, or ACC, an aggressive cancer with a well-defined patient population and high unmet need, most often arising from the salivary gland. The early anti-tumor activity observed with Emi-Le in an ongoing Phase 1 study, in a disease with a clear unmet medical need, may support a fast path to registration. Emi-Le represents an innovative and differentiated antibody-drug candidate, or ADC, directed against B7-H4, a well-characterized target in certain cancers. B7-H4 is highly expressed in ACC as well as in other adult and pediatric cancers. As a novel targeted investigational agent with monotherapy anti-tumor activity intended for a well-defined patient population without any approved therapies or a clear standard of care, we believe that Emi-Le is well positioned for potential rapid development and commercialization. We plan to present clinical data mid-2026.</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Emi-Le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85725</wp:posOffset>
            </wp:positionV>
            <wp:extent cx="5083175" cy="2871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317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w:t>
      </w:r>
    </w:p>
    <w:p>
      <w:pPr>
        <w:spacing w:after="0" w:line="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XOMA</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 in December 2019.</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spacing w:after="0" w:line="68"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spacing w:after="0" w:line="72"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spacing w:after="0" w:line="68"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referred to as the XOMA License Agreement. No material terms of the XOMA License Agreement have been amended or modified in relation to the same.</w:t>
      </w:r>
    </w:p>
    <w:p>
      <w:pPr>
        <w:spacing w:after="0" w:line="72" w:lineRule="exact"/>
        <w:rPr>
          <w:sz w:val="20"/>
          <w:szCs w:val="20"/>
          <w:color w:val="auto"/>
        </w:rPr>
      </w:pPr>
    </w:p>
    <w:p>
      <w:pPr>
        <w:jc w:val="both"/>
        <w:ind w:right="80" w:firstLine="562"/>
        <w:spacing w:after="0" w:line="266" w:lineRule="auto"/>
        <w:rPr>
          <w:sz w:val="20"/>
          <w:szCs w:val="20"/>
          <w:color w:val="auto"/>
        </w:rPr>
      </w:pPr>
      <w:r>
        <w:rPr>
          <w:rFonts w:ascii="Times New Roman" w:cs="Times New Roman" w:eastAsia="Times New Roman" w:hAnsi="Times New Roman"/>
          <w:sz w:val="18"/>
          <w:szCs w:val="18"/>
          <w:color w:val="auto"/>
        </w:rPr>
        <w:t>On March 27, 2025, Ipsen received validation of its completed submission of the Marketing Authorization Application to the EMA for tovorafenib for the treatment of patients with relapsed or refractory pLGG. Ipsen anticipates a regulatory decision in 2026. As a result, we paid $4.0 million to XOMA for the achievement of this milestone in March 2025.</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26, 2025, we achieved a regulatory milestone related to tovorafenib for the treatment of patients with relapsed or refractory pLGG.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we paid $2.0 million to XOMA for the achievement of this milestone in December 2025.</w:t>
      </w:r>
    </w:p>
    <w:p>
      <w:pPr>
        <w:spacing w:after="0" w:line="9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As of December 31, 2025, we could be required to make additional milestone payments of up to $34.0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580" w:firstLine="464"/>
        <w:spacing w:after="0" w:line="266" w:lineRule="auto"/>
        <w:rPr>
          <w:sz w:val="20"/>
          <w:szCs w:val="20"/>
          <w:color w:val="auto"/>
        </w:rPr>
      </w:pPr>
      <w:r>
        <w:rPr>
          <w:rFonts w:ascii="Times New Roman" w:cs="Times New Roman" w:eastAsia="Times New Roman" w:hAnsi="Times New Roman"/>
          <w:sz w:val="18"/>
          <w:szCs w:val="18"/>
          <w:color w:val="auto"/>
        </w:rPr>
        <w:t>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2023, we discontinued our monotherapy substudy due to a limited duration of response in this rare patient population despite observing responses with a generally well tolerated therapy. In July 2024, we informed Merck KGaA, Darmstadt, Germany that we decided to close the program because the benefit/risk profile and the market opportunity did not justify the significant investment required to continue the trial despite observing some clinical responses. In September 2025, we finalized the termination agreement with Merck KGaA, Darmstadt, Germany and concluded all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8"/>
          <w:szCs w:val="18"/>
          <w:color w:val="auto"/>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 In consideration for the rights granted under the Sprint License Agreement, we paid $3.0 million upfront in cash to Sprint in September 2023.</w:t>
      </w:r>
    </w:p>
    <w:p>
      <w:pPr>
        <w:spacing w:after="0" w:line="72"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On May 9, 2025, we notified Sprint of our decision to discontinue our investment in the VRK1 program and terminated the Sprint License Agreement, with termination taking effect on August 15, 2025. This decision was made following careful consideration of the current development status of the program and our overall strategic objectives.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spacing w:after="0" w:line="75" w:lineRule="exact"/>
        <w:rPr>
          <w:sz w:val="20"/>
          <w:szCs w:val="20"/>
          <w:color w:val="auto"/>
        </w:rPr>
      </w:pPr>
    </w:p>
    <w:p>
      <w:pPr>
        <w:ind w:right="12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spacing w:after="0" w:line="75" w:lineRule="exact"/>
        <w:rPr>
          <w:sz w:val="20"/>
          <w:szCs w:val="20"/>
          <w:color w:val="auto"/>
        </w:rPr>
      </w:pPr>
    </w:p>
    <w:p>
      <w:pPr>
        <w:ind w:right="34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we made an upfront payment of $55.0 million in July 2024. As of December 31, 2025, we could be required to make additional payments of $1,132.0 million based upon the achievement of specified development, regulatory, and commercial success-based milestones plus low-to-mid single-digit royalties on net sales outside of Greater China.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spacing w:after="0" w:line="68"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2025, we are also eligible to receive up to approximately $375.0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140" w:firstLine="464"/>
        <w:spacing w:after="0" w:line="266" w:lineRule="auto"/>
        <w:rPr>
          <w:sz w:val="20"/>
          <w:szCs w:val="20"/>
          <w:color w:val="auto"/>
        </w:rPr>
      </w:pPr>
      <w:r>
        <w:rPr>
          <w:rFonts w:ascii="Times New Roman" w:cs="Times New Roman" w:eastAsia="Times New Roman" w:hAnsi="Times New Roman"/>
          <w:sz w:val="18"/>
          <w:szCs w:val="18"/>
          <w:color w:val="auto"/>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spacing w:after="0" w:line="68"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obtaining licenses to and filing patent applications in the United States and in jurisdictions outside of the United States related to our proprietary technology, inventions, improvements and product candidates that are important to the development and implementation of our business. We also may rely on trade secrets and know-how relating to our proprietary technology and product candidates, continuing innovation, and in-licensing opportunities to develop, strengthen and maintain our proprietary positions. We additionally plan to rely on data exclusivity, market exclusivity and patent term extensions if and when available, and if appropriate,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24" w:lineRule="exact"/>
        <w:rPr>
          <w:sz w:val="20"/>
          <w:szCs w:val="20"/>
          <w:color w:val="auto"/>
        </w:rPr>
      </w:pPr>
    </w:p>
    <w:p>
      <w:pPr>
        <w:ind w:right="20" w:firstLine="464"/>
        <w:spacing w:after="0" w:line="253" w:lineRule="auto"/>
        <w:rPr>
          <w:sz w:val="20"/>
          <w:szCs w:val="20"/>
          <w:color w:val="auto"/>
        </w:rPr>
      </w:pPr>
      <w:r>
        <w:rPr>
          <w:rFonts w:ascii="Times New Roman" w:cs="Times New Roman" w:eastAsia="Times New Roman" w:hAnsi="Times New Roman"/>
          <w:sz w:val="18"/>
          <w:szCs w:val="18"/>
          <w:color w:val="auto"/>
        </w:rPr>
        <w:t>Our owned or co-owned patent portfolio, as of January 1, 2026, includes a co-owned United States patent directed to the compositions of matter and pharmaceutical compositions of tovorafenib, which provides patent protection in the United States through 2031, and multiple foreign patents and applications including granted patents in Germany, France, United Kingdom, Belgium, Switzerland, Denmark, Spain, Ireland, Italy, Netherlands, Australia, Brazil, Canada, China, India, Japan, Korea, Mexico, Russia, Singapore, South Africa, Taiwan, and Hong Kong, which are expected to expire in 2028. Furthermore, we have filed two applications for patent term extension of 5 years pertaining to the regulatory review period for OJEMDA (tovorafenib) for the United States patent directed to the compositions of matter and pharmaceutical compositions. One application involves NDA 217700 for a tovorafenib tablet and the other involves NDA 218033 for a tovorafenib oral suspension. The applications were submitted to the United States Patent and Trademark Office, or USPTO, in June 2024 and are under review by the USPTO. Approval of the applications for patent term extension would extend the United States patent to August 2036. We have additional patents and pending applications drawn to formulations, methods of use, and methods of manufacture for tovorafenib. Our patent portfolio also includes issued and pending patents covering formulations, methods of manufacture, and methods of use of tovorafenib. Certain issued patents are expected to provide protection through 2035, and pending applications, if granted, could extend coverage into the 2040s.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United States, OJEMDA has received both 5 years of New Chemical Entity exclusivity and 7 years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Orphan Drug Exclusivity to April 2029 and April 2031, respectively. During the seven-year exclusivity period, the FDA may not approve any other sponsor’s application to market the same drug for the same indication, except in limited circumstances, such as a showing of clinical superiority to the product with orphan drug exclusivity by means of greater effectiveness, greater safety, or providing a major contribution to patient care, or in instances of drug supply issues or consent by the exclusivity holder.</w:t>
      </w:r>
    </w:p>
    <w:p>
      <w:pPr>
        <w:spacing w:after="0" w:line="112"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Upon closure of the Mersana Therapeutics, Inc. acquisition on January 6, 2026, our owned patent portfolio includes patent families directed to Emi-Le including the related components, intermediates, methods of manufacture, and methods of treatment. Our portfolio includes issued patents and pending patent applications covering Emi-Le and the associated components, intermediate, methods of manufacture, and methods of treatment. Certain issued patents are expected to expire between 2032 and 2044, and pending patent applications that, if issued, and where applicable nationalized, are expected to expire between 2041 and 2046.</w:t>
      </w:r>
    </w:p>
    <w:p>
      <w:pPr>
        <w:spacing w:after="0" w:line="10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in-licensed patent portfolio, as of January 1, 2026, includes patent families directed to DAY301 including the related components, intermediates, methods of manufacture, and methods of treatment. One in-licensed patent family directed to the compositions of matter, methods of use, and synthetic intermediates of DAY301, which has one allowed United States patent and several pending applications in foreign jurisdictions that, if issued, are expected to expire in 2044. Three in-licensed patent families are directed to the ADC linker used in DAY301, which includes pending applications in United States and foreign jurisdictions that, if issued, are expected to expire in 2042.</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Where applicable, patent extensions will be requested for jurisdictions outside of the United States upon regulatory approval in these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portion of the transaction price allocated to the licenses was recognized as revenue upon delivery of the licenses in the year ended December 31, 2024. The transaction price allocated to the research and development services is being recognized over time as services are delivered.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amortization expense of intangible assets and third-party royalties payable on our net product revenue. Cost of inventory sold may also include costs related to excess or obsolete inventory adjustment charges, abnormal costs, unabsorbed manufacturing and overhead costs, and manufacturing variances.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license revenue includes the cost of delivering the performance obligations under the Ipsen License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expenses incurred for our research activities, including our discovery and in-licensing undertakings, and the development of our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780" w:right="20" w:hanging="383"/>
        <w:spacing w:after="0" w:line="28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contract research organizations, or CROs, contract manufacturing organizations, or CMOs, and other third parties that conduct clinical activities on our behalf;</w:t>
      </w:r>
    </w:p>
    <w:p>
      <w:pPr>
        <w:spacing w:after="0" w:line="53"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w:t>
      </w:r>
    </w:p>
    <w:p>
      <w:pPr>
        <w:spacing w:after="0" w:line="117" w:lineRule="exact"/>
        <w:rPr>
          <w:rFonts w:ascii="Times New Roman" w:cs="Times New Roman" w:eastAsia="Times New Roman" w:hAnsi="Times New Roman"/>
          <w:sz w:val="18"/>
          <w:szCs w:val="18"/>
          <w:color w:val="auto"/>
        </w:rPr>
      </w:pPr>
    </w:p>
    <w:p>
      <w:pPr>
        <w:ind w:left="780" w:right="340" w:hanging="383"/>
        <w:spacing w:after="0" w:line="28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operational costs, such as rent, facilities and maintenance, travel and information technology, incurred related to research and development activities, but are not allocable to a specific product or product candidate.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17" w:lineRule="exact"/>
        <w:rPr>
          <w:sz w:val="20"/>
          <w:szCs w:val="20"/>
          <w:color w:val="auto"/>
        </w:rPr>
      </w:pPr>
    </w:p>
    <w:p>
      <w:pPr>
        <w:ind w:left="780" w:right="720" w:hanging="383"/>
        <w:spacing w:after="0" w:line="282"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share-based compensation expense, for our research and development personnel.</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track external costs by program, which currently consist of expenses for our tovorafenib, pimasertib, DAY301, and the VRK1 inhibitor program. We do not track indirect costs on a program specific basis because these costs are deployed across multiple programs and, as such, are not separately classified.</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 Item 1A “Risk Factors” in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 We expect that our selling, general and administrative expenses will remain relatively consistent in the near-term.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sale of priority review voucher</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Gain from the sale of priority review voucher represents the sale of our rare pediatric disease PRV, which was awarded to us in connection with the FDA’s approval of OJEMDA.</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right"/>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155,421</w:t>
            </w:r>
          </w:p>
        </w:tc>
        <w:tc>
          <w:tcPr>
            <w:tcW w:w="1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98,204</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73,944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(71,183)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27,021</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license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(79,567)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(62,499)</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(127,750)</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(217,270)</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from sale of priority review voucher</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(108,000)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(110,466)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(109,298)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(88,352)</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(20,946)</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(107,322)</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(95,496)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(11,826)</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-2287905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-2287905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-2287905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-2287905</wp:posOffset>
            </wp:positionV>
            <wp:extent cx="145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-1456690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-1456690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-1456690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-1456690</wp:posOffset>
            </wp:positionV>
            <wp:extent cx="1454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-1165225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-1165225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-1165225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-1165225</wp:posOffset>
            </wp:positionV>
            <wp:extent cx="145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-607695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-607695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-607695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-607695</wp:posOffset>
            </wp:positionV>
            <wp:extent cx="1454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-316230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-316230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-316230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-316230</wp:posOffset>
            </wp:positionV>
            <wp:extent cx="1454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Amount and/or percentage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increased $98.2 million, from $57.2 million for the year ended December 31, 2024 to $155.4 million for the year ended December 31, 2025 due to increased sales of OJEMDA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License revenue decreased $71.2 million, from $73.9 million for the year ended December 31, 2024 to $2.7 million for the year ended December 31, 2025 due to the recognition of the upfront consideration received from the Ipsen License Agreement for the pLGG license rights in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increased $9.9 million, from $4.8 million for the year ended December 31, 2024 to $14.7 million for the year ended December 31, 2025 due to increased sales of OJEMDA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license revenue</w:t>
      </w:r>
    </w:p>
    <w:p>
      <w:pPr>
        <w:spacing w:after="0" w:line="119"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Cost of license revenue increased $2.0 million, from $0.5 million for the year ended December 31, 2024 to $2.5 million for the year ended December 31, 2025 due to an increased level of research and development services provided.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$79.6 million, from $227.7 million for the year ended December 31, 2024 to $148.1 million for the year ended December 31, 2025. License related payments decreased by $74.0 million due to milestone payments of $6.0 million related to the XOMA License Agreement in the year ended December 31, 2025 compared to milestone payments of $75.0 million related to the MabCare License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and a $5.0 million amendment payment related to the XOMA License Agreement in the year ended December 31, 2024. Personnel-related expenses decreased by $2.4 million driven by changes in headcount and other research and development costs decreased by $1.3 million. Third-party expenses decreased by $1.9 million due primarily to a decrease in clinical trial and manufacturing activities associated with DAY301.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years ended December 31, 2025 and 2024:</w:t>
      </w:r>
    </w:p>
    <w:p>
      <w:pPr>
        <w:spacing w:after="0" w:line="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1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Third-party CRO, CMO and other third-party clinical trial costs</w:t>
            </w:r>
            <w:r>
              <w:rPr>
                <w:rFonts w:ascii="Times New Roman" w:cs="Times New Roman" w:eastAsia="Times New Roman" w:hAnsi="Times New Roman"/>
                <w:sz w:val="24"/>
                <w:szCs w:val="24"/>
                <w:color w:val="auto"/>
                <w:vertAlign w:val="superscript"/>
              </w:rPr>
              <w:t>(1)</w:t>
            </w:r>
          </w:p>
        </w:tc>
        <w:tc>
          <w:tcPr>
            <w:tcW w:w="244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XOMA license agreement milestone payment</w:t>
            </w:r>
          </w:p>
        </w:tc>
        <w:tc>
          <w:tcPr>
            <w:tcW w:w="1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MabCare license agreement upfront payment</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MabCare license agreement milestone payment</w:t>
            </w:r>
          </w:p>
        </w:tc>
        <w:tc>
          <w:tcPr>
            <w:tcW w:w="1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1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49,353</w:t>
            </w:r>
          </w:p>
        </w:tc>
        <w:tc>
          <w:tcPr>
            <w:tcW w:w="100" w:type="dxa"/>
            <w:vAlign w:val="bottom"/>
          </w:tcPr>
          <w:p>
            <w:pPr>
              <w:spacing w:after="0"/>
              <w:rPr>
                <w:sz w:val="18"/>
                <w:szCs w:val="18"/>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148,135</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227,702</w:t>
            </w:r>
          </w:p>
        </w:tc>
        <w:tc>
          <w:tcPr>
            <w:tcW w:w="100" w:type="dxa"/>
            <w:vAlign w:val="bottom"/>
            <w:shd w:val="clear" w:color="auto" w:fill="CFF0FC"/>
          </w:tcPr>
          <w:p>
            <w:pPr>
              <w:spacing w:after="0"/>
              <w:rPr>
                <w:sz w:val="19"/>
                <w:szCs w:val="19"/>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480" w:right="160" w:hanging="472"/>
        <w:spacing w:after="0" w:line="266"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pimasertib, DAY301, and VRK1 programs were $70.3 million, $1.0 million, $12.5 million, and $3.7 million, respectively, for the year ended December 31, 2025 compared to $74.8 million, $3.8 million, $4.2 million, and $6.6 million, respectively, for the year ended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Selling, general and administrative expenses increased $5.1 million, from $115.5 million for the year ended December 31, 2024 to $120.6 million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2025. The increase in selling, general and administrative expenses were primarily due to transaction costs of $1.8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Mersana Therapeutics, Inc. acquisition, an increase of $1.1 million in professional services driven by commercial activities,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in personnel-related expenses driven by changes in headcount, and an increase of $1.4 million in other selling, general and administrative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continued expansion of business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jc w:val="both"/>
        <w:ind w:right="260" w:firstLine="469"/>
        <w:spacing w:after="0" w:line="266" w:lineRule="auto"/>
        <w:rPr>
          <w:sz w:val="20"/>
          <w:szCs w:val="20"/>
          <w:color w:val="auto"/>
        </w:rPr>
      </w:pPr>
      <w:r>
        <w:rPr>
          <w:rFonts w:ascii="Times New Roman" w:cs="Times New Roman" w:eastAsia="Times New Roman" w:hAnsi="Times New Roman"/>
          <w:sz w:val="18"/>
          <w:szCs w:val="18"/>
          <w:color w:val="auto"/>
        </w:rPr>
        <w:t>Income tax benefit for the year ended December 31, 2025, was $2.0 million resulting in an effective tax rate of 1.8% compared to (8.1)% in 2024. The income tax benefit for the year ended December 31, 2025 is due to the revision of estimated income taxes payable for the year ended December 31, 2024 based on information obtained during the preparation of the tax return.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we entered into a securities purchase agreement with certain institutional and accredited investors, or the PIPE Investors, pursuant to which we agreed to sell and issue to the PIPE Investors in a private placement, or the Private Placement, an aggregate of (i) 10,551,718 shares of our common stock at a purchase price of $14.50 per share and (ii) 1,517,241 pre-funded warrants, or the Pre-Funded Warrants, to purchase up to an aggregate of 1,517,241 shares of our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spacing w:after="0" w:line="84"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provide certain research and development and manufacturing services. 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closing date of the transaction approximated fair value, which was then recorded as a component of additional paid-in capital.</w:t>
      </w:r>
    </w:p>
    <w:p>
      <w:pPr>
        <w:spacing w:after="0" w:line="8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an accumulated deficit of $661.4 million and $441.1 million in cash, cash equivalents and short-term investments. We believe our cash, cash equivalents and short-term investments will be sufficient to satisfy our capital requirements through at least twelve months after the date that this Annual Report is filed.</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340" w:firstLine="469"/>
        <w:spacing w:after="0" w:line="282" w:lineRule="auto"/>
        <w:rPr>
          <w:sz w:val="20"/>
          <w:szCs w:val="20"/>
          <w:color w:val="auto"/>
        </w:rPr>
      </w:pPr>
      <w:r>
        <w:rPr>
          <w:rFonts w:ascii="Times New Roman" w:cs="Times New Roman" w:eastAsia="Times New Roman" w:hAnsi="Times New Roman"/>
          <w:sz w:val="18"/>
          <w:szCs w:val="18"/>
          <w:color w:val="auto"/>
        </w:rPr>
        <w:t>We have an operating lease obligation for office space. As of December 31, 2025, we had fixed lease payment obligations of approximately $0.5 million, payable within 12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Organizations and Contract Manufacturing Organizations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2025, there were no amounts accrued related to termination and cancellation charges as these are not probable.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7 to the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12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(103,757)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(78,113)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in) by investing activities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(230,994)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203,291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w w:val="99"/>
              </w:rPr>
              <w:t>Net increase (decrease) in cash and cash equivalents</w:t>
            </w:r>
          </w:p>
        </w:tc>
        <w:tc>
          <w:tcPr>
            <w:tcW w:w="16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w w:val="96"/>
              </w:rPr>
              <w:t>125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-1216660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-1216660</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$103.8 million consisting of our net loss of $107.3 million and non-cash charges of $32.5 million, which were offset by changes in net operating assets and liabilities of $28.9 million. Non-cash charges consisted primarily of shared-based compensation expense of $44.4 million, amortization of intangible assets of $3.1 million, depreciation expense of $0.4 million, amortization of operating right-of-use asset of $0.3 million, and loss from the sale of property and equipment of $0.1 million, which was offset by the accretion of discounts on short-term investments, net of $15.7 million. Changes in operating assets and liabilities were primarily related to decreases in accrued expenses and other current liabilities of $16.0 million, an increase in accounts receivable of $12.9 million, an increase in inventory of $2.9 million, a decrease in other long-term liability of $0.3 million, and an increase in deposits and other long-term assets of $0.1 million. This was partially offset by a decrease in prepaid expenses and other current assets of $2.5 million, an increase in accounts payable of $0.5 million, and an increase in deferred revenue of $0.3 million.</w:t>
      </w:r>
    </w:p>
    <w:p>
      <w:pPr>
        <w:spacing w:after="0" w:line="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$78.1 million consisting of our net loss of $95.5 million and non-cash charges of $9.1 million, which were offset by changes in net operating assets and liabilities of $26.5 million. Non-cash charges consisted primarily of a gain from sale of PRV of $108.0 million and accretion of discounts on short-term investments of $6.4 million partially offset by acquired in-process research and development assets of $55.0 million, shared-based compensation expense of $48.3 million, amortization of intangible assets of $1.5 million, and amortization of operating right-of-use asset of $0.5 million. Changes in operating assets and liabilities were primarily related to increases in accrued expenses and other current liabilities of $42.1 million, deferred revenue of $4.8 million, accounts payable of $0.7 million, other long-term liability of $0.8 million, and a decrease in deposits and other long-term assets of $0.1 million. This was partially offset by an increase in accounts receivable of $13.9 million, prepaid expenses and other current assets of $4.6 million, inventory of $3.2 million, and a decrease of operating lease liabilities of $0.3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40" w:firstLine="469"/>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2025 was $174.6 million attributable to the purchase of short-term investments of $695.8 million, acquisition of intangible assets of $3.5 million, and the purchase of property and equipment of $0.3 million. This was partially offset by the proceeds from maturity of short-term investments of $864.3 million and the proceeds from the sale of short-term investments of $10.0 million.</w:t>
      </w:r>
    </w:p>
    <w:p>
      <w:pPr>
        <w:spacing w:after="0" w:line="50"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$231.0 million attributable to the purchase of short-term investments of $658.6 million, acquisition of in-process research and development assets of $55.0 million, acquisition of intangible assets of $17.1 million, and the purchase of property and equipment of $2.2 million. This was partially offset by the proceeds from maturity of short-term investments of $314.5 million, the sale of the PRV of $108.0 million, and the sale of short-term investments of $79.4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December 31, 2025 was $1.2 million related to net proceeds from the issuance of common stock upon stock option exercises and purchases made under our 2021 Employee Stock Purchase Plan.</w:t>
      </w:r>
    </w:p>
    <w:p>
      <w:pPr>
        <w:spacing w:after="0" w:line="54"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December 31, 2024 was $203.3 million related to net proceeds from the issuance of common stock in connection with private placement of $178.2 million and issuance of prefunded warrants to purchase common stock of $20.9 million, and upon stock option exercises and purchases made under our 2021 Employee Stock Purchase Plan of $4.2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continue to incur significant expenses and increasing operating losses for the foreseeable future in connection with our ongoing activities. As of December 31, 2025, we had $441.1 million in cash and cash equivalents and short-term investments. We believe our cash, cash equivalents and short-term investments will be sufficient to satisfy our capital requirements at least twelve months after the date that this Annual Report is filed.</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If our cash, cash equivalents and short-term investments are not sufficient to meet capital needs until such time that we can generate substantial revenue, we expect to finance our cash needs through a combination of equity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inflation, labor displacement, slowing population growth, changing interest rates, significant political, trade or regulatory developments, the imposition of trade barriers, tariffs and other protectionist measures,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80" w:firstLine="46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GAAP. The preparation of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within Item 8 of this Annual Report, we believe that the following accounting policy is the most critical to the judgments and estimates used in the preparation of our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w:t>
      </w:r>
    </w:p>
    <w:p>
      <w:pPr>
        <w:spacing w:after="0" w:line="11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spacing w:after="0" w:line="7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possible through internal reviews, correspondence with CROs and review of contractual terms. We base our estimates on the best information available at the time.</w:t>
      </w:r>
    </w:p>
    <w:p>
      <w:pPr>
        <w:spacing w:after="0" w:line="54"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Refer to Note 2 of the Notes to our Financial Statements included in this Annual Report on Form 10-K for a summary of recently issued and adopted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and 2024, we had cash, cash equivalents and short-term investments of $441.1 million, and $531.7 million, respectively. This consisted of interest-bearing money market funds and investments in U.S. treasury securities and U.S. government agency securities, which create an exposure to interest rate risk. A hypothetical 100 basis point increase or decrease in interest rates as of December 31, 2025 and 2024 would not have resulted in a material effect on the fair market value of our cash, cash equivalents and short-term investments.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financial statements and notes thereto beginning at page F-1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of Controls and Procedures</w:t>
      </w:r>
    </w:p>
    <w:p>
      <w:pPr>
        <w:spacing w:after="0" w:line="121"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President and our Chief Operating Officer and Chief Financial Officer, our principal executive officer and principal financial officer, respectively, have evaluated our disclosure controls and procedures (as defined in Rules 13a-15(e) and 15d-15(e) under the Securities Exchange Act of 1934, as amended) as of December 31, 2025. Based on this evaluation, our Chief Executive Officer and our Chief Financial Officer have concluded that, as of December 31, 2025,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46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is defined in Exchange Act Rules 13a-15(f) and 15d-15(f).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86" w:lineRule="exact"/>
        <w:rPr>
          <w:sz w:val="20"/>
          <w:szCs w:val="20"/>
          <w:color w:val="auto"/>
        </w:rPr>
      </w:pPr>
    </w:p>
    <w:p>
      <w:pPr>
        <w:ind w:right="20" w:firstLine="469"/>
        <w:spacing w:after="0" w:line="289" w:lineRule="auto"/>
        <w:rPr>
          <w:sz w:val="20"/>
          <w:szCs w:val="20"/>
          <w:color w:val="auto"/>
        </w:rPr>
      </w:pPr>
      <w:r>
        <w:rPr>
          <w:rFonts w:ascii="Times New Roman" w:cs="Times New Roman" w:eastAsia="Times New Roman" w:hAnsi="Times New Roman"/>
          <w:sz w:val="17"/>
          <w:szCs w:val="17"/>
          <w:color w:val="auto"/>
        </w:rPr>
        <w:t xml:space="preserve">Management has assessed the effectiveness of our internal control over financial reporting based on the framework set forth by the Committee of Sponsoring Organizations of the Treadway Commission, or COSO, in </w:t>
      </w:r>
      <w:r>
        <w:rPr>
          <w:rFonts w:ascii="Times New Roman" w:cs="Times New Roman" w:eastAsia="Times New Roman" w:hAnsi="Times New Roman"/>
          <w:sz w:val="17"/>
          <w:szCs w:val="17"/>
          <w:i w:val="1"/>
          <w:iCs w:val="1"/>
          <w:color w:val="auto"/>
        </w:rPr>
        <w:t>Internal Control-Integrated Framework (2013 framework)</w:t>
      </w:r>
      <w:r>
        <w:rPr>
          <w:rFonts w:ascii="Times New Roman" w:cs="Times New Roman" w:eastAsia="Times New Roman" w:hAnsi="Times New Roman"/>
          <w:sz w:val="17"/>
          <w:szCs w:val="17"/>
          <w:color w:val="auto"/>
        </w:rPr>
        <w:t>. Based on our evaluation, management has concluded that our internal control over financial reporting was effective at the reasonable assurance level as of December 31, 2025.</w:t>
      </w:r>
    </w:p>
    <w:p>
      <w:pPr>
        <w:spacing w:after="0" w:line="50" w:lineRule="exact"/>
        <w:rPr>
          <w:sz w:val="20"/>
          <w:szCs w:val="20"/>
          <w:color w:val="auto"/>
        </w:rPr>
      </w:pPr>
    </w:p>
    <w:p>
      <w:pPr>
        <w:ind w:right="340" w:firstLine="46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most recent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Arrangements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directors and Section 16 officers (as defined in Rule 16a-1(f) under the Exchange Act) are only permitted to trade in the Company’s securities pursuant to a prearranged trading plan intended to satisfy the affirmative defense of Rule 10b5-1(c) under the Exchange Act, or a Rule 10b5-1 Plan. During the three months ended December 31, 2025, none of the Company’s Section 16 officers or directors adopted or terminated any Rule 10b5-1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3" w:right="6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52"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Financial Statement Schedules</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2"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(3)</w:t>
        <w:tab/>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12"/>
          </w:tcPr>
          <w:p>
            <w:pPr>
              <w:ind w:left="10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84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2140" w:type="dxa"/>
            <w:vAlign w:val="bottom"/>
          </w:tcPr>
          <w:p>
            <w:pPr>
              <w:jc w:val="center"/>
              <w:ind w:left="271"/>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r>
      <w:tr>
        <w:trPr>
          <w:trHeight w:val="203"/>
        </w:trPr>
        <w:tc>
          <w:tcPr>
            <w:tcW w:w="11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jc w:val="center"/>
              <w:ind w:left="271"/>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180" w:type="dxa"/>
            <w:vAlign w:val="bottom"/>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Furnished</w:t>
            </w:r>
          </w:p>
        </w:tc>
      </w:tr>
      <w:tr>
        <w:trPr>
          <w:trHeight w:val="226"/>
        </w:trPr>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40" w:type="dxa"/>
            <w:vAlign w:val="bottom"/>
          </w:tcPr>
          <w:p>
            <w:pPr>
              <w:jc w:val="center"/>
              <w:ind w:left="271"/>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18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Herewith</w:t>
            </w:r>
          </w:p>
        </w:tc>
      </w:tr>
      <w:tr>
        <w:trPr>
          <w:trHeight w:val="39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Agreement and Plan of Merger, dated</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November 13, 2025</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November 12, 2025, by and among Day</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One and Merger Sub and Mersana.</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Restated Certificate of Incorporation, dated June 1,</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10-Q</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August 7, 2023</w:t>
            </w:r>
          </w:p>
        </w:tc>
        <w:tc>
          <w:tcPr>
            <w:tcW w:w="1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2021, as amended June 22, 2023.</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Bylaws, dated February 17,</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February 23, 2023</w:t>
            </w:r>
          </w:p>
        </w:tc>
        <w:tc>
          <w:tcPr>
            <w:tcW w:w="1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88"/>
              </w:rPr>
            </w:pPr>
            <w:hyperlink r:id="rId194">
              <w:r>
                <w:rPr>
                  <w:rFonts w:ascii="Times New Roman" w:cs="Times New Roman" w:eastAsia="Times New Roman" w:hAnsi="Times New Roman"/>
                  <w:sz w:val="18"/>
                  <w:szCs w:val="18"/>
                  <w:color w:val="0000FF"/>
                  <w:w w:val="88"/>
                </w:rPr>
                <w:t>2023.</w:t>
              </w:r>
            </w:hyperlink>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960" w:type="dxa"/>
            <w:vAlign w:val="bottom"/>
            <w:gridSpan w:val="14"/>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Certificate of Ownership and Merger, dated December</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900" w:type="dxa"/>
            <w:vAlign w:val="bottom"/>
            <w:gridSpan w:val="3"/>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23, 2021</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Common Stock Certificate</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S-1/A</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333-255754</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24, 2021</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Investors’ Rights Agreement,</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333-255754</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4, 2021</w:t>
            </w:r>
          </w:p>
        </w:tc>
        <w:tc>
          <w:tcPr>
            <w:tcW w:w="1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dated February 1, 2021, by and among Day One</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Biopharmaceuticals Holding Company, LLC and</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certain of its stockholders.</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Form of Pre-Funded Warrant</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July 30, 2024</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Securities Purchase Agreement.</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July 30, 2024</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Registration Rights Agreement</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July 30, 2024</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Description of Registrant’s Securities</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180" w:type="dxa"/>
            <w:vAlign w:val="bottom"/>
          </w:tcPr>
          <w:p>
            <w:pPr>
              <w:spacing w:after="0"/>
              <w:rPr>
                <w:sz w:val="24"/>
                <w:szCs w:val="24"/>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960" w:type="dxa"/>
            <w:vAlign w:val="bottom"/>
            <w:gridSpan w:val="14"/>
          </w:tcPr>
          <w:p>
            <w:pPr>
              <w:spacing w:after="0"/>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Form of Indemnification Agreement with directors and</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333-255754</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4, 2021</w:t>
            </w:r>
          </w:p>
        </w:tc>
        <w:tc>
          <w:tcPr>
            <w:tcW w:w="1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tcBorders>
              <w:left w:val="single" w:sz="8" w:color="0000FF"/>
            </w:tcBorders>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officers</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960" w:type="dxa"/>
            <w:vAlign w:val="bottom"/>
            <w:gridSpan w:val="14"/>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Change in Control and Severance Agreement</w:t>
              </w:r>
            </w:hyperlink>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001-40431</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180" w:type="dxa"/>
            <w:vAlign w:val="bottom"/>
          </w:tcPr>
          <w:p>
            <w:pPr>
              <w:spacing w:after="0"/>
              <w:rPr>
                <w:sz w:val="24"/>
                <w:szCs w:val="24"/>
                <w:color w:val="auto"/>
              </w:rPr>
            </w:pPr>
          </w:p>
        </w:tc>
      </w:tr>
      <w:tr>
        <w:trPr>
          <w:trHeight w:val="884"/>
        </w:trPr>
        <w:tc>
          <w:tcPr>
            <w:tcW w:w="11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2021 Equity Incentive Plan and forms of award</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333-276372</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4, 2024</w:t>
            </w: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agreements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2021 Employee Stock Purchase Plan and forms of</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333-276372</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4, 2024</w:t>
            </w: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award agreements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2022 Equity Inducement Plan and forms of agreement</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333-268071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October 31, 2022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 Equity Deferral Plan and Form of Irrevocable</w:t>
            </w: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Deferral Election</w:t>
            </w: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Office Lease, dated June 26, 2024, by and between</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Arcus Biosciences, Inc., a Delaware corporation, and</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Day One Biopharmaceuticals, 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Asset Transfer and License Agreement, effective as of</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December 16, 2019, by and between DOT</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Therapeutics-1, Inc. and Millennium Pharmaceuticals,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License Agreement for RAF, effective as of December</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16, 2019, by and between Sunesis Pharmaceuticals, 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DOT Therapeutics-1, 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020" w:type="dxa"/>
            <w:vAlign w:val="bottom"/>
            <w:gridSpan w:val="20"/>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Stock Exchange Agreement, dated May 4, 2021, by and</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between Day One Biopharmaceuticals Holding Co.,</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LLC and Millennium Pharmaceuticals, 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Amendment No. 1 to the License Agreement for RAF,</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7, 2024</w:t>
            </w: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dated March 4, 2024, by and between Day One</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Biopharmaceuticals, Inc. and Sunesis Pharmaceuticals,</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Asset Purchase Agreement, dated May 29, 2024.</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020" w:type="dxa"/>
            <w:vAlign w:val="bottom"/>
            <w:gridSpan w:val="20"/>
          </w:tcPr>
          <w:p>
            <w:pPr>
              <w:spacing w:after="0"/>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Exclusive License Agreement by and between MabCare</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Therapeutics and Day One Biopharmaceuticals, Inc.</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dated June 17, 2024.</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020" w:type="dxa"/>
            <w:vAlign w:val="bottom"/>
            <w:gridSpan w:val="20"/>
          </w:tcPr>
          <w:p>
            <w:pPr>
              <w:spacing w:after="0"/>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Exclusive License Agreement by and between Day One</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Biopharmaceuticals, Inc. and Ipsen Pharma SAS dated</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20" w:type="dxa"/>
            <w:vAlign w:val="bottom"/>
            <w:gridSpan w:val="20"/>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July 23, 2024.</w:t>
              </w:r>
            </w:hyperlink>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020" w:type="dxa"/>
            <w:vAlign w:val="bottom"/>
            <w:gridSpan w:val="2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Insider Trading Policy</w:t>
              </w:r>
            </w:hyperlink>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Subsidiary of the Registrant</w:t>
            </w: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X</w:t>
            </w:r>
          </w:p>
        </w:tc>
      </w:tr>
      <w:tr>
        <w:trPr>
          <w:trHeight w:val="885"/>
        </w:trPr>
        <w:tc>
          <w:tcPr>
            <w:tcW w:w="11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 Independent</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 as Adopted Pursuant to Section</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 as Adopted Pursuant to Section</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960" w:type="dxa"/>
            <w:vAlign w:val="bottom"/>
            <w:gridSpan w:val="8"/>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Compensation Recovery Policy</w:t>
              </w:r>
            </w:hyperlink>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7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001-40431</w:t>
            </w:r>
          </w:p>
        </w:tc>
        <w:tc>
          <w:tcPr>
            <w:tcW w:w="3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10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7"/>
              </w:rPr>
              <w:t>Inline XBRL Taxonomy Extension Definition Linkbase</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10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10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10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6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7"/>
              </w:rPr>
              <w:t>Cover Page Interactive Data File (Embedded within the</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100" w:type="dxa"/>
            <w:vAlign w:val="bottom"/>
          </w:tcPr>
          <w:p>
            <w:pPr>
              <w:spacing w:after="0"/>
              <w:rPr>
                <w:sz w:val="20"/>
                <w:szCs w:val="20"/>
                <w:color w:val="auto"/>
              </w:rPr>
            </w:pPr>
          </w:p>
        </w:tc>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document and included in Exhibit 101)</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90" w:lineRule="exact"/>
        <w:rPr>
          <w:sz w:val="20"/>
          <w:szCs w:val="20"/>
          <w:color w:val="auto"/>
        </w:rPr>
      </w:pPr>
    </w:p>
    <w:p>
      <w:pPr>
        <w:ind w:right="3540" w:firstLine="8"/>
        <w:spacing w:after="0" w:line="261"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the exhibit as permitted under Item 601(b)(10) of Regulations S-K. ^ Indicates management contract or compensatory plan.</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Registrant has omitted schedules and exhibits pursuant to Item 601(a)(5) of Regulation S-K. The Registrant agrees to furnish supplementally a copy of the omitted schedules and exhibits to the SEC upon request</w:t>
      </w:r>
    </w:p>
    <w:p>
      <w:pPr>
        <w:spacing w:after="0" w:line="73" w:lineRule="exact"/>
        <w:rPr>
          <w:sz w:val="20"/>
          <w:szCs w:val="20"/>
          <w:color w:val="auto"/>
        </w:rPr>
      </w:pPr>
    </w:p>
    <w:p>
      <w:pPr>
        <w:ind w:right="80" w:firstLine="8"/>
        <w:spacing w:after="0" w:line="282" w:lineRule="auto"/>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6" w:name="page137"/>
    <w:bookmarkEnd w:id="1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62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6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34"/>
        </w:trPr>
        <w:tc>
          <w:tcPr>
            <w:tcW w:w="6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 ONE BIOPHARMACEUTICALS,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N. York II, M.B.A.</w:t>
            </w:r>
          </w:p>
        </w:tc>
      </w:tr>
      <w:tr>
        <w:trPr>
          <w:trHeight w:val="211"/>
        </w:trPr>
        <w:tc>
          <w:tcPr>
            <w:tcW w:w="6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N. York II, M.B.A.</w:t>
            </w:r>
          </w:p>
        </w:tc>
      </w:tr>
    </w:tbl>
    <w:p>
      <w:pPr>
        <w:jc w:val="center"/>
        <w:ind w:left="-259"/>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700" w:space="720"/>
            <w:col w:w="5820"/>
          </w:cols>
          <w:pgMar w:left="320" w:top="1413"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8" w:name="page139"/>
    <w:bookmarkEnd w:id="138"/>
    <w:p>
      <w:pPr>
        <w:spacing w:after="0" w:line="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Jeremy Bender, Ph. D., M.B.A and Charles N. York II,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18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88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7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200" w:lineRule="exact"/>
        <w:rPr>
          <w:sz w:val="20"/>
          <w:szCs w:val="20"/>
          <w:color w:val="auto"/>
        </w:rPr>
      </w:pPr>
    </w:p>
    <w:p>
      <w:pPr>
        <w:spacing w:after="0" w:line="2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Garry Nicholson,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Garry Nicholson</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Habib 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Habib Dable</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Scott Garland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Scott Garland</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William Grossman,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William Grossman, M.D., Ph.D.</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Natalie Holles</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John A. Josey,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John A. Josey, Ph.D., M.B.A.</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 Saira Ramasastry, M.S., 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Saira Ramasastry, M.S., M.Phil.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9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Chair and 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2026</w:t>
            </w:r>
          </w:p>
        </w:tc>
      </w:tr>
    </w:tbl>
    <w:p>
      <w:pPr>
        <w:spacing w:after="0" w:line="393" w:lineRule="exact"/>
        <w:rPr>
          <w:sz w:val="20"/>
          <w:szCs w:val="20"/>
          <w:color w:val="auto"/>
        </w:rPr>
      </w:pPr>
    </w:p>
    <w:p>
      <w:pPr>
        <w:sectPr>
          <w:pgSz w:w="11900" w:h="16838" w:orient="portrait"/>
          <w:cols w:equalWidth="0" w:num="2">
            <w:col w:w="3080" w:space="640"/>
            <w:col w:w="7520"/>
          </w:cols>
          <w:pgMar w:left="320" w:top="1440"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40" w:type="dxa"/>
            <w:vAlign w:val="bottom"/>
          </w:tcPr>
          <w:p>
            <w:pPr>
              <w:spacing w:after="0"/>
              <w:rPr>
                <w:sz w:val="20"/>
                <w:szCs w:val="20"/>
                <w:color w:val="auto"/>
              </w:rPr>
            </w:pPr>
          </w:p>
        </w:tc>
      </w:tr>
      <w:tr>
        <w:trPr>
          <w:trHeight w:val="432"/>
        </w:trPr>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3460" w:type="dxa"/>
            <w:vAlign w:val="bottom"/>
            <w:tcBorders>
              <w:top w:val="single" w:sz="8" w:color="0000FF"/>
            </w:tcBorders>
            <w:gridSpan w:val="6"/>
          </w:tcPr>
          <w:p>
            <w:pPr>
              <w:spacing w:after="0"/>
              <w:rPr>
                <w:sz w:val="17"/>
                <w:szCs w:val="17"/>
                <w:color w:val="auto"/>
              </w:rPr>
            </w:pPr>
          </w:p>
        </w:tc>
        <w:tc>
          <w:tcPr>
            <w:tcW w:w="3520" w:type="dxa"/>
            <w:vAlign w:val="bottom"/>
          </w:tcPr>
          <w:p>
            <w:pPr>
              <w:spacing w:after="0"/>
              <w:rPr>
                <w:sz w:val="17"/>
                <w:szCs w:val="17"/>
                <w:color w:val="auto"/>
              </w:rPr>
            </w:pP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9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9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35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540" w:type="dxa"/>
            <w:vAlign w:val="bottom"/>
            <w:gridSpan w:val="2"/>
          </w:tcPr>
          <w:p>
            <w:pPr>
              <w:spacing w:after="0"/>
              <w:rPr>
                <w:sz w:val="17"/>
                <w:szCs w:val="17"/>
                <w:color w:val="auto"/>
              </w:rPr>
            </w:pP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6200" w:type="dxa"/>
            <w:vAlign w:val="bottom"/>
            <w:gridSpan w:val="4"/>
          </w:tcPr>
          <w:p>
            <w:pPr>
              <w:spacing w:after="0"/>
              <w:rPr>
                <w:sz w:val="17"/>
                <w:szCs w:val="17"/>
                <w:color w:val="auto"/>
              </w:rPr>
            </w:pP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196"/>
        </w:trPr>
        <w:tc>
          <w:tcPr>
            <w:tcW w:w="9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140" w:type="dxa"/>
            <w:vAlign w:val="bottom"/>
          </w:tcPr>
          <w:p>
            <w:pPr>
              <w:ind w:left="188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885"/>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5"/>
              </w:rPr>
              <w:t>F-1</w:t>
            </w:r>
          </w:p>
        </w:tc>
        <w:tc>
          <w:tcPr>
            <w:tcW w:w="214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center"/>
        <w:ind w:right="-39"/>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Day One Biopharmaceuticals, Inc.</w:t>
      </w:r>
    </w:p>
    <w:p>
      <w:pPr>
        <w:spacing w:after="0" w:line="14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34"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 xml:space="preserve">We have audited the accompanying 2025 consolidated financial statements of Day One Biopharmaceuticals, Inc. and its subsidiary and the 2024 financial statements of Day One Biopharmaceuticals, Inc. (collectively referred to as the “Company”), which comprise the balance sheets as of December 31, 2025 and 2024, and the related statements of operations, of comprehensive loss, of stockholders’ equity, and of cash flows for each of the three years in the period ended December 31, 2025, including the related notes (collectively referred to as the “financial statements”). We also have audited the Company's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5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15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3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ind w:right="32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50"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48"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141" w:name="page142"/>
    <w:bookmarkEnd w:id="141"/>
    <w:p>
      <w:pPr>
        <w:ind w:right="140"/>
        <w:spacing w:after="0" w:line="237" w:lineRule="auto"/>
        <w:rPr>
          <w:sz w:val="20"/>
          <w:szCs w:val="20"/>
          <w:color w:val="auto"/>
        </w:rPr>
      </w:pPr>
      <w:r>
        <w:rPr>
          <w:rFonts w:ascii="Georgia" w:cs="Georgia" w:eastAsia="Georgia" w:hAnsi="Georgia"/>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Accrued Clinical Trial Expenses</w:t>
      </w:r>
    </w:p>
    <w:p>
      <w:pPr>
        <w:spacing w:after="0" w:line="17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As described in Notes 2 and 5 to the financial statements, the Company records accrued liabilities for estimated costs of clinical trials conducted by third-party service providers. As disclosed by management, these costs are accrued based on factors such as estimates of the work completed and in accordance with terms established with third-party service providers under the service agreements. Management makes judgments and estimates in determining the accrued liabilities for estimated costs of clinical trials each reporting period and monitors patient enrollment levels and related activities to the extent possible through internal reviews, correspondence with clinical research organizations (“CROs”) and review of contractual terms. Within accrued expenses and other current liabilities, management has recorded $24.4 million of accrued research and development expenses as of December 31, 2025, a portion of which relates to accrued clinical trial expenses.</w:t>
      </w:r>
    </w:p>
    <w:p>
      <w:pPr>
        <w:spacing w:after="0" w:line="153" w:lineRule="exact"/>
        <w:rPr>
          <w:sz w:val="20"/>
          <w:szCs w:val="20"/>
          <w:color w:val="auto"/>
        </w:rPr>
      </w:pPr>
    </w:p>
    <w:p>
      <w:pPr>
        <w:jc w:val="both"/>
        <w:ind w:right="32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accrued clinical trial expenses is a critical audit matter are (i) the significant judgment by management when developing the estimate of the accrued clinical trial expenses; and (ii) a high degree of auditor judgment and effort in performing procedures related to management’s estimate of the accrued clinical trial expenses.</w:t>
      </w:r>
    </w:p>
    <w:p>
      <w:pPr>
        <w:spacing w:after="0" w:line="13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financial statements. These procedures included testing the effectiveness of controls relating to management’s estimate of accrued clinical trial expenses, including controls over the estimates of the work completed in accordance with terms established with third-party service providers under the service agreements. These procedures also included, among others, (i) testing management’s process for estimating accrued clinical trial expenses, (ii) evaluating the appropriateness of the method used by management to develop the estimate, (iii) testing the completeness and accuracy of the data used by management to develop the estimate related to invoicing to date under the contracts and costs incurred for services received, and (iv) evaluating the reasonableness of the estimated costs incurred for the services which have not been invoiced by tracing to underlying supporting documentation, such as underlying contracts, invoices and information received from certain third party service providers, where applicable.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color w:val="auto"/>
        </w:rPr>
        <w:t>Los Angeles, California</w:t>
      </w:r>
    </w:p>
    <w:p>
      <w:pPr>
        <w:spacing w:after="0" w:line="238" w:lineRule="auto"/>
        <w:rPr>
          <w:sz w:val="20"/>
          <w:szCs w:val="20"/>
          <w:color w:val="auto"/>
        </w:rPr>
      </w:pPr>
      <w:r>
        <w:rPr>
          <w:rFonts w:ascii="Georgia" w:cs="Georgia" w:eastAsia="Georgia" w:hAnsi="Georgia"/>
          <w:sz w:val="18"/>
          <w:szCs w:val="18"/>
          <w:color w:val="auto"/>
        </w:rPr>
        <w:t>February 24, 2026</w:t>
      </w:r>
    </w:p>
    <w:p>
      <w:pPr>
        <w:spacing w:after="0" w:line="147"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2023.</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197,078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124,968</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244,035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406,752</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13,876</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485,099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562,330</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r>
      <w:tr>
        <w:trPr>
          <w:trHeight w:val="23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507,827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582,788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3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68,625</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73,451</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portion of deferred revenue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 of operating lease liabilities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liability</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80,037</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as of December 31, 2025 and December</w:t>
            </w: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31, 2024; 102,982,700 and 101,116,162 shares issued and outstanding as of December 31, 2025 and</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8"/>
                <w:szCs w:val="18"/>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1,102,490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1,056,738</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(661,403)</w:t>
            </w:r>
          </w:p>
        </w:tc>
        <w:tc>
          <w:tcPr>
            <w:tcW w:w="2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(554,081)</w:t>
            </w:r>
          </w:p>
        </w:tc>
      </w:tr>
      <w:tr>
        <w:trPr>
          <w:trHeight w:val="19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441,162</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507,827</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582,788</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-3573780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-2785745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-2767965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-1988185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-1464945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ind w:left="428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Product revenue, net</w:t>
            </w:r>
          </w:p>
        </w:tc>
        <w:tc>
          <w:tcPr>
            <w:tcW w:w="13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155,421</w:t>
            </w:r>
          </w:p>
        </w:tc>
        <w:tc>
          <w:tcPr>
            <w:tcW w:w="320" w:type="dxa"/>
            <w:vAlign w:val="bottom"/>
          </w:tcPr>
          <w:p>
            <w:pPr>
              <w:spacing w:after="0"/>
              <w:rPr>
                <w:sz w:val="17"/>
                <w:szCs w:val="17"/>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57,217</w:t>
            </w:r>
          </w:p>
        </w:tc>
        <w:tc>
          <w:tcPr>
            <w:tcW w:w="20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License revenue</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73,944</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and operating expenses: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product revenue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 of license revenue</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120,587</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115,450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cost and operating expenses</w:t>
            </w: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285,932</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(127,750)</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(217,270)</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(206,064)</w:t>
            </w:r>
          </w:p>
        </w:tc>
        <w:tc>
          <w:tcPr>
            <w:tcW w:w="0" w:type="dxa"/>
            <w:vAlign w:val="bottom"/>
          </w:tcPr>
          <w:p>
            <w:pPr>
              <w:spacing w:after="0"/>
              <w:rPr>
                <w:sz w:val="1"/>
                <w:szCs w:val="1"/>
                <w:color w:val="auto"/>
              </w:rPr>
            </w:pPr>
          </w:p>
        </w:tc>
      </w:tr>
      <w:tr>
        <w:trPr>
          <w:trHeight w:val="196"/>
        </w:trPr>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Non-operating income:</w:t>
            </w:r>
          </w:p>
        </w:tc>
        <w:tc>
          <w:tcPr>
            <w:tcW w:w="1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income, net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(19)</w:t>
            </w: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6"/>
        </w:trPr>
        <w:tc>
          <w:tcPr>
            <w:tcW w:w="43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16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18,452</w:t>
            </w:r>
          </w:p>
        </w:tc>
        <w:tc>
          <w:tcPr>
            <w:tcW w:w="3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128,918</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(109,298)</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(88,352)</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(188,917)</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(7,144)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(107,322)</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(95,496)</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(188,917)</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basic</w:t>
            </w:r>
          </w:p>
        </w:tc>
        <w:tc>
          <w:tcPr>
            <w:tcW w:w="130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30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(1.02)</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69"/>
        </w:trPr>
        <w:tc>
          <w:tcPr>
            <w:tcW w:w="438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Weighted-average number of common shares used in net loss per</w:t>
            </w:r>
          </w:p>
        </w:tc>
        <w:tc>
          <w:tcPr>
            <w:tcW w:w="160" w:type="dxa"/>
            <w:vAlign w:val="bottom"/>
            <w:tcBorders>
              <w:top w:val="single" w:sz="8" w:color="CFF0FC"/>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103,205,703</w:t>
            </w:r>
          </w:p>
        </w:tc>
        <w:tc>
          <w:tcPr>
            <w:tcW w:w="32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93,234,195</w:t>
            </w: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79,773,004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share - basic</w:t>
            </w:r>
          </w:p>
        </w:tc>
        <w:tc>
          <w:tcPr>
            <w:tcW w:w="1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Weighted-average number of common shares used in net loss per</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103,205,703</w:t>
            </w:r>
          </w:p>
        </w:tc>
        <w:tc>
          <w:tcPr>
            <w:tcW w:w="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93,234,195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79,773,004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share - diluted</w:t>
            </w: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-2956560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-2956560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-2176780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-2176780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-1902460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-1902460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-1379220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-1379220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-1104900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-1104900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-830580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-830580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-539115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-521970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-539115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-521970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(107,322)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(95,496)</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(188,917)</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Unrealized (loss) gain on available-for-sale securities</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(107,341)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(95,421)</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(188,837)</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Day One Biopharmaceuticals, Inc.</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2180" w:type="dxa"/>
            <w:vAlign w:val="bottom"/>
            <w:gridSpan w:val="3"/>
            <w:vMerge w:val="restart"/>
          </w:tcPr>
          <w:p>
            <w:pPr>
              <w:jc w:val="right"/>
              <w:ind w:right="58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21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306"/>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12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12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ind w:right="88"/>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Comprehensive Loss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0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73,458,176</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38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601,771</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(71)</w:t>
            </w: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(269,668)</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332,039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Issuance of common stock pursuant to follow-on offering, net of</w:t>
            </w:r>
          </w:p>
        </w:tc>
        <w:tc>
          <w:tcPr>
            <w:tcW w:w="11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Times New Roman" w:cs="Times New Roman" w:eastAsia="Times New Roman" w:hAnsi="Times New Roman"/>
                <w:sz w:val="11"/>
                <w:szCs w:val="11"/>
                <w:color w:val="auto"/>
              </w:rPr>
              <w:t>issuance costs of $10,827</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13,269,231</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161,407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88,459</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317,245</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115,421</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(21,400)</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39,341</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39,341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(188,917)</w:t>
            </w: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(188,917)</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87,227,132</w:t>
            </w:r>
          </w:p>
        </w:tc>
        <w:tc>
          <w:tcPr>
            <w:tcW w:w="220" w:type="dxa"/>
            <w:vAlign w:val="bottom"/>
          </w:tcPr>
          <w:p>
            <w:pPr>
              <w:spacing w:after="0"/>
              <w:rPr>
                <w:sz w:val="10"/>
                <w:szCs w:val="10"/>
                <w:color w:val="auto"/>
              </w:rPr>
            </w:pPr>
          </w:p>
        </w:tc>
        <w:tc>
          <w:tcPr>
            <w:tcW w:w="840" w:type="dxa"/>
            <w:vAlign w:val="bottom"/>
          </w:tcPr>
          <w:p>
            <w:pPr>
              <w:jc w:val="right"/>
              <w:ind w:right="768"/>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10"/>
                <w:szCs w:val="10"/>
                <w:color w:val="auto"/>
              </w:rPr>
            </w:pP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805,107</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0"/>
                <w:szCs w:val="10"/>
                <w:color w:val="auto"/>
              </w:rPr>
            </w:pPr>
          </w:p>
        </w:tc>
        <w:tc>
          <w:tcPr>
            <w:tcW w:w="2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(458,585)</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346,540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172,163</w:t>
            </w: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2,267</w:t>
            </w: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680,963</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171,442</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1,906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private placement, net of</w:t>
            </w: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Times New Roman" w:cs="Times New Roman" w:eastAsia="Times New Roman" w:hAnsi="Times New Roman"/>
                <w:sz w:val="11"/>
                <w:szCs w:val="11"/>
                <w:color w:val="auto"/>
              </w:rPr>
              <w:t>placement agent fees and offering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12,893,213</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prefunded warrants to purchase common stock in connection</w:t>
            </w:r>
          </w:p>
        </w:tc>
        <w:tc>
          <w:tcPr>
            <w:tcW w:w="1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with private placement, net of issuance costs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20,941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(28,751)</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48,341</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48,341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(95,496)</w:t>
            </w: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(95,496)</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101,116,162</w:t>
            </w:r>
          </w:p>
        </w:tc>
        <w:tc>
          <w:tcPr>
            <w:tcW w:w="220" w:type="dxa"/>
            <w:vAlign w:val="bottom"/>
          </w:tcPr>
          <w:p>
            <w:pPr>
              <w:spacing w:after="0"/>
              <w:rPr>
                <w:sz w:val="10"/>
                <w:szCs w:val="10"/>
                <w:color w:val="auto"/>
              </w:rPr>
            </w:pPr>
          </w:p>
        </w:tc>
        <w:tc>
          <w:tcPr>
            <w:tcW w:w="840" w:type="dxa"/>
            <w:vAlign w:val="bottom"/>
          </w:tcPr>
          <w:p>
            <w:pPr>
              <w:jc w:val="right"/>
              <w:ind w:right="768"/>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200" w:type="dxa"/>
            <w:vAlign w:val="bottom"/>
          </w:tcPr>
          <w:p>
            <w:pPr>
              <w:spacing w:after="0"/>
              <w:rPr>
                <w:sz w:val="10"/>
                <w:szCs w:val="10"/>
                <w:color w:val="auto"/>
              </w:rPr>
            </w:pP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1,056,738</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84</w:t>
            </w:r>
          </w:p>
        </w:tc>
        <w:tc>
          <w:tcPr>
            <w:tcW w:w="120" w:type="dxa"/>
            <w:vAlign w:val="bottom"/>
          </w:tcPr>
          <w:p>
            <w:pPr>
              <w:spacing w:after="0"/>
              <w:rPr>
                <w:sz w:val="10"/>
                <w:szCs w:val="10"/>
                <w:color w:val="auto"/>
              </w:rPr>
            </w:pPr>
          </w:p>
        </w:tc>
        <w:tc>
          <w:tcPr>
            <w:tcW w:w="2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(554,081)</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502,751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18,900</w:t>
            </w:r>
          </w:p>
        </w:tc>
        <w:tc>
          <w:tcPr>
            <w:tcW w:w="2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126</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6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950,692</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208,037</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1,093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warrants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689,644</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(735)</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44,533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44,533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(107,322)</w:t>
            </w:r>
          </w:p>
        </w:tc>
        <w:tc>
          <w:tcPr>
            <w:tcW w:w="100" w:type="dxa"/>
            <w:vAlign w:val="bottom"/>
          </w:tcPr>
          <w:p>
            <w:pPr>
              <w:spacing w:after="0"/>
              <w:rPr>
                <w:sz w:val="10"/>
                <w:szCs w:val="10"/>
                <w:color w:val="auto"/>
              </w:rPr>
            </w:pPr>
          </w:p>
        </w:tc>
        <w:tc>
          <w:tcPr>
            <w:tcW w:w="12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(107,322)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102,982,700</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1,102,490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(661,403)</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441,162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-2485390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-2485390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-2485390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-2485390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-2485390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-1782445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-1782445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-1782445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-1782445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-1782445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-839470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-839470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-839470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-839470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-839470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6" w:name="page147"/>
    <w:bookmarkEnd w:id="146"/>
    <w:p>
      <w:pPr>
        <w:ind w:left="428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8"/>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(107,322)</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(95,496)</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(188,917)</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Acquired in-process research and development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44,388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48,263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39,341</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discounts on short-term investments, net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(15,738)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(10,078)</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sale of property and equipment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(108,000)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(13,876)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(3,322)</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10,574</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(405)</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long-term liability</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(103,757)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(78,113)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(146,853)</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purchase of short-term investments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(695,811)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(658,616)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(443,838)</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864,273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314,482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575,440</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acquired intangible 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(17,100)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priority review voucher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acquired in-process research and development assets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purchase of property and equipment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w:t>
            </w:r>
          </w:p>
        </w:tc>
      </w:tr>
      <w:tr>
        <w:trPr>
          <w:trHeight w:val="203"/>
        </w:trPr>
        <w:tc>
          <w:tcPr>
            <w:tcW w:w="7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cash provided (used in) by investing activities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(230,994)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private placement, net of placement agent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fees and offering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prefunded warrants to purchase common stock in connection with private</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placement, net of issuance costs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161,409</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upon stock option exercises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upon Employee Stock Purchase Plan purchase</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r>
      <w:tr>
        <w:trPr>
          <w:trHeight w:val="196"/>
        </w:trPr>
        <w:tc>
          <w:tcPr>
            <w:tcW w:w="702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203,291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145,522</w:t>
            </w:r>
          </w:p>
        </w:tc>
        <w:tc>
          <w:tcPr>
            <w:tcW w:w="10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124,968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Pr>
          <w:p>
            <w:pPr>
              <w:spacing w:after="0"/>
              <w:rPr>
                <w:sz w:val="17"/>
                <w:szCs w:val="17"/>
                <w:color w:val="auto"/>
              </w:rPr>
            </w:pP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not yet paid for acquired intangible asset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Right-of-use asset obtained in exchange for new operating lease liabilities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not yet paid for license agreement milestone payment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-3797935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-3797935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-3797935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-2503805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-2503805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-2503805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-1200785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-1200785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-1200785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-934720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-934720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-934720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Organization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jc w:val="both"/>
        <w:ind w:right="540" w:firstLine="562"/>
        <w:spacing w:after="0" w:line="312" w:lineRule="auto"/>
        <w:rPr>
          <w:sz w:val="20"/>
          <w:szCs w:val="20"/>
          <w:color w:val="auto"/>
        </w:rPr>
      </w:pPr>
      <w:r>
        <w:rPr>
          <w:rFonts w:ascii="Times New Roman" w:cs="Times New Roman" w:eastAsia="Times New Roman" w:hAnsi="Times New Roman"/>
          <w:sz w:val="17"/>
          <w:szCs w:val="17"/>
          <w:color w:val="auto"/>
        </w:rPr>
        <w:t>Day One Biopharmaceuticals, Inc., or the Company, is a biopharmaceutical company dedicated to developing and commercializing targeted therapies for people of all ages with life-threatening diseases. The Company was founded in November 2018 and is headquartered in Brisbane, CA.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40" w:firstLine="562"/>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commercial-stage companies in the biopharmaceutical industry including, but not limited to, uncertainties related to clinical effectiveness of the product, commercialization of products, regulatory approvals, dependence on key products, key personnel and third-party service providers such as contract research organizations (“CROs”), protection of intellectual property rights and the ability to make milestone, royalty or other payments due under any license, collaboration or supply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or U.S. GAAP. In the year ended December 31, 2025, the Company formed a wholly owned subsidiary, which was a dormant shell with no material balances or activity. Accordingly, as of and for the year ended December 31, 2025, the consolidated financial statements include the accounts of the Company and its subsidiary. As the subsidiary was not in existence as of December 31, 2024 or December 31, 2023, the financial statements for those periods do not reflect consolidation. All intercompany transactions and balances have been eliminated in consolidation.</w:t>
      </w:r>
    </w:p>
    <w:p>
      <w:pPr>
        <w:spacing w:after="0" w:line="75" w:lineRule="exact"/>
        <w:rPr>
          <w:sz w:val="20"/>
          <w:szCs w:val="20"/>
          <w:color w:val="auto"/>
        </w:rPr>
      </w:pPr>
    </w:p>
    <w:p>
      <w:pPr>
        <w:ind w:right="100" w:firstLine="562"/>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Accounting Standards Codification, or ASC, and Accounting Standards Updates, or ASU, of the Financial Accounting Standards Board, or FASB.</w:t>
      </w:r>
    </w:p>
    <w:p>
      <w:pPr>
        <w:spacing w:after="0" w:line="54" w:lineRule="exact"/>
        <w:rPr>
          <w:sz w:val="20"/>
          <w:szCs w:val="20"/>
          <w:color w:val="auto"/>
        </w:rPr>
      </w:pPr>
    </w:p>
    <w:p>
      <w:pPr>
        <w:ind w:right="260" w:firstLine="562"/>
        <w:spacing w:after="0" w:line="261" w:lineRule="auto"/>
        <w:rPr>
          <w:sz w:val="20"/>
          <w:szCs w:val="20"/>
          <w:color w:val="auto"/>
        </w:rPr>
      </w:pPr>
      <w:r>
        <w:rPr>
          <w:rFonts w:ascii="Times New Roman" w:cs="Times New Roman" w:eastAsia="Times New Roman" w:hAnsi="Times New Roman"/>
          <w:sz w:val="18"/>
          <w:szCs w:val="18"/>
          <w:color w:val="auto"/>
        </w:rPr>
        <w:t>Certain prior period amounts in the Notes to the Consolidated Financial Statements have been reclassified to conform to the current period's presentation. These reclassifications did not affect the prior period's total assets, liabilities, stockholders' equity, net loss or cash flows. Specifically, the reclassifications separately present cost of product revenue and cost of license revenue in the consolidated statements of operations and accrued rebates, accrued royalties and accrued federal and state taxes within Note 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assesses and determines its ability to continue as a going concern in accordance with the provisions of ASC Topic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which requires the Company to evaluate whether there are conditions or events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its ability to continue as a going concern within one year after the date that its annual and interim financial statements are issued. Certain additional financial statement disclosures are required if such conditions or events are identified. Determining the extent, if any, to which conditions or events raise substantial doubt about the Company’s ability to continue as a going concern, or the extent to which mitigating plans sufficiently alleviate any such substantial doubt, as well as whether or not liquidation is imminent, requires significant judgment by management. Based on the Company's current liquidity and projected operating results, management has concluded that the Company has sufficient resources to fund operations for at least one year from the issuance of these financial statements and that no substantial doubt exists about its ability to continue as a going concern.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8" w:name="page149"/>
    <w:bookmarkEnd w:id="14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Estimates and assumptions made in the accompanying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520" w:firstLine="562"/>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consolidated balance sheets.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w:t>
      </w:r>
    </w:p>
    <w:p>
      <w:pPr>
        <w:spacing w:after="0" w:line="7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two individual customers accounted for 97.6% of total net product revenue, with these individual customers representing 66.7% and 30.9% of the Company's total net product revenue. As of December 31, 2025, two customers accounted for 94.6% of the accounts receivable balance, with these individual customers representing 67.4% and 27.2% of the accounts receivable balance. No other individual customers account for more than 10.0% of net product revenue or accounts receivable. The Company monitors the financial condition of its customers so that it can appropriately respond to changes in their creditworthiness. To date, the Company has not experienced any losses with respect to the collection of its accounts receivable.</w:t>
      </w:r>
    </w:p>
    <w:p>
      <w:pPr>
        <w:spacing w:after="0" w:line="7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79"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40" w:firstLine="56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consist of investments in money market funds, U.S. government agency securities, and U.S. treasury securities. Cash equivalents are recognized at amortized cost, which approximates fair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investments are comprised of U.S. treasury securities and U.S. government agency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income as a separate component on the consolidated statements of comprehensive loss. Fair value is determined based on quoted market rates when observable or by utilizing data points that are observable, such as quoted prices, interest rates, and yield curves.</w:t>
      </w:r>
    </w:p>
    <w:p>
      <w:pPr>
        <w:spacing w:after="0" w:line="75" w:lineRule="exact"/>
        <w:rPr>
          <w:sz w:val="20"/>
          <w:szCs w:val="20"/>
          <w:color w:val="auto"/>
        </w:rPr>
      </w:pPr>
    </w:p>
    <w:p>
      <w:pPr>
        <w:jc w:val="both"/>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225" w:lineRule="exact"/>
        <w:rPr>
          <w:sz w:val="20"/>
          <w:szCs w:val="20"/>
          <w:color w:val="auto"/>
        </w:rPr>
      </w:pPr>
    </w:p>
    <w:p>
      <w:pPr>
        <w:jc w:val="both"/>
        <w:ind w:left="520" w:right="28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17"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2" w:lineRule="exact"/>
        <w:rPr>
          <w:sz w:val="20"/>
          <w:szCs w:val="20"/>
          <w:color w:val="auto"/>
        </w:rPr>
      </w:pPr>
    </w:p>
    <w:p>
      <w:pPr>
        <w:ind w:right="480" w:firstLine="56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accompanying consolidated balance sheets for cash equivalents, prepaid expenses, other current assets, accounts payable, accrued expenses and other current liabilities approximate their fair values,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Accounts receivable, net consists of trade receivables which are amounts due from the Company's specialty pharmacy and specialty distributor customers related to product sales. The Company records trade receivables net of discounts, chargebacks, and any allowances for potential credit losses. An allowance for credit losses is determined based on the financial condition and creditworthiness of customers and the Company considers economic factors and events or trends expected to affect future collections experience. Any allowance would reduce the net receivables to the amount that is expected to be collected. The payment history of the Company’s customers will be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considered in future assessments of collectability as these patterns are established over a longer period of time. For the year ended December 31, 2025, the Company did not record any expected credit losses related to outstanding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0" w:firstLine="562"/>
        <w:spacing w:after="0" w:line="261" w:lineRule="auto"/>
        <w:rPr>
          <w:sz w:val="20"/>
          <w:szCs w:val="20"/>
          <w:color w:val="auto"/>
        </w:rPr>
      </w:pPr>
      <w:r>
        <w:rPr>
          <w:rFonts w:ascii="Times New Roman" w:cs="Times New Roman" w:eastAsia="Times New Roman" w:hAnsi="Times New Roman"/>
          <w:sz w:val="18"/>
          <w:szCs w:val="18"/>
          <w:color w:val="auto"/>
        </w:rPr>
        <w:t>The Company began capitalizing inventory for OJEMDA upon approval by the U.S. Food and Drug Administration, or FDA, in April 2024. OJEMDA is approved for the treatment of patients 6 months of age and older with relapsed or refractory low-grade glioma, or pLGG, harboring a BRAF fusion rearrangement, or BRAF V600 mutation. Prior to regulatory approval, all direct and indirect manufacturing costs were charged to research and development expense in the period incurred.</w:t>
      </w:r>
    </w:p>
    <w:p>
      <w:pPr>
        <w:spacing w:after="0" w:line="72"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spacing w:after="0" w:line="75" w:lineRule="exact"/>
        <w:rPr>
          <w:sz w:val="20"/>
          <w:szCs w:val="20"/>
          <w:color w:val="auto"/>
        </w:rPr>
      </w:pPr>
    </w:p>
    <w:p>
      <w:pPr>
        <w:ind w:right="100" w:firstLine="562"/>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consolidated statements of operations. There were no expenses recorded for excess inventory or other impairments during the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recognized using the straight-line method over the estimated useful lives of the related assets ranging from three to five years, and leasehold improvements are amortized over the shorter of the lease term or the estimated useful life of the asset. As of December 31, 2025 and 2024, property and equipment, net was not material. Depreciation expense for each of the years ended December 31, 2025, 2024, and 2023 was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ind w:right="160" w:firstLine="569"/>
        <w:spacing w:after="0" w:line="253" w:lineRule="auto"/>
        <w:rPr>
          <w:sz w:val="20"/>
          <w:szCs w:val="20"/>
          <w:color w:val="auto"/>
        </w:rPr>
      </w:pPr>
      <w:r>
        <w:rPr>
          <w:rFonts w:ascii="Times New Roman" w:cs="Times New Roman" w:eastAsia="Times New Roman" w:hAnsi="Times New Roman"/>
          <w:sz w:val="18"/>
          <w:szCs w:val="18"/>
          <w:color w:val="auto"/>
        </w:rPr>
        <w:t>Contractual arrangements that meet the definition of a lease are classified as operating or finance leases and are recorded on the consolidated balance sheets as both a right-of-use asset, or ROU asset, and lease liability, calculated by discounting fixed lease payments over the lease term at the rate implicit in the lease or the Company’s incremental borrowing rate, or IBR. Lease ROU assets and lease obligations are recognized based on the present value of the future minimum lease payments over the lease term at commencement date. The Company currently does not have any finance leases.</w:t>
      </w:r>
    </w:p>
    <w:p>
      <w:pPr>
        <w:spacing w:after="0" w:line="8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Operating lease ROU assets are adjusted for (i) payments made at or before the commencement date, (ii) initial direct costs incurred, and (iii) tenant incentives under the lease. As the implicit rate for the operating leases are not determinable, the Company determines its IBR based on the information available at the applicable lease commencement date. The IBR is determined by using the rate of interest that the Company would pay to borrow on a collateralized basis an amount equal to the lease payments for a similar term and in a similar economic environment where the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79" w:lineRule="exact"/>
        <w:rPr>
          <w:sz w:val="20"/>
          <w:szCs w:val="20"/>
          <w:color w:val="auto"/>
        </w:rPr>
      </w:pPr>
    </w:p>
    <w:p>
      <w:pPr>
        <w:ind w:right="340" w:firstLine="569"/>
        <w:spacing w:after="0" w:line="266" w:lineRule="auto"/>
        <w:rPr>
          <w:sz w:val="20"/>
          <w:szCs w:val="20"/>
          <w:color w:val="auto"/>
        </w:rPr>
      </w:pPr>
      <w:r>
        <w:rPr>
          <w:rFonts w:ascii="Times New Roman" w:cs="Times New Roman" w:eastAsia="Times New Roman" w:hAnsi="Times New Roman"/>
          <w:sz w:val="18"/>
          <w:szCs w:val="18"/>
          <w:color w:val="auto"/>
        </w:rPr>
        <w:t>Lease costs for minimum lease payments for operating leases are recognized on a straight-line basis over the lease term. Lease liabilities are increased by interest and reduced by payments each period, and the ROU asset is amortized over the lease term. Variable lease costs are recorded when incurred. In measuring the ROU assets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 liabilities, the Company has elected to combine lease and non-lease components. The Company excludes short-term leases, if any, having initial terms of 12 months or less at lease commencement as an accounting policy election, and recognizes rent expense on a straight-line basis over the lease term for these types of leases.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Upon FDA approval and commercial launch of OJEMDA in April 2024, the Company capitalized the $9.0 million milestone payment to Viracta Therapeutics, Inc. (f/k/a Sunesis Pharmaceuticals, Inc.), or Viracta, for a specified regulatory milestone as a finite-lived intangible asset. Upon the sale of the Priority Review Voucher, or PRV, in May 2024 to fully satisfy PRV-related obligations of the Company's license agreement with Viracta, dated December 16, 2019, as amended, the Company capitalized the $8.1 million payment to Viracta as a finite-lived intangible asset. Upon FDA approval of FoundationOne CDx as a Companion Diagnostic for OJEMDA in January 2025, the Company capitalized the $5.5 million milestone payment to Foundation Medicine, Inc. as a finite-lived intangible asset. The intangible assets will be amortized on a straight-line basis over each of the estimated useful life of the underlying intellectual properties ranging from 6.6 years to 7.3 years. Amortization expense will be recorded as cost of product revenue.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 group, which consist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in the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The Company recognizes net product and license revenue in accordance with ASC Topic 606, Revenue from Contracts with Customers, or ASC 606, which outlines a five-step process for recognizing revenue from contracts with customers: (i) identify the contract with the customer, (ii) identify the performance obligations in the contract, (iii) determine the transaction price, (iv) allocate the transaction price to the separate performance obligations in the contract, and (v) recognize revenue associated with the performance obligations as they are satisfied. The Company only applies the five-step model to contracts when it is probable that the Company will collect the consideration it is entitled to in exchange for the goods or services it transfers to the customer. Once a contract is determined to be within the scope of ASC 606, the Company determines the performance obligations that are distinct. The Company recognizes as revenues the amount of the transaction price that is allocated to each respective performance obligation when the performance obligation is satisfied.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jc w:val="both"/>
        <w:ind w:right="240" w:firstLine="562"/>
        <w:spacing w:after="0" w:line="266" w:lineRule="auto"/>
        <w:rPr>
          <w:sz w:val="20"/>
          <w:szCs w:val="20"/>
          <w:color w:val="auto"/>
        </w:rPr>
      </w:pPr>
      <w:r>
        <w:rPr>
          <w:rFonts w:ascii="Times New Roman" w:cs="Times New Roman" w:eastAsia="Times New Roman" w:hAnsi="Times New Roman"/>
          <w:sz w:val="18"/>
          <w:szCs w:val="18"/>
          <w:color w:val="auto"/>
        </w:rPr>
        <w:t>The Company recognizes net product revenue from OJEMDA for the treatment of patients 6 months of age and older with relapsed or refractory pLGG harboring a BRAF fusion rearrangement, or BRAF V600 mutation, which it began selling in May 2024 through contractual arrangements with its specialty pharmacy and specialty distributor customers.</w:t>
      </w:r>
    </w:p>
    <w:p>
      <w:pPr>
        <w:spacing w:after="0" w:line="68"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delivery of OJEMDA to its customers constitutes a single performance obligation. There are no other promises to deliver goods or services beyond what is specified in each accepted customer order. Net product revenue is recognized at the transaction price when the customer obtains control of the Company’s product, which occurs at a point in time upon delivery of the product to the customer.</w:t>
      </w:r>
    </w:p>
    <w:p>
      <w:pPr>
        <w:spacing w:after="0" w:line="68" w:lineRule="exact"/>
        <w:rPr>
          <w:sz w:val="20"/>
          <w:szCs w:val="20"/>
          <w:color w:val="auto"/>
        </w:rPr>
      </w:pPr>
    </w:p>
    <w:p>
      <w:pPr>
        <w:jc w:val="both"/>
        <w:ind w:right="120" w:firstLine="562"/>
        <w:spacing w:after="0" w:line="266" w:lineRule="auto"/>
        <w:rPr>
          <w:sz w:val="20"/>
          <w:szCs w:val="20"/>
          <w:color w:val="auto"/>
        </w:rPr>
      </w:pPr>
      <w:r>
        <w:rPr>
          <w:rFonts w:ascii="Times New Roman" w:cs="Times New Roman" w:eastAsia="Times New Roman" w:hAnsi="Times New Roman"/>
          <w:sz w:val="18"/>
          <w:szCs w:val="18"/>
          <w:color w:val="auto"/>
        </w:rPr>
        <w:t>The Company has assessed the existence of a significant financing component in the agreements with its customers. The trade payment terms with the Company’s customers do not exceed one year and therefore the Company has elected to apply the practical expedient and no amount of consideration has been allocated as a financing component.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86" w:lineRule="exact"/>
        <w:rPr>
          <w:sz w:val="20"/>
          <w:szCs w:val="20"/>
          <w:color w:val="auto"/>
        </w:rPr>
      </w:pPr>
    </w:p>
    <w:p>
      <w:pPr>
        <w:ind w:right="140" w:firstLine="562"/>
        <w:spacing w:after="0" w:line="272" w:lineRule="auto"/>
        <w:rPr>
          <w:sz w:val="20"/>
          <w:szCs w:val="20"/>
          <w:color w:val="auto"/>
        </w:rPr>
      </w:pPr>
      <w:r>
        <w:rPr>
          <w:rFonts w:ascii="Times New Roman" w:cs="Times New Roman" w:eastAsia="Times New Roman" w:hAnsi="Times New Roman"/>
          <w:sz w:val="17"/>
          <w:szCs w:val="17"/>
          <w:color w:val="auto"/>
        </w:rPr>
        <w:t>Net product revenues from the sale of OJEMDA are recorded at the transaction price, which include adjustments for discounts and allowances, including estimated cash discounts, government chargebacks, government rebates, specialty distributor fees, copay assistance, and returns. These adjustments represent variable consideration under ASC 606 and are estimated using the expected value method or most likely amount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Overall, these reserves reflect the Company’s best estimates of the amount of consideration to which it is entitled based on the terms of the respective underlying contracts.</w:t>
      </w:r>
    </w:p>
    <w:p>
      <w:pPr>
        <w:spacing w:after="0" w:line="64"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spacing w:after="0" w:line="73" w:lineRule="exact"/>
        <w:rPr>
          <w:sz w:val="20"/>
          <w:szCs w:val="20"/>
          <w:color w:val="auto"/>
        </w:rPr>
      </w:pPr>
    </w:p>
    <w:p>
      <w:pPr>
        <w:ind w:right="520"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Discounts </w:t>
      </w:r>
      <w:r>
        <w:rPr>
          <w:rFonts w:ascii="Times New Roman" w:cs="Times New Roman" w:eastAsia="Times New Roman" w:hAnsi="Times New Roman"/>
          <w:sz w:val="18"/>
          <w:szCs w:val="18"/>
          <w:color w:val="auto"/>
        </w:rPr>
        <w:t>— The Company estimates cash discounts based on contractual terms and expectations regarding future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The adjustments are recorded in the same period the related revenue is recognized, resulting in a reduction of product revenue and accounts receivable.</w:t>
      </w:r>
    </w:p>
    <w:p>
      <w:pPr>
        <w:spacing w:after="0" w:line="65" w:lineRule="exact"/>
        <w:rPr>
          <w:sz w:val="20"/>
          <w:szCs w:val="20"/>
          <w:color w:val="auto"/>
        </w:rPr>
      </w:pPr>
    </w:p>
    <w:p>
      <w:pPr>
        <w:ind w:right="80" w:firstLine="56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Government Chargebacks </w:t>
      </w:r>
      <w:r>
        <w:rPr>
          <w:rFonts w:ascii="Times New Roman" w:cs="Times New Roman" w:eastAsia="Times New Roman" w:hAnsi="Times New Roman"/>
          <w:sz w:val="18"/>
          <w:szCs w:val="18"/>
          <w:color w:val="auto"/>
        </w:rPr>
        <w:t>— Chargebacks for fees and discounts to qualified government healthcare providers represent the estimated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contractual commitments to sell products to qualified U.S. Department of Veterans Affairs hospitals and 340B entities at prices lower than the list prices charged to customers who directly purchase the product from the Company. The 340B Drug Discount Program is a U.S. federal government program created in 1992 that requires drug manufacturers to provide outpatient drugs to eligible health care organizations and covered entities at significantly reduced prices. Customers charge the Company for the difference between what they pay for the product and the statutory selling price to the qualified government entity. These reserves are established in the same period that the related revenue is recognized, resulting in a reduction of product revenue and accounts receivables, net. Chargeback amounts are generally determined at the time of resale to the qualified government healthcare provider by customers, and the Company generally issues credits for such amounts within a few weeks of the Customer’s notification to the Company of the resale. Reserves for chargebacks consist of chargebacks that customers have claimed, but for which the Company has not yet issued a credit and credits that the Company expects to issue for product that has been recognized as revenue, but which remains in the distribution channel inventories at the end of each reporting period.</w:t>
      </w:r>
    </w:p>
    <w:p>
      <w:pPr>
        <w:spacing w:after="0" w:line="84"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state Medicaid programs and Medicare. These reserves are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77" w:lineRule="exact"/>
        <w:rPr>
          <w:sz w:val="20"/>
          <w:szCs w:val="20"/>
          <w:color w:val="auto"/>
        </w:rPr>
      </w:pPr>
    </w:p>
    <w:p>
      <w:pPr>
        <w:jc w:val="both"/>
        <w:ind w:right="100" w:firstLine="5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Specialty Distributor Fees </w:t>
      </w:r>
      <w:r>
        <w:rPr>
          <w:rFonts w:ascii="Times New Roman" w:cs="Times New Roman" w:eastAsia="Times New Roman" w:hAnsi="Times New Roman"/>
          <w:sz w:val="18"/>
          <w:szCs w:val="18"/>
          <w:color w:val="auto"/>
        </w:rPr>
        <w:t>— The Company pays fees to our specialty distributor customers for distribution services provided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sales of OJEMDA. These specialty distributor fees are based on a contractually determined fixed percentage of sales. The adjustments are recorded in the same period the related revenue is recognized, resulting in a reduction of product revenue and the establishment of a current liability which is included in accrued expenses and other current liabilities.</w:t>
      </w:r>
    </w:p>
    <w:p>
      <w:pPr>
        <w:spacing w:after="0" w:line="72" w:lineRule="exact"/>
        <w:rPr>
          <w:sz w:val="20"/>
          <w:szCs w:val="20"/>
          <w:color w:val="auto"/>
        </w:rPr>
      </w:pPr>
    </w:p>
    <w:p>
      <w:pPr>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 The Company offers a co-pay assistance program, which is intended to provide financial assistance to qualified commercially-insured patients with prescription drug co-payments required by payers. The calculation of the accrual for co-pay assistance is based on an estimate of claims and the cost per claim that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8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accrued expenses and other current liabilities.</w:t>
      </w:r>
    </w:p>
    <w:p>
      <w:pPr>
        <w:spacing w:after="0" w:line="66" w:lineRule="exact"/>
        <w:rPr>
          <w:sz w:val="20"/>
          <w:szCs w:val="20"/>
          <w:color w:val="auto"/>
        </w:rPr>
      </w:pPr>
    </w:p>
    <w:p>
      <w:pPr>
        <w:ind w:firstLine="5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Company’s contracts with customers for OJEMDA generally provide for returns only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is damaged or defective upon delivery, if there is a shipment error, and for certain customers, if the product is within an eligible expiry window. The Company currently estimates product return reserves using available industry data and its own sales information, including its visibility into the inventory remaining in the distribution channel. The Company believes the returns of OJEMDA will be minimal because our customers often carry limited inventory given the price of our products, and the limited number of patients. These reserves are established in the same period that the related revenue is recognized.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320" w:firstLine="562"/>
        <w:spacing w:after="0" w:line="266" w:lineRule="auto"/>
        <w:rPr>
          <w:sz w:val="20"/>
          <w:szCs w:val="20"/>
          <w:color w:val="auto"/>
        </w:rPr>
      </w:pPr>
      <w:r>
        <w:rPr>
          <w:rFonts w:ascii="Times New Roman" w:cs="Times New Roman" w:eastAsia="Times New Roman" w:hAnsi="Times New Roman"/>
          <w:sz w:val="18"/>
          <w:szCs w:val="18"/>
          <w:color w:val="auto"/>
        </w:rPr>
        <w:t>The Company generates license revenue from the Ipsen License Agreement, pursuant to which, the Company licensed to Ipsen Pharma SAS, or Ipsen, the right to commercialize tovorafenib in all territories outside the United States and agreed to provide certain research and development and manufacturing services.</w:t>
      </w:r>
    </w:p>
    <w:p>
      <w:pPr>
        <w:spacing w:after="0" w:line="68"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and (ii) Ipsen Biopharmaceuticals, Inc., or the Investor, a fully-owned United States affiliate of Ipsen, purchased 2,341,495 shares of the Company’s common stock in a private placement for $40.0 million, at a price per share representing a 17.0% premium to the volume weighted average price, or VWAP, of the Company’s common stock as traded on The Nasdaq Stock Market LLC for the ten consecutive trading days prior to and including the date of the Company’s public release of U.S. GAAP revenue for the quarter ended June 30, 2024 on July 30, 2024, or the Revenue Release, and the ten consecutive trading days following the Revenue Release, in accordance with the terms set forth in an investment agreement by and between the Company and the Investor dated July 23, 2024. The Company is also eligible to receive up to approximately $375.0 million in additional commercial launch and sales-based milestone payments based on exchange rates as of the reporting date, as well as tiered, double-digit royalty payments starting at mid-teens percentage of annual net sales of tovorafenib, subject to customary adjustments specified in the Ipsen License Agreement.</w:t>
      </w:r>
    </w:p>
    <w:p>
      <w:pPr>
        <w:spacing w:after="0" w:line="80"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The commercial launch milestones related to first commercial sale(s) in certain territories, sales-based milestones and royalties are recognized as revenue when the related sales occur as the license of intellectual property is deemed to be the predominant item to which the commercial launch milestones, sales-based milestones and royalties relate.</w:t>
      </w:r>
    </w:p>
    <w:p>
      <w:pPr>
        <w:spacing w:after="0" w:line="68"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w:t>
      </w:r>
    </w:p>
    <w:p>
      <w:pPr>
        <w:spacing w:after="0" w:line="68" w:lineRule="exact"/>
        <w:rPr>
          <w:sz w:val="20"/>
          <w:szCs w:val="20"/>
          <w:color w:val="auto"/>
        </w:rPr>
      </w:pPr>
    </w:p>
    <w:p>
      <w:pPr>
        <w:ind w:right="720" w:firstLine="562"/>
        <w:spacing w:after="0" w:line="282" w:lineRule="auto"/>
        <w:rPr>
          <w:sz w:val="20"/>
          <w:szCs w:val="20"/>
          <w:color w:val="auto"/>
        </w:rPr>
      </w:pPr>
      <w:r>
        <w:rPr>
          <w:rFonts w:ascii="Times New Roman" w:cs="Times New Roman" w:eastAsia="Times New Roman" w:hAnsi="Times New Roman"/>
          <w:sz w:val="18"/>
          <w:szCs w:val="18"/>
          <w:color w:val="auto"/>
        </w:rPr>
        <w:t>The transaction price is then allocated to each performance obligation on a relative stand-alone selling price basis, for which the Company recognizes revenue against each performance obligation as or when the performance obligations under the contract are satisfied.</w:t>
      </w:r>
    </w:p>
    <w:p>
      <w:pPr>
        <w:spacing w:after="0" w:line="54"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81"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amortization expense of intangible assets and third-party royalties payable on our net product revenue. Cost of product revenue may also include costs related to excess or obsolete inventory adjustment charges, abnormal costs, unabsorbed manufacturing and overhead costs, and manufacturing variances.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license revenue includes the cost of delivering the performance obligations under the Ipsen License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acquiring technology and intellectual property licenses that have no alternative future uses; costs incurred under agreements with third-party contract research organizations, contract manufacturing organizations and other third parties that conduct clinical trials on the Company’s behalf; other costs associated with research and development programs, including laboratory materials and supplies; employee-related costs, including salaries, benefits and share-based compensation expense, for the Company’s research and development personnel; and facilities and other overhead expenses, including expenses for rent and facilities maintenance, and amortization. The Company expenses research and development costs as incurred. The Company is obligated to make upfront payments upon execution of certain research and development agreements. Advance payments, including nonrefundable amounts, for goods or services that will be used or rendered for future research and development activities are deferred. Such amounts are recognized as expense as the related goods are delivered or the related services are performed, or such time when the Company does not expect the goods to be delivered or services to be performed.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our clinical trials conducted by third-party service providers. The Company records the estimated costs of the clinical trials as research and development expense based upon the estimated amount of services provided but not yet invoiced. The Company accrues for these costs based on factors such as estimates of the work completed and in accordance with terms established with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spacing w:after="0" w:line="7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Company makes payments in connection with the clinical trials under contracts with contract research organizations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Black-Scholes option-pricing model, used to estimate fair value of stock options awards, requires the use of the following assumptions:</w:t>
      </w:r>
    </w:p>
    <w:p>
      <w:pPr>
        <w:spacing w:after="0" w:line="115" w:lineRule="exact"/>
        <w:rPr>
          <w:sz w:val="20"/>
          <w:szCs w:val="20"/>
          <w:color w:val="auto"/>
        </w:rPr>
      </w:pPr>
    </w:p>
    <w:p>
      <w:pPr>
        <w:ind w:left="680" w:hanging="372"/>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Company’s closing price on the Nasdaq market at the grant date.</w:t>
      </w:r>
    </w:p>
    <w:p>
      <w:pPr>
        <w:spacing w:after="0" w:line="117" w:lineRule="exact"/>
        <w:rPr>
          <w:rFonts w:ascii="Times New Roman" w:cs="Times New Roman" w:eastAsia="Times New Roman" w:hAnsi="Times New Roman"/>
          <w:sz w:val="18"/>
          <w:szCs w:val="18"/>
          <w:color w:val="auto"/>
        </w:rPr>
      </w:pPr>
    </w:p>
    <w:p>
      <w:pPr>
        <w:ind w:left="680" w:hanging="372"/>
        <w:spacing w:after="0" w:line="257"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share-based awards are expected to be outstanding. The expected term for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is calculated using the simplified method, as the weighted-average vesting term of the award and the award’s contract period (generally 10 years). The Company utilizes this method due to lack of historical exercise data and the plain-vanilla nature of the Company’s service condition share-based awards. For the Company's performance condition stock option awards, the Company calculated the expected term by taking into consideration the options' contractual life, the timing of when milestones are expected to be achieved, and the expected exercise period by a holder from the vesting date until the contractual term (generally 10 years).</w:t>
      </w:r>
    </w:p>
    <w:p>
      <w:pPr>
        <w:spacing w:after="0" w:line="74" w:lineRule="exact"/>
        <w:rPr>
          <w:rFonts w:ascii="Times New Roman" w:cs="Times New Roman" w:eastAsia="Times New Roman" w:hAnsi="Times New Roman"/>
          <w:sz w:val="18"/>
          <w:szCs w:val="18"/>
          <w:color w:val="auto"/>
        </w:rPr>
      </w:pPr>
    </w:p>
    <w:p>
      <w:pPr>
        <w:ind w:left="680" w:right="60" w:hanging="372"/>
        <w:spacing w:after="0" w:line="261"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our limited operating history and a lack of sufficient company-specific historical and implied volatility data,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our estimate of expected volatility on a blended volatility of the volatility of our stock price following our IPO and the historical volatility of a group of industry peers that are publicly traded. We will continue to utilize this blended approach to estimate volatility until a sufficient amount of historical information regarding the volatility of our own stock is available.</w:t>
      </w:r>
    </w:p>
    <w:p>
      <w:pPr>
        <w:spacing w:after="0" w:line="71" w:lineRule="exact"/>
        <w:rPr>
          <w:rFonts w:ascii="Times New Roman" w:cs="Times New Roman" w:eastAsia="Times New Roman" w:hAnsi="Times New Roman"/>
          <w:sz w:val="18"/>
          <w:szCs w:val="18"/>
          <w:color w:val="auto"/>
        </w:rPr>
      </w:pPr>
    </w:p>
    <w:p>
      <w:pPr>
        <w:ind w:left="680" w:right="20" w:hanging="372"/>
        <w:spacing w:after="0" w:line="284"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in effect at the time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expected term of the awards.</w:t>
      </w:r>
    </w:p>
    <w:p>
      <w:pPr>
        <w:spacing w:after="0" w:line="50" w:lineRule="exact"/>
        <w:rPr>
          <w:rFonts w:ascii="Times New Roman" w:cs="Times New Roman" w:eastAsia="Times New Roman" w:hAnsi="Times New Roman"/>
          <w:sz w:val="18"/>
          <w:szCs w:val="18"/>
          <w:color w:val="auto"/>
        </w:rPr>
      </w:pPr>
    </w:p>
    <w:p>
      <w:pPr>
        <w:ind w:left="680" w:right="100" w:hanging="372"/>
        <w:spacing w:after="0" w:line="284"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paid dividends on the common stock and has no plans to pay dividends on its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the expected dividend yield use is zero.</w:t>
      </w:r>
    </w:p>
    <w:p>
      <w:pPr>
        <w:spacing w:after="0" w:line="52" w:lineRule="exact"/>
        <w:rPr>
          <w:sz w:val="20"/>
          <w:szCs w:val="20"/>
          <w:color w:val="auto"/>
        </w:rPr>
      </w:pPr>
    </w:p>
    <w:p>
      <w:pPr>
        <w:ind w:right="180" w:firstLine="562"/>
        <w:spacing w:after="0" w:line="256" w:lineRule="auto"/>
        <w:rPr>
          <w:sz w:val="20"/>
          <w:szCs w:val="20"/>
          <w:color w:val="auto"/>
        </w:rPr>
      </w:pPr>
      <w:r>
        <w:rPr>
          <w:rFonts w:ascii="Times New Roman" w:cs="Times New Roman" w:eastAsia="Times New Roman" w:hAnsi="Times New Roman"/>
          <w:sz w:val="18"/>
          <w:szCs w:val="18"/>
          <w:color w:val="auto"/>
        </w:rPr>
        <w:t>The fair value of restricted stock units granted is determined based on the stock price on the date of grant. The Company uses the straight-line attribution method for recognizing share-based compensation expense for awards with service condition. The Company recognizes share-based compensation expense for awards with performance conditions when it is probable that the condition will be met, and the award will vest. The Company recognizes forfeitures by reducing the expense in the same period the forfeitures occur. The Company classifies share-based compensation expense in the consolidated statements of operations in the same manner in which the award recipients’ payroll costs are classified or in which the award recipients’ service payments are classified.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in the period that includes the enactment date. Changes in deferred tax assets and liabilities are recorded in the provision for income taxes.</w:t>
      </w:r>
    </w:p>
    <w:p>
      <w:pPr>
        <w:spacing w:after="0" w:line="79" w:lineRule="exact"/>
        <w:rPr>
          <w:sz w:val="20"/>
          <w:szCs w:val="20"/>
          <w:color w:val="auto"/>
        </w:rPr>
      </w:pPr>
    </w:p>
    <w:p>
      <w:pPr>
        <w:ind w:right="120" w:firstLine="562"/>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Valuation allowances are provided, if based upon the weight of available evidence, it is more likely than not that some or all of the deferred tax assets will not be realized.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79"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management determines whether it is more likely than not that the tax positions will be sustained on the basis of the technical merits of the position and (2) for those tax positions that meet the more-likely-than-not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recognition threshold, management recognizes the largest amount of tax benefit that is more than 50% likely to be realized upon ultimate settlement with the related tax authority.</w:t>
      </w:r>
    </w:p>
    <w:p>
      <w:pPr>
        <w:spacing w:after="0" w:line="54"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These reserves are based on a determination of whether and how much of a tax benefit taken by the Company in its filings or positions is more likely than not to be realized following resolution of any potential contingencies related to the tax benefit. Potential interest related to the underpayment of income taxes will be classified as a component of income tax expense and any related penalties will be classified as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which includes the shares related to outstanding pre-funded warrants, but excludes other potential common stock equivalents. Pre-funded warrants are considered outstanding for the purposes of computing basic and diluted net loss per share because shares may be issued for little additional consideration, and are fully vested and exercisable. Diluted net loss per share is calculated by dividing net loss by the weighted-average number of common shares and common stock equivalents outstanding for the period. Common stock equivalents outstanding are comprised of stock options, unvested restricted stock awards, restricted stock units, and shares committed under the employee stock purchase plan and are only included in the calculation of diluted earnings per common share when net income is reported and their effect is dilutive.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Comprehensive loss represents all changes in stockholders' equity except those resulting from and distributions to stockholders. The Company’s unrealized gains and losses on available-for-sale securities represent the only component of other comprehensive loss that are excluded from the reported net loss and that are presented in the consolidated statements of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in the notes to financial statements, of specified information about certain costs and expenses at each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 The ASU is effective for fiscal years beginning after December 15, 2026 and allows for adoption on a prospective basis, with a retrospective option. Early adoption is permitted. The Company is currently evaluating the effect of this update on its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adopted ASU 2023-09 on a prospective basis effective January 1, 2025, resulting in enhanced income tax disclosures.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Recurring Fair Value Measurements</w:t>
      </w:r>
    </w:p>
    <w:p>
      <w:pPr>
        <w:spacing w:after="0" w:line="121"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as of December 31, 2025 and 2024, which are measured at fair value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104,428</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244,035</w:t>
            </w:r>
          </w:p>
        </w:tc>
        <w:tc>
          <w:tcPr>
            <w:tcW w:w="130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311,487</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2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494,862</w:t>
            </w:r>
          </w:p>
        </w:tc>
        <w:tc>
          <w:tcPr>
            <w:tcW w:w="13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-1156335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-1139190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-1156335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-1139190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-1156335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-1139190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measured using observable inputs from active markets for identical assets.</w:t>
      </w:r>
    </w:p>
    <w:p>
      <w:pPr>
        <w:spacing w:after="0" w:line="54"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assets or liabilities classified as Level 3 as of December 31, 2025 and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during the periods presented.</w:t>
      </w:r>
    </w:p>
    <w:p>
      <w:pPr>
        <w:spacing w:after="0" w:line="11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2"/>
                <w:szCs w:val="12"/>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120" w:type="dxa"/>
            <w:vAlign w:val="bottom"/>
          </w:tcPr>
          <w:p>
            <w:pPr>
              <w:spacing w:after="0"/>
              <w:rPr>
                <w:sz w:val="18"/>
                <w:szCs w:val="18"/>
                <w:color w:val="auto"/>
              </w:rPr>
            </w:pPr>
          </w:p>
        </w:tc>
      </w:tr>
      <w:tr>
        <w:trPr>
          <w:trHeight w:val="210"/>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104,428</w:t>
            </w:r>
          </w:p>
        </w:tc>
        <w:tc>
          <w:tcPr>
            <w:tcW w:w="120" w:type="dxa"/>
            <w:vAlign w:val="bottom"/>
          </w:tcPr>
          <w:p>
            <w:pPr>
              <w:spacing w:after="0"/>
              <w:rPr>
                <w:sz w:val="18"/>
                <w:szCs w:val="18"/>
                <w:color w:val="auto"/>
              </w:rPr>
            </w:pPr>
          </w:p>
        </w:tc>
      </w:tr>
      <w:tr>
        <w:trPr>
          <w:trHeight w:val="25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244,035</w:t>
            </w:r>
          </w:p>
        </w:tc>
        <w:tc>
          <w:tcPr>
            <w:tcW w:w="120" w:type="dxa"/>
            <w:vAlign w:val="bottom"/>
            <w:shd w:val="clear" w:color="auto" w:fill="CFF0FC"/>
          </w:tcPr>
          <w:p>
            <w:pPr>
              <w:spacing w:after="0"/>
              <w:rPr>
                <w:sz w:val="21"/>
                <w:szCs w:val="21"/>
                <w:color w:val="auto"/>
              </w:rPr>
            </w:pPr>
          </w:p>
        </w:tc>
      </w:tr>
      <w:tr>
        <w:trPr>
          <w:trHeight w:val="845"/>
        </w:trPr>
        <w:tc>
          <w:tcPr>
            <w:tcW w:w="370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F-19</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-1773555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-1773555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-1773555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-1070610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-1054100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-1070610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-1054100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-1054100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-1054100</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2"/>
                <w:szCs w:val="12"/>
                <w:color w:val="auto"/>
              </w:rPr>
            </w:pPr>
          </w:p>
        </w:tc>
        <w:tc>
          <w:tcPr>
            <w:tcW w:w="12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298,457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406,667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98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-873760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-873760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-873760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our cash equivalents and available-for-sale securities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279,548</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279,613</w:t>
            </w:r>
          </w:p>
        </w:tc>
      </w:tr>
      <w:tr>
        <w:trPr>
          <w:trHeight w:val="20"/>
        </w:trPr>
        <w:tc>
          <w:tcPr>
            <w:tcW w:w="6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279,548</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279,613</w:t>
            </w: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5"/>
        </w:trPr>
        <w:tc>
          <w:tcPr>
            <w:tcW w:w="6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511,505</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511,590</w:t>
            </w:r>
          </w:p>
        </w:tc>
      </w:tr>
      <w:tr>
        <w:trPr>
          <w:trHeight w:val="20"/>
        </w:trPr>
        <w:tc>
          <w:tcPr>
            <w:tcW w:w="6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511,505</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511,590</w:t>
            </w: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-993775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and monitors the surrounding economic conditions to assess the risk of expected credit losses. As of December 31, 2025 and 2024, there were no securities that were in an unrealized loss position for more than 12 months. As of December 31, 2025 and 2024, the unrealized losses, if any,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 Realized gains and losses were immaterial for the years ended December 31,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bl>
      <w:tblPr>
        <w:tblLayout w:type="fixed"/>
        <w:tblInd w:w="0" w:type="dxa"/>
        <w:tblCellMar>
          <w:top w:w="0" w:type="dxa"/>
          <w:left w:w="0" w:type="dxa"/>
          <w:bottom w:w="0" w:type="dxa"/>
          <w:right w:w="0" w:type="dxa"/>
        </w:tblCellMar>
      </w:tblPr>
      <w:tr>
        <w:trPr>
          <w:trHeight w:val="151"/>
        </w:trPr>
        <w:tc>
          <w:tcPr>
            <w:tcW w:w="6300" w:type="dxa"/>
            <w:vAlign w:val="bottom"/>
          </w:tcPr>
          <w:p>
            <w:pPr>
              <w:spacing w:after="0"/>
              <w:rPr>
                <w:sz w:val="13"/>
                <w:szCs w:val="13"/>
                <w:color w:val="auto"/>
              </w:rPr>
            </w:pPr>
          </w:p>
        </w:tc>
        <w:tc>
          <w:tcPr>
            <w:tcW w:w="1680" w:type="dxa"/>
            <w:vAlign w:val="bottom"/>
          </w:tcPr>
          <w:p>
            <w:pPr>
              <w:jc w:val="right"/>
              <w:ind w:right="62"/>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gridSpan w:val="2"/>
          </w:tcPr>
          <w:p>
            <w:pPr>
              <w:ind w:left="30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00" w:type="dxa"/>
            <w:vAlign w:val="bottom"/>
          </w:tcPr>
          <w:p>
            <w:pPr>
              <w:spacing w:after="0"/>
              <w:rPr>
                <w:sz w:val="15"/>
                <w:szCs w:val="15"/>
                <w:color w:val="auto"/>
              </w:rPr>
            </w:pPr>
          </w:p>
        </w:tc>
        <w:tc>
          <w:tcPr>
            <w:tcW w:w="16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80" w:type="dxa"/>
            <w:vAlign w:val="bottom"/>
            <w:shd w:val="clear" w:color="auto" w:fill="CFF0FC"/>
          </w:tcPr>
          <w:p>
            <w:pPr>
              <w:jc w:val="right"/>
              <w:ind w:right="15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8"/>
                <w:szCs w:val="18"/>
                <w:color w:val="auto"/>
              </w:rPr>
            </w:pP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80" w:type="dxa"/>
            <w:vAlign w:val="bottom"/>
          </w:tcPr>
          <w:p>
            <w:pPr>
              <w:jc w:val="right"/>
              <w:ind w:right="15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began capitalizing inventory for OJEMDA upon approval by the U.S. Food and Drug Administration, or FDA, in April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regulatory approval, all direct and indirect manufacturing costs were charged to research and development expense in the period incurred.</w:t>
      </w:r>
    </w:p>
    <w:p>
      <w:pPr>
        <w:spacing w:after="0" w:line="9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Inventory is comprised of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inventory until the material is consumed or otherwise allocated for research and development. If the material is used or otherwise allocated for research and development, it is expensed as research and development in the period that determination is made.</w:t>
      </w:r>
    </w:p>
    <w:p>
      <w:pPr>
        <w:spacing w:after="0" w:line="54"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consolidated statements of operations. There were no expenses recorded for excess inventory or other impairments during the years ended 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9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6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related expenses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service expenses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milestone payment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federal and state payables</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-2116455</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-2116455</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finite lives: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agreement milestone payments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PRV-related obligation payment</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gross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(4,580)</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(1,470)</w:t>
            </w:r>
          </w:p>
        </w:tc>
      </w:tr>
      <w:tr>
        <w:trPr>
          <w:trHeight w:val="210"/>
        </w:trPr>
        <w:tc>
          <w:tcPr>
            <w:tcW w:w="7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20" w:type="dxa"/>
            <w:vAlign w:val="bottom"/>
            <w:tcBorders>
              <w:top w:val="single" w:sz="8" w:color="CFF0FC"/>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-453390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amortization expense of $3.1 million, $1.5 million, and $0,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aggregate amortization expense for amortizable finite-lived intangible assets as of December 31, 2025 is as follows:</w:t>
      </w:r>
    </w:p>
    <w:p>
      <w:pPr>
        <w:spacing w:after="0" w:line="9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top w:val="single" w:sz="8" w:color="auto"/>
            </w:tcBorders>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expected amortization expense</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of the Company from an LLC to a corporation, on May 26, 2021.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XOMA</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paid $2.0 million upfront in cash to Viracta in December 2019, which was recorded as research and development expenses as the technology does not have an alternative future use.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March 4, 2024, the Company entered into an amendment to the Viracta License Agreement. As part of the amendment, the Company made a one-time payment in March 2024 to Viracta of $5.0 million, which was recorded as research and development expenses during the year ended December 31, 2024, in exchange for reduced future payment obligations ranging from the mid-teens to the high single-digit percentage related to the future sale or use of the rare pediatric disease priority review voucher, or PRV, received.</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the Company’s consolidated statements of operations.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and was capitalized as a finite-lived intangible asset, which will be amortized on a straight-line basis over its estimated useful life. The gross proceeds of $108.0 million were recorded as a gain from sale of priority review voucher in the accompanying consolidated statements of operations during the year ended December 31, 2024. As of December 31, 2025, the unamortized finite-lived intangible asset was $6.3 million. Related amortization expense will be recorded as cost of product revenue in the Company’s consolidated statements of operations.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The Company has agreed to the assignment and novation of the Viracta License Agreement to XOMA as successor party, now referred to as the XOMA License Agreement. In connection with such assignment, the parties also agreed to assign all rights, title and interest in related intellectual property. No material terms of the XOMA License Agreement have been amended or modified in relation to the same.</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March 27, 2025, Ipsen received validation of its completed submission of the Marketing Authorization Application to the European Medicines Agency, or EMA, for tovorafenib for the treatment of patients with relapsed or refractory pLGG. Ipsen anticipates a regulatory decision in 2026. As a result, the Company paid $4.0 million to XOMA for the achievement of this milestone in March 2025, which was recorded as research and development expense.</w:t>
      </w:r>
    </w:p>
    <w:p>
      <w:pPr>
        <w:spacing w:after="0" w:line="7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On November 26, 2025, the Company achieved a regulatory milestone related to tovorafenib for the treatment of patients with relapsed or refractory pLGG. As a result, the Company paid $2.0 million to XOMA for the achievement of this milestone in December 2025, which was recorded as research and development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8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could be required to make additional milestone payments of up to $34.0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Company discontinued its monotherapy substudy due to a limited duration of response in this rare patient population despite observing responses with a generally well tolerated therapy. In July 2024, the Company informed Merck KGaA, Darmstadt, Germany that the Company decided to close the program because the benefit/risk profile, as well as the market opportunity, did not justify the significant investment required to continue the trial despite observing some clinical responses. In September 2025, the Company finalized the termination agreement with Merck KGaA, Darmstadt, Germany and concluded all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200" w:firstLine="464"/>
        <w:spacing w:after="0" w:line="256" w:lineRule="auto"/>
        <w:rPr>
          <w:sz w:val="20"/>
          <w:szCs w:val="20"/>
          <w:color w:val="auto"/>
        </w:rPr>
      </w:pPr>
      <w:r>
        <w:rPr>
          <w:rFonts w:ascii="Times New Roman" w:cs="Times New Roman" w:eastAsia="Times New Roman" w:hAnsi="Times New Roman"/>
          <w:sz w:val="18"/>
          <w:szCs w:val="18"/>
          <w:color w:val="auto"/>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consideration for the rights granted under the Sprint License Agreement, the Company paid $3.0 million upfront in cash to Sprint in September 2023, which was recorded as research and development expenses as the technology does not have an alternative future use.</w:t>
      </w:r>
    </w:p>
    <w:p>
      <w:pPr>
        <w:spacing w:after="0" w:line="79" w:lineRule="exact"/>
        <w:rPr>
          <w:sz w:val="20"/>
          <w:szCs w:val="20"/>
          <w:color w:val="auto"/>
        </w:rPr>
      </w:pPr>
    </w:p>
    <w:p>
      <w:pPr>
        <w:jc w:val="both"/>
        <w:ind w:right="160" w:firstLine="464"/>
        <w:spacing w:after="0" w:line="266" w:lineRule="auto"/>
        <w:rPr>
          <w:sz w:val="20"/>
          <w:szCs w:val="20"/>
          <w:color w:val="auto"/>
        </w:rPr>
      </w:pPr>
      <w:r>
        <w:rPr>
          <w:rFonts w:ascii="Times New Roman" w:cs="Times New Roman" w:eastAsia="Times New Roman" w:hAnsi="Times New Roman"/>
          <w:sz w:val="18"/>
          <w:szCs w:val="18"/>
          <w:color w:val="auto"/>
        </w:rPr>
        <w:t>On May 9, 2025, the Company notified Sprint of its decision to discontinue its investment in the VRK1 program and terminated the Sprint License Agreement, with termination taking effect on August 15, 2025. This decision was made following careful consideration of the current development status of the program and the Company's overall strategic objectives.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spacing w:after="0" w:line="68"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granted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spacing w:after="0" w:line="75"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December 31, 2025, the Company could be required to make additional payments of $1,132.0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 In January 2025, the Company cleared the first cohort (a single-patient accelerated titration cohort) in the Phase 1a portion of the DAY301 Phase 1a/b clinical trial. The Company made a $20.0 million milestone payment to MabCare in January 2025, which was recorded as research and development expenses, for the achievement of this milestone.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w:t>
      </w:r>
    </w:p>
    <w:p>
      <w:pPr>
        <w:spacing w:after="0" w:line="75"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is also eligible to receive up to approximately $375.0 million in additional commercial launch and sales-based milestone payments based on exchange rates as of the reporting date. The Company is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and such consent shall not be unreasonably withheld, such that upon completion of the manufacturing technology transfer, Ipsen or a third-party would be solely responsible for the manufacture of tovorafenib for all territories outside the United States.</w:t>
      </w:r>
    </w:p>
    <w:p>
      <w:pPr>
        <w:spacing w:after="0" w:line="79" w:lineRule="exact"/>
        <w:rPr>
          <w:sz w:val="20"/>
          <w:szCs w:val="20"/>
          <w:color w:val="auto"/>
        </w:rPr>
      </w:pPr>
    </w:p>
    <w:p>
      <w:pPr>
        <w:ind w:right="360" w:firstLine="464"/>
        <w:spacing w:after="0" w:line="261"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and a failure to cure such breach within the time period specified in the Ipsen License Agreement or (ii) the other party’s bankruptcy event.</w:t>
      </w:r>
    </w:p>
    <w:p>
      <w:pPr>
        <w:spacing w:after="0" w:line="117" w:lineRule="exact"/>
        <w:rPr>
          <w:sz w:val="20"/>
          <w:szCs w:val="20"/>
          <w:color w:val="auto"/>
        </w:rPr>
      </w:pPr>
    </w:p>
    <w:p>
      <w:pPr>
        <w:ind w:right="20" w:firstLine="464"/>
        <w:spacing w:after="0" w:line="253" w:lineRule="auto"/>
        <w:rPr>
          <w:sz w:val="20"/>
          <w:szCs w:val="20"/>
          <w:color w:val="auto"/>
        </w:rPr>
      </w:pPr>
      <w:r>
        <w:rPr>
          <w:rFonts w:ascii="Times New Roman" w:cs="Times New Roman" w:eastAsia="Times New Roman" w:hAnsi="Times New Roman"/>
          <w:sz w:val="18"/>
          <w:szCs w:val="18"/>
          <w:color w:val="auto"/>
        </w:rPr>
        <w:t>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commercialize tovorafenib outside the United States for both (i) relapsed or refractory and (ii) front-line pLGG; 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spacing w:after="0" w:line="84"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8"/>
          <w:szCs w:val="18"/>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 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intellectual property and, therefore, have been excluded from the transaction price in accordance with the sales-based royalty exception.</w:t>
      </w:r>
    </w:p>
    <w:p>
      <w:pPr>
        <w:spacing w:after="0" w:line="79"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based on their relative standalone selling price. The Company developed the estimated stand-alone selling price for each license using discounted cash flow models. In 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 relapsed or refractory and front-line pLGG licenses to intellectual property was recognized as license revenue at the point in time in which Ipsen had the right to use the license/know-how, which occurred during the year ended December 31, 2024. The portion of the transaction price allocable to the relapsed or refractory, front-line and companion diagnostic research and development services performance obligations, as well as other services subsequently contracted by Ipsen with the Company on an ad-hoc basis that were not specifically identified as part of the Ipsen License Agreement and therefore considered separate performance obligations, will be recognized over time as the services are delivered based on costs incurred relative to the total estimated cost to deliver the services. During the years ended December 31, 2025, 2024, and 2023, the Company recognized $2.8 million, $73.9 million, and $0 of license revenue, respectively. As of December 31, 2025 and 2024, the undelivered relapsed or refractory, front-line and companion diagnostic research and development services included in current and non-current deferred revenue was $5.0 million and $4.8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In April 2022, the Company entered into a lease agreement for approximately 12,000 square feet of general use office space in Brisbane, California. The agreement was determined to be a lease since the right to control the use of the identified asset was conveyed to the Company for a period of time in exchange for consideration. The lease commenced in May 2022 and expired in November 2024. The Company was obligated to pay monthly rent expense and its pro rata share of the landlord's operating expenses which include utilities, common area maintenance expenses, and property taxes. Such expenses were a non-lease component and a variable consideration and included in the Company's operating expenses as incurred. The Company concluded that this lease was an operating lease.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86" w:lineRule="exact"/>
        <w:rPr>
          <w:sz w:val="20"/>
          <w:szCs w:val="20"/>
          <w:color w:val="auto"/>
        </w:rPr>
      </w:pPr>
    </w:p>
    <w:p>
      <w:pPr>
        <w:ind w:right="100" w:firstLine="464"/>
        <w:spacing w:after="0" w:line="254" w:lineRule="auto"/>
        <w:rPr>
          <w:sz w:val="20"/>
          <w:szCs w:val="20"/>
          <w:color w:val="auto"/>
        </w:rPr>
      </w:pPr>
      <w:r>
        <w:rPr>
          <w:rFonts w:ascii="Times New Roman" w:cs="Times New Roman" w:eastAsia="Times New Roman" w:hAnsi="Times New Roman"/>
          <w:sz w:val="18"/>
          <w:szCs w:val="18"/>
          <w:color w:val="auto"/>
        </w:rPr>
        <w:t>In June 2024, the Company entered into a lease agreement for approximately 19,000 square feet of general use office space in Brisbane, California. The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an operating lease. The total payments for base rent over the term of the lease is approximately $4.4 million. Upon execution of the agreement, the Company paid a security deposit of approximately $86,000 classified as deposits and other long-term assets on the consolidated balance sheets.</w:t>
      </w:r>
    </w:p>
    <w:p>
      <w:pPr>
        <w:spacing w:after="0" w:line="84"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December 31, 2025, the weighted-average remaining lease term and weighted-average discount rate were 5.7 years and 12.9%, respectively.</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leases do not require any contingent rental payments, impose financial restrictions, or contain any residual value guarantees.</w:t>
      </w:r>
    </w:p>
    <w:p>
      <w:pPr>
        <w:spacing w:after="0" w:line="117" w:lineRule="exact"/>
        <w:rPr>
          <w:sz w:val="20"/>
          <w:szCs w:val="20"/>
          <w:color w:val="auto"/>
        </w:rPr>
      </w:pPr>
    </w:p>
    <w:p>
      <w:pPr>
        <w:ind w:right="240" w:firstLine="464"/>
        <w:spacing w:after="0" w:line="261" w:lineRule="auto"/>
        <w:rPr>
          <w:sz w:val="20"/>
          <w:szCs w:val="20"/>
          <w:color w:val="auto"/>
        </w:rPr>
      </w:pPr>
      <w:r>
        <w:rPr>
          <w:rFonts w:ascii="Times New Roman" w:cs="Times New Roman" w:eastAsia="Times New Roman" w:hAnsi="Times New Roman"/>
          <w:sz w:val="18"/>
          <w:szCs w:val="18"/>
          <w:color w:val="auto"/>
        </w:rPr>
        <w:t>Lease expense of right-of-use assets is recognized on a straight-line basis over the applicable lease term. Lease expense was $0.7 million, $0.6 million, and $0.4 million for the years ended December 31, 2025, 2024 and 2023, respectively. Cash paid for amounts included in the measurement of operating lease liabilities was $0.4 million, $0.5 million, and $0.5 million for the years ended December 31, 2025, 2024 and 2023, respectively. Variable payments expensed during the years ended December 31, 2025, 2024, and 2023 were immaterial.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of December 31, 2025, the future lease obligations were as follows (in thousands):</w:t>
            </w: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8"/>
                <w:szCs w:val="18"/>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7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04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9"/>
                <w:szCs w:val="19"/>
                <w:color w:val="auto"/>
              </w:rPr>
            </w:pPr>
          </w:p>
        </w:tc>
      </w:tr>
      <w:tr>
        <w:trPr>
          <w:trHeight w:val="20"/>
        </w:trPr>
        <w:tc>
          <w:tcPr>
            <w:tcW w:w="78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21"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2025 and 2024, there were no amounts accrued related to termination and cancellation charges as these are not probable.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The Company entered into license agreements, as disclosed in Note 7, with various parties under which it is obligated to make contingent and non-contingent payments.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8"/>
          <w:szCs w:val="18"/>
          <w:color w:val="auto"/>
        </w:rPr>
        <w:t>To support product needs for OJEMDA, the Company entered into a manufacturing and supply agreement with Quotient Sciences - Philadelphia, LLC in July 2023 that requires the Company to meet minimum purchase obligations on an annual basis. The remaining amount of future minimum purchase obligations under the manufacturing and supply agreement over the next five years is approximately $10.6 million, in aggregate, as of December 31, 2025. For the year ended December 31, 2025, the Company has made $3.5 million of purchases under the purchase obligation.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540" w:firstLine="46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December 31,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its certificate of incorporation, the Company is authorized to issue 500.0 million shares of common stock at a par value of $0.0001 per share. As of December 31, 2025, 102,982,700 shares of common stock were issued and outstanding.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issuances as follows:</w:t>
      </w:r>
    </w:p>
    <w:tbl>
      <w:tblPr>
        <w:tblLayout w:type="fixed"/>
        <w:tblInd w:w="0" w:type="dxa"/>
        <w:tblCellMar>
          <w:top w:w="0" w:type="dxa"/>
          <w:left w:w="0" w:type="dxa"/>
          <w:bottom w:w="0" w:type="dxa"/>
          <w:right w:w="0" w:type="dxa"/>
        </w:tblCellMar>
      </w:tblPr>
      <w:tr>
        <w:trPr>
          <w:trHeight w:val="151"/>
        </w:trPr>
        <w:tc>
          <w:tcPr>
            <w:tcW w:w="8140" w:type="dxa"/>
            <w:vAlign w:val="bottom"/>
          </w:tcPr>
          <w:p>
            <w:pPr>
              <w:spacing w:after="0"/>
              <w:rPr>
                <w:sz w:val="13"/>
                <w:szCs w:val="13"/>
                <w:color w:val="auto"/>
              </w:rPr>
            </w:pPr>
          </w:p>
        </w:tc>
        <w:tc>
          <w:tcPr>
            <w:tcW w:w="3100" w:type="dxa"/>
            <w:vAlign w:val="bottom"/>
            <w:gridSpan w:val="2"/>
          </w:tcPr>
          <w:p>
            <w:pPr>
              <w:ind w:left="10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300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available for ESPP</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25,614,368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Private Placement</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July 2024, the Company entered into a securities purchase agreement with certain institutional and accredited investors, or the PIPE Investors, pursuant to which the Company agreed to sell and issue to the PIPE Investors in a private placement, or the Private Placement, an aggregate of (i) 10,551,718 shares of the Company’s common stock, par value $0.0001 per share, at a purchase price of $14.50 per share and (ii) 1,517,241 pre-funded warrants, or the Pre-Funded Warrants, to purchase up to an aggregate of 1,517,241 shares of the Company's common stock, or the Warrant Shares, at a purchase price of $14.4999 per Pre-Funded Warrant. Each Pre-Funded Warrant has an exercise price of $0.0001 per Warrant Share.</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at the option of each holder, in such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Pre-Funded Warrant. A holder will not be entitled to exercise any portion of any Pre-Funded Warrant if the holder’s ownership of the Company’s common stock would exceed 9.99% following such exercise.</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 The Pre-Funded Warrants were classified as a component of permanent stockholders’ equity within additional paid-in capital and were recorded at the issuance date using a relative fair value allocation method.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Company's common stock and Pre-Funded Warrants.</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Private Placement closed on August 1, 2024, and the Company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agreement with Ipsen Biopharmaceuticals, Inc.</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closing date of the transaction approximated fair value, which was recorded as a component of additional paid-in capital.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Follow-On Offering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 recorded in the accompanying consolidated statements of operations is as follows (in thousands):</w:t>
      </w:r>
    </w:p>
    <w:tbl>
      <w:tblPr>
        <w:tblLayout w:type="fixed"/>
        <w:tblInd w:w="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234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4"/>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1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14,207</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16,710</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31,553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1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44,388</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48,263</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39,341</w:t>
            </w:r>
          </w:p>
        </w:tc>
        <w:tc>
          <w:tcPr>
            <w:tcW w:w="0" w:type="dxa"/>
            <w:vAlign w:val="bottom"/>
          </w:tcPr>
          <w:p>
            <w:pPr>
              <w:spacing w:after="0"/>
              <w:rPr>
                <w:sz w:val="1"/>
                <w:szCs w:val="1"/>
                <w:color w:val="auto"/>
              </w:rPr>
            </w:pPr>
          </w:p>
        </w:tc>
      </w:tr>
      <w:tr>
        <w:trPr>
          <w:trHeight w:val="844"/>
        </w:trPr>
        <w:tc>
          <w:tcPr>
            <w:tcW w:w="430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ind w:left="1160"/>
              <w:spacing w:after="0"/>
              <w:rPr>
                <w:sz w:val="20"/>
                <w:szCs w:val="20"/>
                <w:color w:val="auto"/>
              </w:rPr>
            </w:pPr>
            <w:r>
              <w:rPr>
                <w:rFonts w:ascii="Times New Roman" w:cs="Times New Roman" w:eastAsia="Times New Roman" w:hAnsi="Times New Roman"/>
                <w:sz w:val="18"/>
                <w:szCs w:val="18"/>
                <w:color w:val="auto"/>
              </w:rPr>
              <w:t>F-29</w:t>
            </w: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-1071245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Inducement Plan</w:t>
      </w:r>
    </w:p>
    <w:p>
      <w:pPr>
        <w:spacing w:after="0" w:line="121"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In October 2022, the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during the year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3,357,298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Forfeiture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(2,322,635)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13,143,198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13,143,198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8,714,981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-290830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40" w:firstLine="464"/>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 The total intrinsic value of options exercised during the years ended December 31, 2025, 2024, and 2023 was $0.1 million, $0.4 million and $0.6 million, respectively.</w:t>
      </w:r>
    </w:p>
    <w:p>
      <w:pPr>
        <w:spacing w:after="0" w:line="68"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2025, 2024, and 2023 were $26.9 million, $33.3 million and $29.2 million, respectively. The weighted-average grant date fair value of options granted during the years ended December 31, 2025, 2024, and 2023 were $6.65 per share, $9.22 per share, and $13.14 per share, respectively.</w:t>
      </w:r>
    </w:p>
    <w:p>
      <w:pPr>
        <w:spacing w:after="0" w:line="68"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Unrecognized share-based compensation for stock options as of December 31, 2025 was $33.7 million, which is expected to be recognized over a weighted-average period of 2.2 years.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stock option awards granted with the following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ind w:left="69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4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50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8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- 6.74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- 75.65%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- 81.98%</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- 4.67%</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71" w:lineRule="exact"/>
        <w:rPr>
          <w:sz w:val="20"/>
          <w:szCs w:val="20"/>
          <w:color w:val="auto"/>
        </w:rPr>
      </w:pPr>
    </w:p>
    <w:p>
      <w:pPr>
        <w:ind w:right="180" w:firstLine="46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updated its methodology for estimating the expected volatility assumption used in the valuation of stock option awards to incorporate both the historical volatility of its common stock and the volatility of a group of publicly traded industry peers as the Company now has sufficient trading history for its common stock. This change provides a more representative measure of expected volatility by reflecting both Company-specific and market-based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p>
      <w:pPr>
        <w:spacing w:after="0" w:line="121" w:lineRule="exact"/>
        <w:rPr>
          <w:sz w:val="20"/>
          <w:szCs w:val="20"/>
          <w:color w:val="auto"/>
        </w:rPr>
      </w:pPr>
    </w:p>
    <w:p>
      <w:pPr>
        <w:ind w:right="140" w:firstLine="464"/>
        <w:spacing w:after="0" w:line="255" w:lineRule="auto"/>
        <w:rPr>
          <w:sz w:val="20"/>
          <w:szCs w:val="20"/>
          <w:color w:val="auto"/>
        </w:rPr>
      </w:pPr>
      <w:r>
        <w:rPr>
          <w:rFonts w:ascii="Times New Roman" w:cs="Times New Roman" w:eastAsia="Times New Roman" w:hAnsi="Times New Roman"/>
          <w:sz w:val="18"/>
          <w:szCs w:val="18"/>
          <w:color w:val="auto"/>
        </w:rPr>
        <w:t>On October 7, 2025, the board of directors and compensation committee of the board of directors, or the Compensation Committee, approved an option repricing, or the Repricing, of the outstanding stock options granted under the 2021 Plan held by certain then-current directors and employees, including the Company’s named executive officers, or Eligible Participants, effective November 6, 2025 (the second full business day following the filing of the Company’s Quarterly Report on Form 10-Q for the quarter ended September 30, 2025), or the Effective Date. The board of directors approved the Repricing, upon the recommendation of the Compensation Committee, in order to retain and motivate key contributors of the Company without incurring dilution resulting from significant additional equity grants to the Company’s employees or significant additional cash expenditures resulting from cash compensation.</w:t>
      </w:r>
    </w:p>
    <w:p>
      <w:pPr>
        <w:spacing w:after="0" w:line="81" w:lineRule="exact"/>
        <w:rPr>
          <w:sz w:val="20"/>
          <w:szCs w:val="20"/>
          <w:color w:val="auto"/>
        </w:rPr>
      </w:pPr>
    </w:p>
    <w:p>
      <w:pPr>
        <w:ind w:right="420" w:firstLine="464"/>
        <w:spacing w:after="0" w:line="266" w:lineRule="auto"/>
        <w:rPr>
          <w:sz w:val="20"/>
          <w:szCs w:val="20"/>
          <w:color w:val="auto"/>
        </w:rPr>
      </w:pPr>
      <w:r>
        <w:rPr>
          <w:rFonts w:ascii="Times New Roman" w:cs="Times New Roman" w:eastAsia="Times New Roman" w:hAnsi="Times New Roman"/>
          <w:sz w:val="18"/>
          <w:szCs w:val="18"/>
          <w:color w:val="auto"/>
        </w:rPr>
        <w:t>On the Effective Date, the exercise price of outstanding stock option granted under the 2021 Plan held by 165 Eligible Participants providing services with an exercise price per share greater than $8.99 (the closing trading price of a share of the Company’s common stock on the Nasdaq Stock Market on the Effective Date), or the Repriced Options, was repriced to $8.99 per share, or the New Exercise Price.</w:t>
      </w:r>
    </w:p>
    <w:p>
      <w:pPr>
        <w:spacing w:after="0" w:line="68" w:lineRule="exact"/>
        <w:rPr>
          <w:sz w:val="20"/>
          <w:szCs w:val="20"/>
          <w:color w:val="auto"/>
        </w:rPr>
      </w:pPr>
    </w:p>
    <w:p>
      <w:pPr>
        <w:ind w:right="200" w:firstLine="464"/>
        <w:spacing w:after="0" w:line="256" w:lineRule="auto"/>
        <w:rPr>
          <w:sz w:val="20"/>
          <w:szCs w:val="20"/>
          <w:color w:val="auto"/>
        </w:rPr>
      </w:pPr>
      <w:r>
        <w:rPr>
          <w:rFonts w:ascii="Times New Roman" w:cs="Times New Roman" w:eastAsia="Times New Roman" w:hAnsi="Times New Roman"/>
          <w:sz w:val="18"/>
          <w:szCs w:val="18"/>
          <w:color w:val="auto"/>
        </w:rPr>
        <w:t>In order to exercise the Repriced Options at the New Exercise Price, Eligible Participants are required to remain in service with the Company through the Retention Period (as defined herein). The “Retention Period” begins on the Effective Date and ends on the earlier of (i) the one-year anniversary of the Effective Date; or (ii) a Corporate Transaction (as defined in the 2021 Plan). However, if the Retention Period is not satisfied, the Eligible Participant will be required to pay to the Company an additional amount equal to the difference between the New Exercise Price and the original exercise price of the corresponding option upon exercise of the option; provided that the additional premium payment will not be required if the Eligible Participant’s service to the Company is terminated by reason of death or Disability (as defined in the 2021 Plan).</w:t>
      </w:r>
    </w:p>
    <w:p>
      <w:pPr>
        <w:spacing w:after="0" w:line="79" w:lineRule="exact"/>
        <w:rPr>
          <w:sz w:val="20"/>
          <w:szCs w:val="20"/>
          <w:color w:val="auto"/>
        </w:rPr>
      </w:pPr>
    </w:p>
    <w:p>
      <w:pPr>
        <w:ind w:right="240" w:firstLine="464"/>
        <w:spacing w:after="0" w:line="261" w:lineRule="auto"/>
        <w:rPr>
          <w:sz w:val="20"/>
          <w:szCs w:val="20"/>
          <w:color w:val="auto"/>
        </w:rPr>
      </w:pPr>
      <w:r>
        <w:rPr>
          <w:rFonts w:ascii="Times New Roman" w:cs="Times New Roman" w:eastAsia="Times New Roman" w:hAnsi="Times New Roman"/>
          <w:sz w:val="18"/>
          <w:szCs w:val="18"/>
          <w:color w:val="auto"/>
        </w:rPr>
        <w:t>The Repricing resulted in $13.7 million of incremental stock compensation expense, which was calculated using the Black-Scholes option-pricing model. $2.9 million of the incremental compensation cost related to unvested stock options as of the Effective Date that will be recognized on a straight line basis over the remaining requisite service period of the respective option. $10.8 million of incremental compensation cost related to vested stock options will be recognized on a straight line basis over the remaining Retention Period of the repriced options.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Of the incremental compensation cost, $1.9 million was recognized in the year ended December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0" w:name="page171"/>
    <w:bookmarkEnd w:id="17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under the 2021 Plan during the year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1,774,287</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1,990,200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(950,692)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Forfeiture</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(363,475)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at December 31, 2025</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2,450,320</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December 31, 2025 was $26.8 million, which is expected to be recognized over a weighted-average period of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common stock awards activity during the year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common stock as of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common stock as of December 31, 2025</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there is no unamortized share-based compensation for restricted stock awards.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180" w:firstLine="464"/>
        <w:spacing w:after="0" w:line="255" w:lineRule="auto"/>
        <w:rPr>
          <w:sz w:val="20"/>
          <w:szCs w:val="20"/>
          <w:color w:val="auto"/>
        </w:rPr>
      </w:pPr>
      <w:r>
        <w:rPr>
          <w:rFonts w:ascii="Times New Roman" w:cs="Times New Roman" w:eastAsia="Times New Roman" w:hAnsi="Times New Roman"/>
          <w:sz w:val="18"/>
          <w:szCs w:val="18"/>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w:t>
      </w:r>
    </w:p>
    <w:p>
      <w:pPr>
        <w:spacing w:after="0" w:line="3" w:lineRule="exact"/>
        <w:rPr>
          <w:sz w:val="20"/>
          <w:szCs w:val="20"/>
          <w:color w:val="auto"/>
        </w:rPr>
      </w:pPr>
    </w:p>
    <w:p>
      <w:pPr>
        <w:ind w:right="180" w:firstLine="8"/>
        <w:spacing w:after="0" w:line="253" w:lineRule="auto"/>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outstanding shares of common stock of the Company (on an as converted basis outstanding on the immediately preceding December 31 (rounded down to the nearest whole share)) and (b) an amount determined by the board of directors. 615,666 shares have been issued under the ESPP as of December 31, 2025. The Company recognized $0.5 million, $0.8 million, and $0.8 million of compensation expense related to the ESPP plan for the years ended December 31, 2025, 2024, and 2023,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Pre-funded warrants are exercisable for shares of the Company’s common stock at a nominal exercise price and may be exercised at any time. As the remaining exercise price is insignificant and there are no substantive conditions that would preclude exercise, the pre-funded warrants are considered outstanding for purposes of calculating weighted-average shares outstanding. Accordingly, the shares underlying the pre-funded warrants are included in the weighted-average number of common shares used in computing net loss per share. Basic and diluted net loss per share attributable to common stockholders is calculated as follows (in thousands except share and per share amounts):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(107,322)</w:t>
            </w:r>
          </w:p>
        </w:tc>
        <w:tc>
          <w:tcPr>
            <w:tcW w:w="5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(95,496)</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(188,917)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198"/>
        </w:trPr>
        <w:tc>
          <w:tcPr>
            <w:tcW w:w="5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103,205,703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93,234,195</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79,773,004</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-671830</wp:posOffset>
            </wp:positionV>
            <wp:extent cx="102870" cy="1365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-671830</wp:posOffset>
            </wp:positionV>
            <wp:extent cx="93980" cy="1365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-671830</wp:posOffset>
            </wp:positionV>
            <wp:extent cx="93980" cy="1365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47"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-12065</wp:posOffset>
            </wp:positionV>
            <wp:extent cx="9398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-12065</wp:posOffset>
            </wp:positionV>
            <wp:extent cx="9398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-12065</wp:posOffset>
            </wp:positionV>
            <wp:extent cx="9398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13,143,198</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10,068,258</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Unvested common shares</w:t>
            </w:r>
          </w:p>
        </w:tc>
        <w:tc>
          <w:tcPr>
            <w:tcW w:w="27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82,281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2,450,320</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1,774,287</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984,920</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27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115,957</w:t>
            </w:r>
          </w:p>
        </w:tc>
        <w:tc>
          <w:tcPr>
            <w:tcW w:w="10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113,296</w:t>
            </w:r>
          </w:p>
        </w:tc>
        <w:tc>
          <w:tcPr>
            <w:tcW w:w="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100" w:type="dxa"/>
            <w:vAlign w:val="bottom"/>
          </w:tcPr>
          <w:p>
            <w:pPr>
              <w:spacing w:after="0"/>
              <w:rPr>
                <w:sz w:val="18"/>
                <w:szCs w:val="18"/>
                <w:color w:val="auto"/>
              </w:rPr>
            </w:pPr>
          </w:p>
        </w:tc>
      </w:tr>
      <w:tr>
        <w:trPr>
          <w:trHeight w:val="209"/>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15,709,475</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14,097,299</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11,905,557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858"/>
        </w:trPr>
        <w:tc>
          <w:tcPr>
            <w:tcW w:w="3840" w:type="dxa"/>
            <w:vAlign w:val="bottom"/>
          </w:tcPr>
          <w:p>
            <w:pPr>
              <w:spacing w:after="0"/>
              <w:rPr>
                <w:sz w:val="24"/>
                <w:szCs w:val="24"/>
                <w:color w:val="auto"/>
              </w:rPr>
            </w:pPr>
          </w:p>
        </w:tc>
        <w:tc>
          <w:tcPr>
            <w:tcW w:w="4120" w:type="dxa"/>
            <w:vAlign w:val="bottom"/>
            <w:gridSpan w:val="2"/>
          </w:tcPr>
          <w:p>
            <w:pPr>
              <w:jc w:val="right"/>
              <w:ind w:right="2075"/>
              <w:spacing w:after="0"/>
              <w:rPr>
                <w:sz w:val="20"/>
                <w:szCs w:val="20"/>
                <w:color w:val="auto"/>
              </w:rPr>
            </w:pPr>
            <w:r>
              <w:rPr>
                <w:rFonts w:ascii="Times New Roman" w:cs="Times New Roman" w:eastAsia="Times New Roman" w:hAnsi="Times New Roman"/>
                <w:sz w:val="18"/>
                <w:szCs w:val="18"/>
                <w:color w:val="auto"/>
              </w:rPr>
              <w:t>F-33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-1053465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80" w:firstLine="46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income tax benefit (expense) totaled $2.0 million, $(7.1) million and $0, respectively, and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9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(1,953)</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and local</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w:t>
            </w:r>
          </w:p>
        </w:tc>
        <w:tc>
          <w:tcPr>
            <w:tcW w:w="34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current</w:t>
            </w:r>
          </w:p>
        </w:tc>
        <w:tc>
          <w:tcPr>
            <w:tcW w:w="19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(7,144)</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 and local</w:t>
            </w:r>
          </w:p>
        </w:tc>
        <w:tc>
          <w:tcPr>
            <w:tcW w:w="19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w:t>
            </w:r>
          </w:p>
        </w:tc>
        <w:tc>
          <w:tcPr>
            <w:tcW w:w="1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9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(7,144)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-316230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121" w:lineRule="exact"/>
        <w:rPr>
          <w:sz w:val="20"/>
          <w:szCs w:val="20"/>
          <w:color w:val="auto"/>
        </w:rPr>
      </w:pPr>
    </w:p>
    <w:p>
      <w:pPr>
        <w:ind w:right="80" w:firstLine="464"/>
        <w:spacing w:after="0" w:line="282" w:lineRule="auto"/>
        <w:rPr>
          <w:sz w:val="20"/>
          <w:szCs w:val="20"/>
          <w:color w:val="auto"/>
        </w:rPr>
      </w:pPr>
      <w:r>
        <w:rPr>
          <w:rFonts w:ascii="Times New Roman" w:cs="Times New Roman" w:eastAsia="Times New Roman" w:hAnsi="Times New Roman"/>
          <w:sz w:val="18"/>
          <w:szCs w:val="18"/>
          <w:color w:val="auto"/>
        </w:rPr>
        <w:t>Reconciliations between taxes at the U.S. federal statutory tax rate and taxes at our effective income tax rate on earnings before income taxes for the year ended December 31, 2025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6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(a)</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Orphan drug credit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(29,582)</w:t>
            </w:r>
          </w:p>
        </w:tc>
        <w:tc>
          <w:tcPr>
            <w:tcW w:w="10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(3,735)</w:t>
            </w:r>
          </w:p>
        </w:tc>
        <w:tc>
          <w:tcPr>
            <w:tcW w:w="10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10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42" w:lineRule="exact"/>
        <w:rPr>
          <w:sz w:val="20"/>
          <w:szCs w:val="20"/>
          <w:color w:val="auto"/>
        </w:rPr>
      </w:pPr>
    </w:p>
    <w:p>
      <w:pPr>
        <w:ind w:left="660" w:hanging="188"/>
        <w:spacing w:after="0"/>
        <w:tabs>
          <w:tab w:leader="none" w:pos="6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2025, state and local taxes in New York made up the majority (greater than 50 percent) of the tax effect in this category.</w:t>
      </w:r>
    </w:p>
    <w:p>
      <w:pPr>
        <w:spacing w:after="0" w:line="90" w:lineRule="exact"/>
        <w:rPr>
          <w:sz w:val="20"/>
          <w:szCs w:val="20"/>
          <w:color w:val="auto"/>
        </w:rPr>
      </w:pPr>
    </w:p>
    <w:p>
      <w:pPr>
        <w:ind w:right="80" w:firstLine="464"/>
        <w:spacing w:after="0" w:line="282" w:lineRule="auto"/>
        <w:rPr>
          <w:sz w:val="20"/>
          <w:szCs w:val="20"/>
          <w:color w:val="auto"/>
        </w:rPr>
      </w:pPr>
      <w:r>
        <w:rPr>
          <w:rFonts w:ascii="Times New Roman" w:cs="Times New Roman" w:eastAsia="Times New Roman" w:hAnsi="Times New Roman"/>
          <w:sz w:val="18"/>
          <w:szCs w:val="18"/>
          <w:color w:val="auto"/>
        </w:rPr>
        <w:t>The effective tax rate of the Company’s benefit (provision) for income taxes differs from the federal statutory rate for the years ended December 31, 2024 and 2023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6840" w:type="dxa"/>
            <w:vAlign w:val="bottom"/>
            <w:tcBorders>
              <w:top w:val="single" w:sz="8" w:color="CFF0FC"/>
              <w:bottom w:val="single" w:sz="8" w:color="CFF0FC"/>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shd w:val="clear" w:color="auto" w:fill="CFF0FC"/>
          </w:tcPr>
          <w:p>
            <w:pPr>
              <w:spacing w:after="0"/>
              <w:rPr>
                <w:sz w:val="15"/>
                <w:szCs w:val="15"/>
                <w:color w:val="auto"/>
              </w:rPr>
            </w:pPr>
          </w:p>
        </w:tc>
        <w:tc>
          <w:tcPr>
            <w:tcW w:w="380" w:type="dxa"/>
            <w:vAlign w:val="bottom"/>
            <w:tcBorders>
              <w:top w:val="single" w:sz="8" w:color="CFF0FC"/>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6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6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6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6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844"/>
        </w:trPr>
        <w:tc>
          <w:tcPr>
            <w:tcW w:w="684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F-34</w:t>
            </w:r>
          </w:p>
        </w:tc>
        <w:tc>
          <w:tcPr>
            <w:tcW w:w="1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763"/>
        </w:trPr>
        <w:tc>
          <w:tcPr>
            <w:tcW w:w="68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-2326640</wp:posOffset>
            </wp:positionV>
            <wp:extent cx="171450" cy="162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-2326640</wp:posOffset>
            </wp:positionV>
            <wp:extent cx="170815" cy="16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170815" cy="1625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-1071245</wp:posOffset>
            </wp:positionV>
            <wp:extent cx="1460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-1053465</wp:posOffset>
            </wp:positionV>
            <wp:extent cx="1460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-1071245</wp:posOffset>
            </wp:positionV>
            <wp:extent cx="14541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Paid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Income taxes paid (net of refunds)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for income taxes, net of refunds</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tcPr>
          <w:p>
            <w:pPr>
              <w:jc w:val="right"/>
              <w:ind w:right="9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2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Kentucky</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Illinois</w:t>
            </w:r>
          </w:p>
        </w:tc>
        <w:tc>
          <w:tcPr>
            <w:tcW w:w="2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York</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 Carolina</w:t>
            </w:r>
          </w:p>
        </w:tc>
        <w:tc>
          <w:tcPr>
            <w:tcW w:w="2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26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21" w:lineRule="exact"/>
        <w:rPr>
          <w:sz w:val="20"/>
          <w:szCs w:val="20"/>
          <w:color w:val="auto"/>
        </w:rPr>
      </w:pPr>
    </w:p>
    <w:p>
      <w:pPr>
        <w:ind w:right="240" w:firstLine="46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74,683</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 Section 174 Expense</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w:t>
            </w:r>
          </w:p>
        </w:tc>
        <w:tc>
          <w:tcPr>
            <w:tcW w:w="1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basis</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5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188,041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157,186</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(1,729)</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(186,143)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(155,457)</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(94,380)</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tc>
        <w:tc>
          <w:tcPr>
            <w:tcW w:w="1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were as follows (in thousands):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1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155,457</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1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186,143</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155,457</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-2677795</wp:posOffset>
            </wp:positionV>
            <wp:extent cx="102235" cy="1365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-2677795</wp:posOffset>
            </wp:positionV>
            <wp:extent cx="93980" cy="1365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-2677795</wp:posOffset>
            </wp:positionV>
            <wp:extent cx="93980" cy="1365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-1585595</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-1585595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-1302385</wp:posOffset>
            </wp:positionV>
            <wp:extent cx="768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-569595</wp:posOffset>
            </wp:positionV>
            <wp:extent cx="102235" cy="1365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-569595</wp:posOffset>
            </wp:positionV>
            <wp:extent cx="93980" cy="1365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-569595</wp:posOffset>
            </wp:positionV>
            <wp:extent cx="93980" cy="1365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The Company has not generated taxable income since inception with the exception of the year ended December 31, 2024. Due to its history of losses, expected future losses and lack of other positive evidence, the Company determined that it is more likely than not that its net deferred tax assets will not be realized, and therefore, the net deferred tax assets are fully offset by a valuation allowance at December 31, 2025, 2024, and 2023. The Company increased the valuation allowance by $30.7 million, $61.1 million, and $40.6 million for the years ended December 31, 2025, 2024, and 2023, respectively.</w:t>
      </w:r>
    </w:p>
    <w:p>
      <w:pPr>
        <w:spacing w:after="0" w:line="72" w:lineRule="exact"/>
        <w:rPr>
          <w:sz w:val="20"/>
          <w:szCs w:val="20"/>
          <w:color w:val="auto"/>
        </w:rPr>
      </w:pPr>
    </w:p>
    <w:p>
      <w:pPr>
        <w:jc w:val="both"/>
        <w:ind w:right="160" w:firstLine="464"/>
        <w:spacing w:after="0" w:line="289" w:lineRule="auto"/>
        <w:rPr>
          <w:sz w:val="20"/>
          <w:szCs w:val="20"/>
          <w:color w:val="auto"/>
        </w:rPr>
      </w:pPr>
      <w:r>
        <w:rPr>
          <w:rFonts w:ascii="Times New Roman" w:cs="Times New Roman" w:eastAsia="Times New Roman" w:hAnsi="Times New Roman"/>
          <w:sz w:val="17"/>
          <w:szCs w:val="17"/>
          <w:color w:val="auto"/>
        </w:rPr>
        <w:t>As of December 31, 2025, the Company had federal net operating loss carryforwards, or NOLs, of $261.6 million that do not expire and federal tax credits of $39.6 million available to offset tax liabilities that begin to expire in 2041. The Company also has gross state NOLs of $248.1 million and state tax credits of $4.1 million which are available to offset state tax liabilities. The state NOLs begin to expire in 2038 and the state tax credits do not expire.</w:t>
      </w:r>
    </w:p>
    <w:p>
      <w:pPr>
        <w:spacing w:after="0" w:line="50" w:lineRule="exact"/>
        <w:rPr>
          <w:sz w:val="20"/>
          <w:szCs w:val="20"/>
          <w:color w:val="auto"/>
        </w:rPr>
      </w:pPr>
    </w:p>
    <w:p>
      <w:pPr>
        <w:ind w:right="120" w:firstLine="46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a Section 382 study to determine whether an ownership change per the provisions of Section 382 of the Internal Revenue Code, as amended (the Code) as well as similar state provisions, has occurred. The study concluded the Company underwent an ownership change during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 earlier year as defined by the Code. However, based on the study, all of the tax attributes are fully available for use as of December 31, 2024. Any future ownership changes may limit the Company's ability to utilize remaining tax attributes. Any carryforwards that will expire prior to utilization as a result of such additional limitations will be removed from deferred tax assets, with a corresponding reduction of the valuation allowance. Due to the existence of the valuation allowance, limitations created by future ownership changes, if any, will not impact the Company’s effective tax rate.</w:t>
      </w:r>
    </w:p>
    <w:p>
      <w:pPr>
        <w:spacing w:after="0" w:line="72"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accordance with the One Big Beautiful Bill Act (OBBBA), domestic Research and Experimental, or R&amp;E, expenses under Internal Revenue Code Section 174A are allowed an immediate deduction. Under Section 174A, Companies may elect to deduct unamortized amounts paid or incurred in tax years beginning before January 1, 2025, over one or two tax years. The Company is electing to take the deduction over two years.</w:t>
      </w:r>
    </w:p>
    <w:p>
      <w:pPr>
        <w:spacing w:after="0" w:line="68"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In accordance with the Tax Cuts and Jobs Act of 2017, foreign R&amp;E expenses under Code Section 174 are required to be capitalized beginning in 2022. Foreign R&amp;E expenses are required to be amortized over a period of 15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reconciles the beginning and ending amount of unrecognized tax benefits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6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Reductions based on tax positions related to current year</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-980440</wp:posOffset>
            </wp:positionV>
            <wp:extent cx="102235" cy="1365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-980440</wp:posOffset>
            </wp:positionV>
            <wp:extent cx="93980" cy="1365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365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2025, 2024 and 2023, the Company did not recognize accrued interest and penalties related to unrecognized tax benefits.</w:t>
      </w:r>
    </w:p>
    <w:p>
      <w:pPr>
        <w:spacing w:after="0" w:line="68"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California and other state tax jurisdictions. The federal and state income tax returns from December 31, 2018 to December 31, 2024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 savings plan pursuant to Section 401(k) of the Code. All employees are eligible to participate provided that they meet the requirements of the plan. For the year ended December 31, 2025, 2024, and 2023, the Company made matching contributions of $1.9 million, $1.7 million, and $1.3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and one reportable segment, which includes all activities dedicated to developing and commercializing targeted therapies for people of all ages with life-threatening diseases. The determination of a single operating segment is consistent with the consolidated financial information regularly provided to the Company’s chief operating decision maker, or CODM. The Company’s CODM is its Chief Executive Officer, who reviews and evaluates net loss for purposes of assessing performance, making operating decisions, allocating resources, and planning and forecasting for future periods. Our CODM does not evaluate the operating segment using asset or liability information. The operating segment derives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all net product revenues from the sales of OJEMDA in the United States through contractual arrangements with its specialty pharmacy and specialty distributor customers. All of the Company’s assets are located in the United States.</w:t>
      </w:r>
    </w:p>
    <w:p>
      <w:pPr>
        <w:spacing w:after="0" w:line="54" w:lineRule="exact"/>
        <w:rPr>
          <w:sz w:val="20"/>
          <w:szCs w:val="20"/>
          <w:color w:val="auto"/>
        </w:rPr>
      </w:pPr>
    </w:p>
    <w:p>
      <w:pPr>
        <w:ind w:right="440" w:firstLine="464"/>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net loss presented on the Company's consolidated statements of operations, see below for disaggregated amounts that comprise research and development expenses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Third-party CRO, CMO and other third-party clinical trial costs </w:t>
            </w:r>
            <w:r>
              <w:rPr>
                <w:rFonts w:ascii="Times New Roman" w:cs="Times New Roman" w:eastAsia="Times New Roman" w:hAnsi="Times New Roman"/>
                <w:sz w:val="24"/>
                <w:szCs w:val="24"/>
                <w:color w:val="auto"/>
                <w:vertAlign w:val="superscript"/>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agreement related payments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expenses</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148,135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227,702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Costs incurred under agreements with third-party CROs, CMOs, and other third parties that conduct clinical activities on the Company's behalf.</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21"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In November 2025, the Company and Mersana Therapeutics, Inc., or Mersana, entered into an Agreement and Plan of Merger, or the Merger Agreement. Pursuant to the Merger Agreement, the Company commenced a tender offer to acquire all of the issued and outstanding shares of common stock of Mersana, or the Target Shares, for (i) $25.00 net per Target Share, payable in cash, without interest plus (ii) one contingent value right per Target Share which represents the right to receive milestone payments of up to an aggregate of $30.25 per share in cash upon the achievement of certain specified milestones in accordance with the terms and subject to the conditions of a contingent value rights agreement.</w:t>
      </w:r>
    </w:p>
    <w:p>
      <w:pPr>
        <w:spacing w:after="0" w:line="75"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On January 6, 2026, the transaction closed and the Company acquired all outstanding shares of Mersana common stock at a price of $25.00 per share in cash, plus one non-tradable CVR per share to receive certain potential milestone payments of up to an aggregate of $30.25 per CVR in cash, for total consideration of up to $55.25 per share in cash. The aggregate cash paid was approximately $128.8 million. The CVR is payable subject to certain terms and conditions of achievement of specified milestones. The transaction positions the Company for expansion of its oncology portfolio, adding emiltatug ledadotin, or Emi-Le, a potential first-in-class monotherapy for patients with adenoid cystic carcinoma, or ACC, an aggressive cancer with a well-defined patient population and high unmet need, most often arising from the salivary gland.</w:t>
      </w:r>
    </w:p>
    <w:p>
      <w:pPr>
        <w:spacing w:after="0" w:line="79"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This transaction was a nonrecognized subsequent event that was not reflected in the Company's consolidated financial statements as of December 31, 2025. The Company expects to recognize a material amount of intangible assets and goodwill. The Company is unable to reasonably estimate the financial impact of this transaction, including the fair value of assets acquired and liabilities assumed, as the valuation process has not yet been finalized.</w:t>
      </w:r>
    </w:p>
    <w:p>
      <w:pPr>
        <w:spacing w:after="0" w:line="68"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On February 18, 2026, the Company received notification that Janssen Biotech, Inc., or Janssen, achieved a development milestone under the Research Collaboration and License Agreement originally entered into between Mersana and Janssen, or the Janssen License Agreement, which was assumed by the Company in connection with the acquisition of Mersana. As a result of the milestone achievement, Janssen is obligated to make a payment of $8.0 million to the Company pursuant to the terms of the Janssen License Agreement.</w:t>
      </w:r>
    </w:p>
    <w:p>
      <w:pPr>
        <w:spacing w:after="0" w:line="72" w:lineRule="exact"/>
        <w:rPr>
          <w:sz w:val="20"/>
          <w:szCs w:val="20"/>
          <w:color w:val="auto"/>
        </w:rPr>
      </w:pPr>
    </w:p>
    <w:p>
      <w:pPr>
        <w:jc w:val="both"/>
        <w:ind w:right="160" w:firstLine="469"/>
        <w:spacing w:after="0" w:line="266" w:lineRule="auto"/>
        <w:rPr>
          <w:sz w:val="20"/>
          <w:szCs w:val="20"/>
          <w:color w:val="auto"/>
        </w:rPr>
      </w:pPr>
      <w:r>
        <w:rPr>
          <w:rFonts w:ascii="Times New Roman" w:cs="Times New Roman" w:eastAsia="Times New Roman" w:hAnsi="Times New Roman"/>
          <w:sz w:val="18"/>
          <w:szCs w:val="18"/>
          <w:color w:val="auto"/>
        </w:rPr>
        <w:t>In addition, pursuant to the Contingent Value Rights Agreement, dated January 6, 2026, or the CVR Agreement, by and between the Company and Computershare Trust Company, N.A., as rights agent, the achievement of this milestone entitles each holder of a CVR to receive a cash payment of $1.25 per CVR, subject to the terms and conditions of the CVR Agreement.</w:t>
      </w:r>
    </w:p>
    <w:p>
      <w:pPr>
        <w:spacing w:after="0" w:line="68" w:lineRule="exact"/>
        <w:rPr>
          <w:sz w:val="20"/>
          <w:szCs w:val="20"/>
          <w:color w:val="auto"/>
        </w:rPr>
      </w:pPr>
    </w:p>
    <w:p>
      <w:pPr>
        <w:ind w:right="320" w:firstLine="469"/>
        <w:spacing w:after="0" w:line="282" w:lineRule="auto"/>
        <w:rPr>
          <w:sz w:val="20"/>
          <w:szCs w:val="20"/>
          <w:color w:val="auto"/>
        </w:rPr>
      </w:pPr>
      <w:r>
        <w:rPr>
          <w:rFonts w:ascii="Times New Roman" w:cs="Times New Roman" w:eastAsia="Times New Roman" w:hAnsi="Times New Roman"/>
          <w:sz w:val="18"/>
          <w:szCs w:val="18"/>
          <w:color w:val="auto"/>
        </w:rPr>
        <w:t>The milestone was achieved subsequent to December 31, 2025. Accordingly, this event represents a nonrecognized subsequent event and has not been reflected in the Company’s consolidated financial statements as of and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DAY ONE BIOPHARMACEUTICALS,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EQUITY DEFERRAL PLAN</w:t>
      </w:r>
    </w:p>
    <w:p>
      <w:pPr>
        <w:spacing w:after="0" w:line="20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Day One Biopharmaceuticals,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hereby establishes the Day One Biopharmaceuticals Director Equity Deferral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effective on the Effective Date (as defined below). The purpose of the Plan is to attract and retain members of the Board by providing such persons with an opportunity to defer receipt of a portion of their equity awards as provided in the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7"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For purposes of the Plan, the following words and phrases shall have the meanings set forth below, unless their context clearly requires a different meaning: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means the Board or a committee thereof or of Company officers appointed as such by the Board.</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Group</w:t>
      </w:r>
      <w:r>
        <w:rPr>
          <w:rFonts w:ascii="Times New Roman" w:cs="Times New Roman" w:eastAsia="Times New Roman" w:hAnsi="Times New Roman"/>
          <w:sz w:val="20"/>
          <w:szCs w:val="20"/>
          <w:color w:val="auto"/>
        </w:rPr>
        <w:t>” means (a) the Company, and (b) all entities with whom the Company would be considered a single employer under Sections 414(b) and 414(c) of the Code, provided that in applying Section 1563(a)(1), (2), and (3) of the Code for purposes of determining a controlled group of corporations under Section 414(b) of the Code, the language “at least 50 percent” is used instead of “at least 80 percent” each place it appears in Section 1563(a)(1), (2), and (3), and in applying Treasury Regulation Section 1.414(c)-2 for purposes of determining trades or businesses (whether or not incorporated) that are under common control for purposes of Section 414(c), “at least 50 percent” is used instead of “at least 80 percent” each place it appears in that regulation. Such term shall be interpreted in a manner consistent with the definition of “service recipient” contained in Section 409A of the Code.</w:t>
      </w:r>
    </w:p>
    <w:p>
      <w:pPr>
        <w:spacing w:after="0" w:line="19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Beneficiary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Beneficiaries</w:t>
      </w:r>
      <w:r>
        <w:rPr>
          <w:rFonts w:ascii="Times New Roman" w:cs="Times New Roman" w:eastAsia="Times New Roman" w:hAnsi="Times New Roman"/>
          <w:sz w:val="20"/>
          <w:szCs w:val="20"/>
          <w:color w:val="auto"/>
        </w:rPr>
        <w:t>” means the person or persons, including one or more trusts, designated by a Participant in accordance with the Plan to receive distribution of any Shares subject to any deferred Equity Awards in the event of the death of the Participant prior to the Participant's receipt of any such Shares.</w:t>
      </w:r>
    </w:p>
    <w:p>
      <w:pPr>
        <w:spacing w:after="0" w:line="18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Beneficiary Designation Form</w:t>
      </w:r>
      <w:r>
        <w:rPr>
          <w:rFonts w:ascii="Times New Roman" w:cs="Times New Roman" w:eastAsia="Times New Roman" w:hAnsi="Times New Roman"/>
          <w:sz w:val="20"/>
          <w:szCs w:val="20"/>
          <w:color w:val="auto"/>
        </w:rPr>
        <w:t>” means the form established from time to time by the Administrator (in a paper or electronic format) that a Participant may complete, sign and return to the Company to designate one or more Beneficiaries.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“change in control event” as defined in Treasury Regulation 1.409A-3(i)(5); provided, however, that a “change in effective control” of the Company pursuant to Treasury Regulation 1.409A-3(i)(5)(vi), shall not constitute a Change in Control for purposes of this Plan.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Day One Biopharmaceuticals, Inc. and its successors, including, without limitation, the surviving corporation resulting from any merger or consolidation of Day One Biopharmaceuticals, Inc. with any other corporation, limited liability company, joint venture, partnership or other entity or entities.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Deferral Election</w:t>
      </w:r>
      <w:r>
        <w:rPr>
          <w:rFonts w:ascii="Times New Roman" w:cs="Times New Roman" w:eastAsia="Times New Roman" w:hAnsi="Times New Roman"/>
          <w:sz w:val="20"/>
          <w:szCs w:val="20"/>
          <w:color w:val="auto"/>
        </w:rPr>
        <w:t>” means the Participant's election on a form approved by the Administrator (in a paper or electronic format) to defer all or a portion of the Participant’s Equity Awards in accordance with the provisions of Article III.</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[Date].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means any grants of Restricted Stock Units granted by any member of the Affiliated Group during a Plan Year, prior to the application of any deferrals under this Plan; provided, however, that Equity Awards shall not include any Equity Awards of which all or a portion has been deferred pursuant to any other Company plan. For the avoidance of doubt, any Equity Awards deferred under this Plan shall be granted pursuant to the Company’s equity incentive plan and shall be subject to individual award agreements (providing, among other things, for any applicable dividend equivalent rights (if any)). For the avoidance of doubt, “Equity Awards” shall not include any grants of stock options.</w:t>
      </w:r>
    </w:p>
    <w:p>
      <w:pPr>
        <w:spacing w:after="0" w:line="19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any member of the Board who at any time has elected to defer the receipt of Equity Awards in accordance with the Plan.</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Day One Biopharmaceuticals Director Equity Deferral Plan, as it may be amended from time to 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Year</w:t>
      </w:r>
      <w:r>
        <w:rPr>
          <w:rFonts w:ascii="Times New Roman" w:cs="Times New Roman" w:eastAsia="Times New Roman" w:hAnsi="Times New Roman"/>
          <w:sz w:val="20"/>
          <w:szCs w:val="20"/>
          <w:color w:val="auto"/>
        </w:rPr>
        <w:t>” means the period from the Effective Date through December 31, 2025 and each calendar year beginning thereafter.</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Stock Unit</w:t>
      </w:r>
      <w:r>
        <w:rPr>
          <w:rFonts w:ascii="Times New Roman" w:cs="Times New Roman" w:eastAsia="Times New Roman" w:hAnsi="Times New Roman"/>
          <w:sz w:val="20"/>
          <w:szCs w:val="20"/>
          <w:color w:val="auto"/>
        </w:rPr>
        <w:t>” means an award of restricted stock units granted pursuant to the Company’s 2021 Equity Incentive Plan (or any subsequent equity incentive plan adopted by the Company or any member of the Affiliated Group) covering a number of Shares that may be settled in cash or by issuance of those Shares upon vesting.</w:t>
      </w:r>
    </w:p>
    <w:p>
      <w:pPr>
        <w:spacing w:after="0" w:line="18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 means a Participant’s termination of employment or service with the Affiliated Group, other than as a result of the Participant’s death, in such a manner as to constitute a “separation from service” as defined under Section 409A of the Code.</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Employee</w:t>
      </w:r>
      <w:r>
        <w:rPr>
          <w:rFonts w:ascii="Times New Roman" w:cs="Times New Roman" w:eastAsia="Times New Roman" w:hAnsi="Times New Roman"/>
          <w:sz w:val="20"/>
          <w:szCs w:val="20"/>
          <w:color w:val="auto"/>
        </w:rPr>
        <w:t>” means a “specified employee” as determined by the Company in accordance with Section 409A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Unforeseeable Emergency</w:t>
      </w:r>
      <w:r>
        <w:rPr>
          <w:rFonts w:ascii="Times New Roman" w:cs="Times New Roman" w:eastAsia="Times New Roman" w:hAnsi="Times New Roman"/>
          <w:sz w:val="20"/>
          <w:szCs w:val="20"/>
          <w:color w:val="auto"/>
        </w:rPr>
        <w:t>” means an “unforeseeable emergency” as defined under Section 409A of the Code. In general, for purposes of Section 409A of the Code, an “unforeseeable emergency” means a severe financial hardship to a Participant resulting from an illness or accident of the Participant, the Participant’s spouse, the Participant’s Beneficiary, or the Participant’s dependent (as defined in Section 152 of the Code,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20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2.1. Eligibility</w:t>
      </w:r>
      <w:r>
        <w:rPr>
          <w:rFonts w:ascii="Times New Roman" w:cs="Times New Roman" w:eastAsia="Times New Roman" w:hAnsi="Times New Roman"/>
          <w:sz w:val="20"/>
          <w:szCs w:val="20"/>
          <w:color w:val="auto"/>
        </w:rPr>
        <w:t>. Participation in the Plan is limited to any member of the board of directors of any Affiliated Group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selected by the Administrator, in its sole discretion, to participate in the Plan (each an “</w:t>
      </w:r>
      <w:r>
        <w:rPr>
          <w:rFonts w:ascii="Times New Roman" w:cs="Times New Roman" w:eastAsia="Times New Roman" w:hAnsi="Times New Roman"/>
          <w:sz w:val="20"/>
          <w:szCs w:val="20"/>
          <w:b w:val="1"/>
          <w:bCs w:val="1"/>
          <w:color w:val="auto"/>
        </w:rPr>
        <w:t>Eligible Participant</w:t>
      </w:r>
      <w:r>
        <w:rPr>
          <w:rFonts w:ascii="Times New Roman" w:cs="Times New Roman" w:eastAsia="Times New Roman" w:hAnsi="Times New Roman"/>
          <w:sz w:val="20"/>
          <w:szCs w:val="20"/>
          <w:color w:val="auto"/>
        </w:rPr>
        <w:t>”). In lieu of designating individual Eligible Participants for Plan participation, the Administrator may establish eligibility criteria (consistent with the requirements of this Section 2.1) providing for participation of all Eligible Participants who satisfy such criteria. The Administrator may at any time, in its sole discretion, change the eligibility criteria for Eligible Participants, or determine that one or more Participants will cease to be an Eligible Participant.</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2.2. Enrollment Requirements</w:t>
      </w:r>
      <w:r>
        <w:rPr>
          <w:rFonts w:ascii="Times New Roman" w:cs="Times New Roman" w:eastAsia="Times New Roman" w:hAnsi="Times New Roman"/>
          <w:sz w:val="20"/>
          <w:szCs w:val="20"/>
          <w:color w:val="auto"/>
        </w:rPr>
        <w:t>. Except as otherwise determined by the Administrator, as a condition to participation,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Participant shall complete, execute and return to the Company a Deferral Election no later than the date or dates specified by the Administrator in accordance with the Plan. In addition, the Administrator may establish from time to time such other enrollment requirements as it determines in its sole discretion are necessary.</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2.3. Commencement Date</w:t>
      </w:r>
      <w:r>
        <w:rPr>
          <w:rFonts w:ascii="Times New Roman" w:cs="Times New Roman" w:eastAsia="Times New Roman" w:hAnsi="Times New Roman"/>
          <w:sz w:val="20"/>
          <w:szCs w:val="20"/>
          <w:color w:val="auto"/>
        </w:rPr>
        <w:t>. Except as otherwise may be provided by the Administrator pursuant to Section 3.1, each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eligible to commence participation in accordance with the terms and conditions of this Plan effective as of January 1 of the Plan Year next following the Plan Year in which he or she becomes an Eligible Participant pursuant to Section 2.1. Notwithstanding the foregoing, the Administrator, in its sole discretion, may permit an Eligible Participant to commence participation in the Plan upon such earlier date as may be specified by the Administrator, consistent with the Plan and the provisions of the Code (including, without limitation, Section 409A) and as pursuant to section 3.1. For the avoidance of doubt and notwithstanding any other provision of the Plan to the contrary, those Eligible Participant selected by the Administrator for the Plan Year beginning on the Effective Date shall be required to make any Deferral Election with respect to such Plan Year no later than June 1, 2025 and may commence participation in the Plan on the Effective Date.</w:t>
      </w:r>
    </w:p>
    <w:p>
      <w:pPr>
        <w:spacing w:after="0" w:line="199" w:lineRule="exact"/>
        <w:rPr>
          <w:sz w:val="20"/>
          <w:szCs w:val="20"/>
          <w:color w:val="auto"/>
        </w:rPr>
      </w:pPr>
    </w:p>
    <w:p>
      <w:pPr>
        <w:ind w:left="7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2.4.</w:t>
        <w:tab/>
        <w:t>Termination</w:t>
      </w:r>
      <w:r>
        <w:rPr>
          <w:rFonts w:ascii="Times New Roman" w:cs="Times New Roman" w:eastAsia="Times New Roman" w:hAnsi="Times New Roman"/>
          <w:sz w:val="20"/>
          <w:szCs w:val="20"/>
          <w:color w:val="auto"/>
        </w:rPr>
        <w:t>. An Eligible Participant’s right (if any) to defer Equity Awards shall immediately cease upon a termination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DEFERRAL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3.1. Certain Newly Eligible Participants</w:t>
      </w:r>
      <w:r>
        <w:rPr>
          <w:rFonts w:ascii="Times New Roman" w:cs="Times New Roman" w:eastAsia="Times New Roman" w:hAnsi="Times New Roman"/>
          <w:sz w:val="20"/>
          <w:szCs w:val="20"/>
          <w:color w:val="auto"/>
        </w:rPr>
        <w:t>. Newly Eligible Participants shall be permitted to make initial Deferral Elections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Plan Year in which such Eligible Participants are first eligible to participate in the Plan (and in any other plan that would be aggregated with the Plan under Section 409A of the Code, as determined in accordance with Treasury Regulation Section 1.409A-2(a)(7)); provided, however, that such Deferrals Election (a) are made and become irrevocable no later than the 30th day after the date that such Eligible Participants first become eligible to participate in the Plan (or by such earlier date as specified by the Administrator), and (b) shall apply only to Equity Awards granted after the date that the Deferral Elections become irrevocable; as determined by the Administrator in accordance with Section 409A of the Code.</w:t>
      </w:r>
    </w:p>
    <w:p>
      <w:pPr>
        <w:spacing w:after="0" w:line="19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3.2. Annual Deferral Elections</w:t>
      </w:r>
      <w:r>
        <w:rPr>
          <w:rFonts w:ascii="Times New Roman" w:cs="Times New Roman" w:eastAsia="Times New Roman" w:hAnsi="Times New Roman"/>
          <w:sz w:val="20"/>
          <w:szCs w:val="20"/>
          <w:color w:val="auto"/>
        </w:rPr>
        <w:t>. Except as otherwise determined by the Administrator or as set forth in Sections 2.3 or 3.1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 Deferral Election with respect to Equity Awards must be filed with the Company by, and shall become irrevocable as of December 31 (or such earlier date as specified by the Administrator) of the Plan Year immediately preceding the Plan Year for which such Equity Awards would be granted.</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3.3. Amount Deferred</w:t>
      </w:r>
      <w:r>
        <w:rPr>
          <w:rFonts w:ascii="Times New Roman" w:cs="Times New Roman" w:eastAsia="Times New Roman" w:hAnsi="Times New Roman"/>
          <w:sz w:val="20"/>
          <w:szCs w:val="20"/>
          <w:color w:val="auto"/>
        </w:rPr>
        <w:t>. A Participant shall designate on each Deferral Election whether he or she wishes to defer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Equity Awards with respect to the applicable Plan Year in accordance with this Article III. For each Plan Year, a Participant may only choose to elect 0% or 100% of his or her applicable Equity Awards; for the avoidance of doubt, a Participant may not elect to defer only a portion of his or her Equity Awards. To the extent that any Equity Award deferred pursuant to this Plan was granted with dividend equivalent rights, any such dividend equivalents shall be credited to the Participant and settled pursuant to the schedule specified in the applicable Deferral Election or otherwise pursuant to the terms of this Plan.</w:t>
      </w:r>
    </w:p>
    <w:p>
      <w:pPr>
        <w:spacing w:after="0" w:line="19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3.4. Elections as to Timing of Settlement</w:t>
      </w:r>
      <w:r>
        <w:rPr>
          <w:rFonts w:ascii="Times New Roman" w:cs="Times New Roman" w:eastAsia="Times New Roman" w:hAnsi="Times New Roman"/>
          <w:sz w:val="20"/>
          <w:szCs w:val="20"/>
          <w:color w:val="auto"/>
        </w:rPr>
        <w:t>. Each Deferral Election will specify the allocation of the Participant’s deferrals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Year in accordance with this Plan.</w:t>
      </w:r>
    </w:p>
    <w:p>
      <w:pPr>
        <w:spacing w:after="0" w:line="156" w:lineRule="exact"/>
        <w:rPr>
          <w:sz w:val="20"/>
          <w:szCs w:val="20"/>
          <w:color w:val="auto"/>
        </w:rPr>
      </w:pPr>
    </w:p>
    <w:p>
      <w:pPr>
        <w:jc w:val="both"/>
        <w:ind w:firstLine="1505"/>
        <w:spacing w:after="0" w:line="246" w:lineRule="auto"/>
        <w:tabs>
          <w:tab w:leader="none" w:pos="195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 Deferral Elections</w:t>
      </w:r>
      <w:r>
        <w:rPr>
          <w:rFonts w:ascii="Times New Roman" w:cs="Times New Roman" w:eastAsia="Times New Roman" w:hAnsi="Times New Roman"/>
          <w:sz w:val="20"/>
          <w:szCs w:val="20"/>
          <w:color w:val="auto"/>
        </w:rPr>
        <w:t>. On each Deferral Election with respect to a Plan Year, the Participant may elect the time upon which settlement of such deferred Equity Awards will be made, as set forth below; provided, however, that if Participant elects to receive his or her settlement in a specified calendar year, then such calendar year must be no earlier than the second calendar year after the Plan Year to which such Deferral Election relates. A Participant may elect to receive settlement of each such deferred Equity Award, subject to the provisions of Article IV, according to one of the following schedules:</w:t>
      </w:r>
    </w:p>
    <w:p>
      <w:pPr>
        <w:spacing w:after="0" w:line="198"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in a specified calendar year;</w:t>
      </w:r>
    </w:p>
    <w:p>
      <w:pPr>
        <w:spacing w:after="0" w:line="229" w:lineRule="exact"/>
        <w:rPr>
          <w:rFonts w:ascii="Times New Roman" w:cs="Times New Roman" w:eastAsia="Times New Roman" w:hAnsi="Times New Roman"/>
          <w:sz w:val="20"/>
          <w:szCs w:val="20"/>
          <w:color w:val="auto"/>
        </w:rPr>
      </w:pPr>
    </w:p>
    <w:p>
      <w:pPr>
        <w:ind w:left="2700" w:hanging="446"/>
        <w:spacing w:after="0"/>
        <w:tabs>
          <w:tab w:leader="none" w:pos="27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upon Participant’s Separation from Service.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the foregoing, in no event shall any Equity Award deferred pursuant to this Plan be settled prior to the date on which such Equity Award has vested in full. To the extent that any deferral pursuant to this Plan would otherwise result in settlement prior to the date on which an Equity Award is vested in full, such Equity Award shall be settled following the final vesting date of such Equity Award. To the extent that any termination of service of a Participant occurs prior to the date that a deferred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have vested, then such unvested portion of such deferred Equity Award shall be forfeit and shall not be settled pursuant to this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Subject to the provisions of Article IV, settlement pursuant to Sections 3.4(a)(i) shall occur during January of the calendar year specified in the applicable Deferral Election. Pursuant to a validly executed and timely submitted Deferral Election, Participant may choose a different calendar year for payment of each deferred Equity Award in accordance with this Section 3.4(a).</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Notwithstanding the foregoing, any deferral of Equity Awards pursuant to the Plan shall expire and any amounts so deferred shall be settled as a single delivery of shares, upon the earliest of any of the following (v) Participant’s Separation from Service as described in Section 4.3,</w:t>
      </w:r>
    </w:p>
    <w:p>
      <w:pPr>
        <w:spacing w:after="0" w:line="2" w:lineRule="exact"/>
        <w:rPr>
          <w:sz w:val="20"/>
          <w:szCs w:val="20"/>
          <w:color w:val="auto"/>
        </w:rPr>
      </w:pPr>
    </w:p>
    <w:p>
      <w:pPr>
        <w:ind w:firstLine="8"/>
        <w:spacing w:after="0" w:line="246" w:lineRule="auto"/>
        <w:tabs>
          <w:tab w:leader="none" w:pos="3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death as described in Section 4.4, (x) a Change in Control of the Company, or, if permitted by the Administrator, upon either of (y) Participant’s disability as described in Section 3.5(b), or (z) an Unforeseeable Emergency as described in Section 4.5.</w:t>
      </w:r>
    </w:p>
    <w:p>
      <w:pPr>
        <w:spacing w:after="0" w:line="19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2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Time and Form of Payment</w:t>
      </w:r>
      <w:r>
        <w:rPr>
          <w:rFonts w:ascii="Times New Roman" w:cs="Times New Roman" w:eastAsia="Times New Roman" w:hAnsi="Times New Roman"/>
          <w:sz w:val="20"/>
          <w:szCs w:val="20"/>
          <w:color w:val="auto"/>
        </w:rPr>
        <w:t>. To the extent that a Participant does not designate the time and form of payment of a deferred Equity Award on a Deferral Election as provided in Section 3.4(a) (or such designation does not comply with the terms of the Plan), the Participant’s deferrals for the applicable Plan Year shall be deemed to have elected that such deferred Equity Award shall be settled, subject to the provisions of Article IV, in the fifth calendar year after the Plan Year to which such Deferral Election would have related, had it been made.</w:t>
      </w:r>
    </w:p>
    <w:p>
      <w:pPr>
        <w:spacing w:after="0" w:line="194"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Duration and Cancellation of Deferral Elections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505"/>
        <w:spacing w:after="0" w:line="244" w:lineRule="auto"/>
        <w:tabs>
          <w:tab w:leader="none" w:pos="194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Once irrevocable, a Deferral Election shall only be effective for the Plan Year with respect to which such election was timely filed with the Administrator. Notwithstanding the preceding sentence, the Administrator may provide in advance, in its sole discretion, that any Deferral Elections shall apply from Plan Year to Plan Year, until terminated or modified prospectively by a Participant in accordance with the terms of this Article III by the applicable deadlines. Any such “evergreen” Deferral Elections so provided for by the Administrator will become effective with respect to Equity Awards on the date such election becomes irrevocable under this Article III. Except as provided in Section 3.5(b) hereof, a Deferral Election, once irrevocable, cannot be cancelled or modified during a Plan Year.</w:t>
      </w:r>
    </w:p>
    <w:p>
      <w:pPr>
        <w:spacing w:after="0" w:line="185" w:lineRule="exact"/>
        <w:rPr>
          <w:rFonts w:ascii="Times New Roman" w:cs="Times New Roman" w:eastAsia="Times New Roman" w:hAnsi="Times New Roman"/>
          <w:sz w:val="20"/>
          <w:szCs w:val="20"/>
          <w:color w:val="auto"/>
        </w:rPr>
      </w:pPr>
    </w:p>
    <w:p>
      <w:pPr>
        <w:ind w:left="1980" w:hanging="425"/>
        <w:spacing w:after="0"/>
        <w:tabs>
          <w:tab w:leader="none" w:pos="19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351"/>
        <w:spacing w:after="0" w:line="245" w:lineRule="auto"/>
        <w:tabs>
          <w:tab w:leader="none" w:pos="2917"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cancel a Participant’s Deferral Election where such cancellation occurs by the later of the end of the Plan Year in which the Participant incurs a “disability” or the 15th day of the third month following the date the Participant incurs a “disability.” For purposes of this Section 3.5(b)(i), a disability refers to any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8" w:lineRule="exact"/>
        <w:rPr>
          <w:sz w:val="20"/>
          <w:szCs w:val="20"/>
          <w:color w:val="auto"/>
        </w:rPr>
      </w:pPr>
    </w:p>
    <w:p>
      <w:pPr>
        <w:ind w:firstLine="2254"/>
        <w:spacing w:after="0" w:line="269" w:lineRule="auto"/>
        <w:tabs>
          <w:tab w:leader="none" w:pos="29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cancel a Participant’s Deferral Election due to an Unforeseeable Emergency or a hardship distribution pursuant to Treasury Regulation Section 1.401(k)-1(d)(3).</w:t>
      </w:r>
    </w:p>
    <w:p>
      <w:pPr>
        <w:spacing w:after="0" w:line="172" w:lineRule="exact"/>
        <w:rPr>
          <w:rFonts w:ascii="Times New Roman" w:cs="Times New Roman" w:eastAsia="Times New Roman" w:hAnsi="Times New Roman"/>
          <w:sz w:val="20"/>
          <w:szCs w:val="20"/>
          <w:color w:val="auto"/>
        </w:rPr>
      </w:pPr>
    </w:p>
    <w:p>
      <w:pPr>
        <w:jc w:val="both"/>
        <w:ind w:firstLine="2254"/>
        <w:spacing w:after="0" w:line="254" w:lineRule="auto"/>
        <w:tabs>
          <w:tab w:leader="none" w:pos="27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Participant’s Deferral Election is cancelled with respect to a particular Plan Year in accordance with this Section 3.5(b), such Participant may make a new Deferral Election for a subsequent Plan Year, as the case may be, only in accordance with Section 3.2 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SETTLEMENTS</w:t>
      </w:r>
    </w:p>
    <w:p>
      <w:pPr>
        <w:spacing w:after="0" w:line="203"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4.1. Date of Settlement</w:t>
      </w:r>
      <w:r>
        <w:rPr>
          <w:rFonts w:ascii="Times New Roman" w:cs="Times New Roman" w:eastAsia="Times New Roman" w:hAnsi="Times New Roman"/>
          <w:sz w:val="20"/>
          <w:szCs w:val="20"/>
          <w:color w:val="auto"/>
        </w:rPr>
        <w:t>. Except as otherwise provided in this Article IV, a Participant’s deferred Equity Awards shall be settled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applicable time and form of payment/settlement determined for each deferred Equity Award pursuant to Section 3.4.</w:t>
      </w:r>
    </w:p>
    <w:p>
      <w:pPr>
        <w:spacing w:after="0" w:line="169" w:lineRule="exact"/>
        <w:rPr>
          <w:sz w:val="20"/>
          <w:szCs w:val="20"/>
          <w:color w:val="auto"/>
        </w:rPr>
      </w:pPr>
    </w:p>
    <w:p>
      <w:pPr>
        <w:jc w:val="both"/>
        <w:ind w:firstLine="1505"/>
        <w:spacing w:after="0" w:line="254" w:lineRule="auto"/>
        <w:tabs>
          <w:tab w:leader="none" w:pos="192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w:t>
      </w:r>
      <w:r>
        <w:rPr>
          <w:rFonts w:ascii="Times New Roman" w:cs="Times New Roman" w:eastAsia="Times New Roman" w:hAnsi="Times New Roman"/>
          <w:sz w:val="20"/>
          <w:szCs w:val="20"/>
          <w:color w:val="auto"/>
        </w:rPr>
        <w:t>. In general, the vested Equity Awards deferred by a Participant shall be settled at the time specified by the Participant for such Equity Awards in accordance with Section 3.4(a) hereof, or if earlier, following the Participant’s Separation from Service or death.</w:t>
      </w:r>
    </w:p>
    <w:p>
      <w:pPr>
        <w:spacing w:after="0" w:line="187"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3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Deferral Elections</w:t>
      </w:r>
      <w:r>
        <w:rPr>
          <w:rFonts w:ascii="Times New Roman" w:cs="Times New Roman" w:eastAsia="Times New Roman" w:hAnsi="Times New Roman"/>
          <w:sz w:val="20"/>
          <w:szCs w:val="20"/>
          <w:color w:val="auto"/>
        </w:rPr>
        <w:t>. A Participant may elect, on a form provided by the Administrator in accordance with this Section 4.1(b), to change the time and/or form of settlement with respect to one or more of his or her deferred Equity Awards to a later time in accordance with this Section 4.1(b) (a “Subsequent Deferral Election”). A Participant may make no more than one Subsequent Deferral Election with respect to each Equity Award. Any such Subsequent Deferral Election must be filed with the Administrator at least twelve (12) months prior to the first day of the calendar year that the deferred Equity Award would otherwise have been settled under the Plan, in accordance with the subsequent deferral election guidance provided under Section 409A of the Code. Any such Subsequent Deferral Election may not go into effect until at least twelve (12) months following the date on which such election is made. On each such Subsequent Deferral Election, the Participant must delay the payment date for a period of at least five (5) years after the first day of the calendar year that the deferred Equity Award would otherwise have been settled under the Plan, except with respect to settlement in the event of the Participant’s death.</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4.2. Form of Settlement of Deferred Equity Awards</w:t>
      </w:r>
      <w:r>
        <w:rPr>
          <w:rFonts w:ascii="Times New Roman" w:cs="Times New Roman" w:eastAsia="Times New Roman" w:hAnsi="Times New Roman"/>
          <w:sz w:val="20"/>
          <w:szCs w:val="20"/>
          <w:color w:val="auto"/>
        </w:rPr>
        <w:t>. Any Equity Awards deferred pursuant to this Plan shall be settled in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to the extent permitted under the applicable equity plan and at the election of the Administrator, settled in cash) pursuant to the schedule(s) set forth in the applicable Deferral Election(s) and in accordance with the terms of this Plan.</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4.3. Termination of Participant</w:t>
      </w:r>
      <w:r>
        <w:rPr>
          <w:rFonts w:ascii="Times New Roman" w:cs="Times New Roman" w:eastAsia="Times New Roman" w:hAnsi="Times New Roman"/>
          <w:sz w:val="20"/>
          <w:szCs w:val="20"/>
          <w:color w:val="auto"/>
        </w:rPr>
        <w:t>. Notwithstanding any other provision of this Plan, in the event of the Participant’s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Service, the remaining amount of all of the Participant’s deferred Equity Awards shall be settled as soon as administratively practicable following the date of the Participant’s Separation from Service consistent with Section 4.9. Notwithstanding the foregoing, to the extent required by Section 409A of the Code, in no event may payments triggered by the Separation from Service of a Specified Employee be paid or commence until the first business day following six months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Employee’s Separation from Service (or if earlier, within 90 days after the Specified Employee’s death).</w:t>
      </w:r>
    </w:p>
    <w:p>
      <w:pPr>
        <w:spacing w:after="0" w:line="22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4.4. Death of Participant</w:t>
      </w:r>
      <w:r>
        <w:rPr>
          <w:rFonts w:ascii="Times New Roman" w:cs="Times New Roman" w:eastAsia="Times New Roman" w:hAnsi="Times New Roman"/>
          <w:sz w:val="20"/>
          <w:szCs w:val="20"/>
          <w:color w:val="auto"/>
        </w:rPr>
        <w:t>. Notwithstanding any other provision of this Plan, in the event of the Participant’s death, the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remaining deferred Equity Awards shall be settled and any shares issued to the Participant’s Beneficiary or Beneficiaries designated on a Beneficiary Designation Form (or, if no such Beneficiary, to the Participant’s estate) as soon as administratively practicable following the date of the Participant’s death. A Participant’s Beneficiary Designation Form may be changed at any time prior to his death by the execution and delivery of a new Beneficiary Designation Form. The Beneficiary Designation Form on file with the Administrator that bears the latest date at the time of the Participant’s death shall govern. If a Participant fails to properly designate a Beneficiary in accordance with this Section 4.4, then settlement pursuant to this Section 4.4 shall be made to the Participant’s estate. In the event of any dispute between a Participant’s Beneficiary Designation Form duly filed with the Company and probate, the Company may deem the Beneficiary designed on such Beneficiary Designation Form to be controlling, as determined by the Company in its sole discretion.</w:t>
      </w:r>
    </w:p>
    <w:p>
      <w:pPr>
        <w:spacing w:after="0" w:line="19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4.5. Withdrawal Due to Unforeseeable Emergency</w:t>
      </w:r>
      <w:r>
        <w:rPr>
          <w:rFonts w:ascii="Times New Roman" w:cs="Times New Roman" w:eastAsia="Times New Roman" w:hAnsi="Times New Roman"/>
          <w:sz w:val="20"/>
          <w:szCs w:val="20"/>
          <w:color w:val="auto"/>
        </w:rPr>
        <w:t>. A Participant shall have the right to request, on a form provided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to an accelerated settlement of all or a portion of the Participant’s vested deferred Equity Awards if the Participant experiences an Unforeseeable Emergency. The Administrator shall have the sole discretion to determine whether to grant such a request and the amount to be settled pursuant to such request.</w:t>
      </w:r>
    </w:p>
    <w:p>
      <w:pPr>
        <w:spacing w:after="0" w:line="193" w:lineRule="exact"/>
        <w:rPr>
          <w:sz w:val="20"/>
          <w:szCs w:val="20"/>
          <w:color w:val="auto"/>
        </w:rPr>
      </w:pPr>
    </w:p>
    <w:p>
      <w:pPr>
        <w:jc w:val="both"/>
        <w:ind w:firstLine="1505"/>
        <w:spacing w:after="0" w:line="241" w:lineRule="auto"/>
        <w:tabs>
          <w:tab w:leader="none" w:pos="206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Unforeseeable Emergency</w:t>
      </w:r>
      <w:r>
        <w:rPr>
          <w:rFonts w:ascii="Times New Roman" w:cs="Times New Roman" w:eastAsia="Times New Roman" w:hAnsi="Times New Roman"/>
          <w:sz w:val="20"/>
          <w:szCs w:val="20"/>
          <w:color w:val="auto"/>
        </w:rPr>
        <w:t>. Whether a Participant is faced with an unforeseeable emergency permitting a settlement under this Section 4 is to be determined by the Administrator based on the relevant facts and circumstances of each case, but, in any case, a settlement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 Settlements because of an Unforeseeable Emergency must be limited to the amount reasonably necessary to satisfy the emergency need (which may include amounts necessary to pay any Federal, state, local, or foreign income taxes or penalties reasonably anticipated to result from the settlement). Determinations of amounts reasonably necessary to satisfy the emergency need must take into account any additional compensation that is available upon the cancellation of a Deferral Election upon a settlement due to an Unforeseeable Emergency. However, the determination of amounts reasonably necessary to satisfy the emergency need is not required to take into account any additional compensation that due to the Unforeseeable Emergency is available under another nonqualified deferred compensation plan but has not actually been paid, or that is available due to the Unforeseeable Emergency under another plan that would provide for deferred compensation except due to the application of the effective date provisions of Section 409A of the Code.</w:t>
      </w:r>
    </w:p>
    <w:p>
      <w:pPr>
        <w:spacing w:after="0" w:line="210" w:lineRule="exact"/>
        <w:rPr>
          <w:rFonts w:ascii="Times New Roman" w:cs="Times New Roman" w:eastAsia="Times New Roman" w:hAnsi="Times New Roman"/>
          <w:sz w:val="20"/>
          <w:szCs w:val="20"/>
          <w:color w:val="auto"/>
        </w:rPr>
      </w:pPr>
    </w:p>
    <w:p>
      <w:pPr>
        <w:ind w:firstLine="1505"/>
        <w:spacing w:after="0" w:line="269" w:lineRule="auto"/>
        <w:tabs>
          <w:tab w:leader="none" w:pos="193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Account</w:t>
      </w:r>
      <w:r>
        <w:rPr>
          <w:rFonts w:ascii="Times New Roman" w:cs="Times New Roman" w:eastAsia="Times New Roman" w:hAnsi="Times New Roman"/>
          <w:sz w:val="20"/>
          <w:szCs w:val="20"/>
          <w:color w:val="auto"/>
        </w:rPr>
        <w:t>. Any settlement on account of an Unforeseeable Emergency shall be made within ninety (90) days following occurrence of the Unforeseeable Emergency, as determined by the Administrator under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4.6. Limited Additional Settlement</w:t>
      </w:r>
      <w:r>
        <w:rPr>
          <w:rFonts w:ascii="Times New Roman" w:cs="Times New Roman" w:eastAsia="Times New Roman" w:hAnsi="Times New Roman"/>
          <w:sz w:val="20"/>
          <w:szCs w:val="20"/>
          <w:color w:val="auto"/>
        </w:rPr>
        <w:t>. The Administrator may, in its sole discretion, require a mandatory settlement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deferred Equity Awards, if the amount deferred under the Plan does not exceed the applicable dollar amount under Section 402(g)(1)(B) of the Code, provided that such settlement results in the termination and liquidation of the entirety of the Participant’s interest under the Plan, including all agreements, methods, programs or other arrangements with respect to which deferrals of compensation are treated as having been deferred under a single nonqualified deferred compensation plan under Section 409A of the Code.</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4.7. Discretionary Acceleration of Payments/Settlements</w:t>
      </w:r>
      <w:r>
        <w:rPr>
          <w:rFonts w:ascii="Times New Roman" w:cs="Times New Roman" w:eastAsia="Times New Roman" w:hAnsi="Times New Roman"/>
          <w:sz w:val="20"/>
          <w:szCs w:val="20"/>
          <w:color w:val="auto"/>
        </w:rPr>
        <w:t>. The Board or Compensation Committee may, in its sole discretion,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accelerate the time or schedule of a settlement under the Plan to a time otherwise permitted under Section 409A of the Code in accordance with the requirements, restrictions and limitations of Treasury Regulation Section 1.409A-3(j); provided that in no event may a settlement to a Specified Employee be accelerated following the Specified Employee’s Separation from Service to a date that is prior to the first business day following the six month anniversary of such Specified Employee’s Separation from Service (or if earlier, within 90 days after the Specified Employee’s death) unless otherwise permitted pursuant to Treasury Regulation Section 1.409A-3(j).</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4.8. Discretionary Delay of Payments/Settlements</w:t>
      </w:r>
      <w:r>
        <w:rPr>
          <w:rFonts w:ascii="Times New Roman" w:cs="Times New Roman" w:eastAsia="Times New Roman" w:hAnsi="Times New Roman"/>
          <w:sz w:val="20"/>
          <w:szCs w:val="20"/>
          <w:color w:val="auto"/>
        </w:rPr>
        <w:t>. The Board or Compensation Committee may, in its sole discretion, delay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settlement under the Plan to a time otherwise permitted under Section 409A of the Code in accordance with the requirements, restrictions and limitations of Treasury Regulation Section 1.409A-2(b)(7).</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4.9. Actual Date of Payment</w:t>
      </w:r>
      <w:r>
        <w:rPr>
          <w:rFonts w:ascii="Times New Roman" w:cs="Times New Roman" w:eastAsia="Times New Roman" w:hAnsi="Times New Roman"/>
          <w:sz w:val="20"/>
          <w:szCs w:val="20"/>
          <w:color w:val="auto"/>
        </w:rPr>
        <w:t>. To the extent permitted by Section 409A of the Code, the Administrator, in its sole discretion,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any settlements under this Plan to be made or commence on any later date that occurs in the same calendar year as the date on which settlement otherwise would be required to be made under this Plan, or, if later, by the 15th day of the third month after the date on which settlement would otherwise be required to be made under this Plan. Further, to the extent permitted by Section 409A of the Code, the Administrator may delay settlement in the event that it is not administratively possible to settle on the date (or within the periods) specified in this Article IV, or the making of the settlement would jeopardize the ability of the Company (or any entity which would be considered to be a single employer with the Company under Section 414(b) or Section 414(c) of the Code) to continue as a going concern. Notwithstanding the foregoing, settlement must be made no later than the latest possible date permitted under Section 409A of the Code.</w:t>
      </w:r>
    </w:p>
    <w:p>
      <w:pPr>
        <w:spacing w:after="0" w:line="19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4.10. Discharge of Obligations</w:t>
      </w:r>
      <w:r>
        <w:rPr>
          <w:rFonts w:ascii="Times New Roman" w:cs="Times New Roman" w:eastAsia="Times New Roman" w:hAnsi="Times New Roman"/>
          <w:sz w:val="20"/>
          <w:szCs w:val="20"/>
          <w:color w:val="auto"/>
        </w:rPr>
        <w:t>. The settlement to a Participant (or to his or her Beneficiary or estate) of any deferred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as provided pursuant to this Plan shall discharge all obligations of the Affiliated Group to such Participant (and Beneficiary or estate) under the Plan with respect to that Sub-Account.</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4.11. Change in Control</w:t>
      </w:r>
      <w:r>
        <w:rPr>
          <w:rFonts w:ascii="Times New Roman" w:cs="Times New Roman" w:eastAsia="Times New Roman" w:hAnsi="Times New Roman"/>
          <w:sz w:val="20"/>
          <w:szCs w:val="20"/>
          <w:color w:val="auto"/>
        </w:rPr>
        <w:t>. Notwithstanding anything else provided herein, in the event the Company undergoes a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all outstanding deferrals pursuant to this Plan will become fully vested and, notwithstanding any prior Deferral Elections, all deferred Equity Awards will be settled to the Participants, upon or as soon as practicable after the Change in Control, less applicable withholding taxes.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5.1. General</w:t>
      </w:r>
      <w:r>
        <w:rPr>
          <w:rFonts w:ascii="Times New Roman" w:cs="Times New Roman" w:eastAsia="Times New Roman" w:hAnsi="Times New Roman"/>
          <w:sz w:val="19"/>
          <w:szCs w:val="19"/>
          <w:color w:val="auto"/>
        </w:rPr>
        <w:t>. The Administrator shall be responsible for the general administration of the Plan and shall have the full power,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discretion and authority to carry out the provisions of the Plan. Without limiting the foregoing, the Administrator shall have full discretion to</w:t>
      </w:r>
    </w:p>
    <w:p>
      <w:pPr>
        <w:spacing w:after="0" w:line="1" w:lineRule="exact"/>
        <w:rPr>
          <w:sz w:val="20"/>
          <w:szCs w:val="20"/>
          <w:color w:val="auto"/>
        </w:rPr>
      </w:pPr>
    </w:p>
    <w:p>
      <w:pPr>
        <w:jc w:val="both"/>
        <w:ind w:firstLine="8"/>
        <w:spacing w:after="0"/>
        <w:tabs>
          <w:tab w:leader="none" w:pos="28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all provisions of the Plan; (b) resolve all questions relating to eligibility for participation in the Plan and the deferrals of any Participant and all questions pertaining to claims for benefits and procedures for claim review; (c) resolve all other questions arising under the Plan, including any factual questions and questions of construction; (d) determine all claims for benefits; and (e) adopt such rules, regulations or guidelines for the administration of the Plan and take such further action as the Company shall deem advisable in the administration of the Plan. The actions taken and the decisions made by the Administrator hereunder shall be final, conclusive, and binding on all persons, including the Company, its members, the other members of the Affiliated Group, Eligible Participants, Participants, and their estates and Beneficiaries. The Administrator may delegate to one or more officers of the Company, subject to such terms as the Administrator shall determine, the authority to administer all or any portion of the Plan, or the authority to perform certain functions, including administrative functions. In the event of such delegation, all references to the Administrator in this Plan (other than such references in the immediately preceding sentence) shall be deemed references to such officers as it relates to those aspects of the Plan that have been delegated.</w:t>
      </w:r>
    </w:p>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5.2. Claims Procedure</w:t>
      </w:r>
      <w:r>
        <w:rPr>
          <w:rFonts w:ascii="Times New Roman" w:cs="Times New Roman" w:eastAsia="Times New Roman" w:hAnsi="Times New Roman"/>
          <w:sz w:val="19"/>
          <w:szCs w:val="19"/>
          <w:color w:val="auto"/>
        </w:rPr>
        <w:t>. Any person who believes he is entitled to receive a benefit under the Plan shall make application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on the form and in the manner prescribed by the Administrator. If any claim for benefits filed by any person under the Plan (the “claimant”) is denied in whole or in part, the Administrator shall issue a written notice of such adverse benefit determination to the claimant. The notice shall be issued to the claimant within a reasonable period of time but in no event later than 90 days from the date the claim for benefits was filed or, if special circumstances require an extension, within 180 days of such date. The notice issued by the Administrator shall be written in a manner calculated to be understood by the claimant and shall include the following: (a) the specific reason or reasons for any adverse benefit determination, (b) the specific Plan provisions on which any adverse benefit determination is based, (c) a description of any further material or information which is necessary for the claimant to perfect his or her claim and an explanation of why the material or information is needed and (d) a statement of the claimant’s right to seek review of the denial pursuant to Section 5.3 below.</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5.3. Review of Claim Denial</w:t>
      </w:r>
      <w:r>
        <w:rPr>
          <w:rFonts w:ascii="Times New Roman" w:cs="Times New Roman" w:eastAsia="Times New Roman" w:hAnsi="Times New Roman"/>
          <w:sz w:val="20"/>
          <w:szCs w:val="20"/>
          <w:color w:val="auto"/>
        </w:rPr>
        <w:t>. If a claim is denied, in whole or in part, the claimant shall have the right to (a) request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review the denial, (b) review pertinent documents, and (c) submit issues and comments in writing, provided that the claimant files a written request for review with the Administrator within 60 days after the date on which the claimant received written notice from the Administrator of the denial. Within 60 days after the Administrator receives a properly filed request for review, the Administrator shall conduct such review and advise the claimant in writing of its decision on review, unless special circumstances require an extension of time for conducting the review. If an extension of time for conducting the review is required, the Administrator shall provide the claimant with written notice of the extension before the expiration of the initial 60-day period, specifying the circumstances requiring an extension and the date by which such review shall be completed (which date shall not be later than 120 days after the date on which the Administrator received the request for review). The Administrator shall inform the claimant of its decision on review in a written notice, setting forth the specific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decision and reference to Plan provisions upon which the decision is based. A decision on review shall be final and binding on all persons for all purposes.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AND TERMINATION</w:t>
      </w:r>
    </w:p>
    <w:p>
      <w:pPr>
        <w:spacing w:after="0" w:line="2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6.1. Amendment</w:t>
      </w:r>
      <w:r>
        <w:rPr>
          <w:rFonts w:ascii="Times New Roman" w:cs="Times New Roman" w:eastAsia="Times New Roman" w:hAnsi="Times New Roman"/>
          <w:sz w:val="20"/>
          <w:szCs w:val="20"/>
          <w:color w:val="auto"/>
        </w:rPr>
        <w:t>. The Board or Compensation Committee reserves the right to amend, terminate or freeze the Plan, in whole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part. In no event shall any such action by the Board or Compensation Committee adversely affect the amounts deferred by any Participant or result in any change in the timing or manner of payment of the amount of any deferred amounts (except as otherwise permitted under the Plan, including under Sections 4.4, 4.5, 4.6 and 4.7), without the consent of the Participant, unless the Board or Compensation Committee determines in good faith that such action is necessary to ensure compliance with Section 409A of the Code. To the extent permitted by Section 409A of the Code, the Administrator may, in its sole discretion, modify the rules applicable to Deferral Elections to the extent necessary to satisfy the requirements of the Uniformed Service Employment and Reemployment Rights Act of 1994, as amended, 38 U.S.C. 4301-4334.</w:t>
      </w:r>
    </w:p>
    <w:p>
      <w:pPr>
        <w:spacing w:after="0" w:line="19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6.2. Conversion to Private Company</w:t>
      </w:r>
      <w:r>
        <w:rPr>
          <w:rFonts w:ascii="Times New Roman" w:cs="Times New Roman" w:eastAsia="Times New Roman" w:hAnsi="Times New Roman"/>
          <w:sz w:val="20"/>
          <w:szCs w:val="20"/>
          <w:color w:val="auto"/>
        </w:rPr>
        <w:t>. If, for any reason, the Company ceases to be a publicly-traded Company, then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Compensation Committee may discontinue the Plan, in whole or in part; provided, however, that such discontinuation of the Plan shall not effect any elections already made pursuant to the Plan or any Participant’s Accounts then-outstanding pursuant to the Plan.</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6.3. Payments Upon Termination of Plan. </w:t>
      </w:r>
      <w:r>
        <w:rPr>
          <w:rFonts w:ascii="Times New Roman" w:cs="Times New Roman" w:eastAsia="Times New Roman" w:hAnsi="Times New Roman"/>
          <w:sz w:val="20"/>
          <w:szCs w:val="20"/>
          <w:color w:val="auto"/>
        </w:rPr>
        <w:t>Except as otherwise provided pursuant to Sections 4.5 and 4.6, in the event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is terminated, all amounts deferred by a Participant shall be paid to the Participant or the Participant’s Beneficiary, as applicable, on the dates on which the Participant or his or her Beneficiary would otherwise receive payments hereunder without regard to the termination of the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7.1. Non-Alienation of Deferred Compensation</w:t>
      </w:r>
      <w:r>
        <w:rPr>
          <w:rFonts w:ascii="Times New Roman" w:cs="Times New Roman" w:eastAsia="Times New Roman" w:hAnsi="Times New Roman"/>
          <w:sz w:val="20"/>
          <w:szCs w:val="20"/>
          <w:color w:val="auto"/>
        </w:rPr>
        <w:t>. Except as permitted by the Plan, no right or interest under the Plan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or Beneficiary shall, without the written consent of the Company, be (a) assignable or transferable in any manner, (b) subject to alienation, anticipation, sale, pledge, encumbrance, attachment, garnishment or other legal process, or (c) in any manner liable for or subject to the debts or liabilities of the Participant or Beneficiary. Notwithstanding the foregoing, to the extent permitted by Section 409A of the Code and Sections 4.7 and 4.8 hereof, the Administrator shall honor a judgment, order or decree from a state domestic relations court which requires the payment of part or all of a Participant’s or Beneficiary’s interest under this Plan to an “alternate payee” as defined in Section 414(p) of the Code.</w:t>
      </w:r>
    </w:p>
    <w:p>
      <w:pPr>
        <w:spacing w:after="0" w:line="19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7.2. Compliance with Section 409A of the Code</w:t>
      </w:r>
      <w:r>
        <w:rPr>
          <w:rFonts w:ascii="Times New Roman" w:cs="Times New Roman" w:eastAsia="Times New Roman" w:hAnsi="Times New Roman"/>
          <w:sz w:val="20"/>
          <w:szCs w:val="20"/>
          <w:color w:val="auto"/>
        </w:rPr>
        <w:t>. It is intended that the Plan comply with the provisions of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so as to prevent the inclusion in gross income of any amounts deferred hereunder in a taxable year that is prior to the taxable year or years in which such amounts would otherwise actually be paid or made available to Participants (or their Beneficiaries or estates).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shall be construed, administered, and governed in a manner that effects such intent, and the Administrator shall not take any action that would be inconsistent with such intent. Although the Administrator shall use its best efforts to avoid the imposition of taxation, interest and penalties under Section 409A of the Code, the tax treatment of deferrals under this Plan is not warranted or guaranteed. To the extent that any provision of this Plan is ambiguous as to its compliance with Section 409A of the Code, the provision shall be read in such a manner so that all payments hereunder comply with Section 409A of the Code. Neither the Company, the other members of the Affiliated Group, nor the Administrator (nor its delegate(s)) shall be held liable for any taxes, interest, penalties or other monetary amounts owed by any Participant, Beneficiary or other taxpayer as a result of the Plan. Any reference in this Plan to Section 409A of the Code will also include any proposed, temporary or final regulations, or any other guidance, promulgated with respect to such Section 409A of the Code by the U.S. Department of Treasury or the Internal Revenue Service.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409A(a)(1) of the Code. For purposes of this Plan, a termination of employment will be determined consistent with the rules relating to a “separation from service” as defined in Section 409A of the Code. If at the time of the Participant’s separation from service the Participant is a “specified employee” within the meaning of Section 409A(a)(2)(B)(i) of the Code, then, to the extent required by Section 409A of the Code, no payments shall be payable or provided until the date that is the earlier of (A) six months and one day after such Participant’s separation from service, or (B) the Participant’s death. Payments pursuant to the Plan are intended to constitute separate payments for purposes of Section 1.409A-2(b)(2) of the Treasury Regulations.</w:t>
      </w:r>
    </w:p>
    <w:p>
      <w:pPr>
        <w:spacing w:after="0" w:line="20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7.3. Participation by Affiliated Group Members</w:t>
      </w:r>
      <w:r>
        <w:rPr>
          <w:rFonts w:ascii="Times New Roman" w:cs="Times New Roman" w:eastAsia="Times New Roman" w:hAnsi="Times New Roman"/>
          <w:sz w:val="20"/>
          <w:szCs w:val="20"/>
          <w:color w:val="auto"/>
        </w:rPr>
        <w:t>. Any member of the Affiliated Group that is a direct or indirect subsidiary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may, by action of its board of directors or equivalent governing body and with the consent of the Administrator, adopt the Plan; provided that the Administrator may waive the requirement that such board of directors or equivalent governing body effect such adoption. By its adoption of or participation in the Plan, such adopting member of the Affiliated Group shall be deemed to appoint the Company its exclusive agent to exercise on its behalf all of the power and authority conferred by the Plan upon the Company and accept the delegation to the Administrator of all the power and authority conferred upon it by the Plan. The authority of the Company to act as such agent shall continue until the Plan is terminated as to the participating affiliate. A member of the board of directors of such Affiliated Group who elects to participate in the Plan shall participate on the same basis as any member of the Board who participates in the Plan.</w:t>
      </w:r>
    </w:p>
    <w:p>
      <w:pPr>
        <w:spacing w:after="0" w:line="19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7.4. No Guarantee of Continued Service</w:t>
      </w:r>
      <w:r>
        <w:rPr>
          <w:rFonts w:ascii="Times New Roman" w:cs="Times New Roman" w:eastAsia="Times New Roman" w:hAnsi="Times New Roman"/>
          <w:sz w:val="20"/>
          <w:szCs w:val="20"/>
          <w:color w:val="auto"/>
        </w:rPr>
        <w:t>. Nothing in the Plan shall be construed as guaranteeing continued service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w:t>
      </w:r>
    </w:p>
    <w:p>
      <w:pPr>
        <w:spacing w:after="0" w:line="16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7.5. Claims of Other Persons</w:t>
      </w:r>
      <w:r>
        <w:rPr>
          <w:rFonts w:ascii="Times New Roman" w:cs="Times New Roman" w:eastAsia="Times New Roman" w:hAnsi="Times New Roman"/>
          <w:sz w:val="20"/>
          <w:szCs w:val="20"/>
          <w:color w:val="auto"/>
        </w:rPr>
        <w:t>. The provisions of the Plan shall in no event be construed as giving any other person any 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equitable right as against the Company or any other member of the Affiliated Group or the officers, employees or directors of the Company or any other member of the Affiliated Group, except any such rights as are specifically provided for in the Plan or are hereafter created in accordance with the terms and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7.6. Severability</w:t>
      </w:r>
      <w:r>
        <w:rPr>
          <w:rFonts w:ascii="Times New Roman" w:cs="Times New Roman" w:eastAsia="Times New Roman" w:hAnsi="Times New Roman"/>
          <w:sz w:val="20"/>
          <w:szCs w:val="20"/>
          <w:color w:val="auto"/>
        </w:rPr>
        <w:t>. The invalidity and unenforceability of any particular provision of the Plan shall not affect any other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and the Plan shall be construed in all respects as if such invalid or unenforceable provision were omitted.</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7.7. Governing Law</w:t>
      </w:r>
      <w:r>
        <w:rPr>
          <w:rFonts w:ascii="Times New Roman" w:cs="Times New Roman" w:eastAsia="Times New Roman" w:hAnsi="Times New Roman"/>
          <w:sz w:val="20"/>
          <w:szCs w:val="20"/>
          <w:color w:val="auto"/>
        </w:rPr>
        <w:t>. Except to the extent preempted by federal law, the provisions of the Plan shall be governed and construed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laws of the State of Delaware.</w:t>
      </w:r>
    </w:p>
    <w:p>
      <w:pPr>
        <w:spacing w:after="0" w:line="16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7.8. Successors</w:t>
      </w:r>
      <w:r>
        <w:rPr>
          <w:rFonts w:ascii="Times New Roman" w:cs="Times New Roman" w:eastAsia="Times New Roman" w:hAnsi="Times New Roman"/>
          <w:sz w:val="20"/>
          <w:szCs w:val="20"/>
          <w:color w:val="auto"/>
        </w:rPr>
        <w:t>. The Company shall require any successor (whether direct or indirect, by purchase, merger, consolidation,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reorganization or otherwise) to all or substantially all of the business and/or assets of the Company expressly to assume this Plan. This Plan shall be binding upon and inure to the benefit of the Company and any successor of or to the Company, including without limitation any persons acquiring directly or indirectly all or substantially all of the business and/or assets of the Company whether by sale, merger, consolidation, reorganization or otherwise (and such successor shall thereafter be deemed the “Company” for the purposes of this Plan), and the heirs, beneficiaries, executors and administrators of each Participant.</w:t>
      </w:r>
    </w:p>
    <w:p>
      <w:pPr>
        <w:spacing w:after="0" w:line="19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7.9. Withholding of Taxes</w:t>
      </w:r>
      <w:r>
        <w:rPr>
          <w:rFonts w:ascii="Times New Roman" w:cs="Times New Roman" w:eastAsia="Times New Roman" w:hAnsi="Times New Roman"/>
          <w:sz w:val="20"/>
          <w:szCs w:val="20"/>
          <w:color w:val="auto"/>
        </w:rPr>
        <w:t>. The Company or any other member of the Affiliated Group may withhold or cause to be withheld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any amounts payable under the Plan, or to the extent permitted pursuant to Section 409A of the Code and Section 4.6 of the Plan, from any amounts deferred under the Plan, all federal, state, local and other taxes as shall be legally required to be withheld; with respect to any Equity Awards deferred pursuant to this Plan, the Company may require Participant to pay or make adequate provision for all such applicable taxes prior to issuance of any shares subject to such Equity Awards.</w:t>
      </w:r>
    </w:p>
    <w:p>
      <w:pPr>
        <w:spacing w:after="0" w:line="19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7.10. Electronic or Other Media</w:t>
      </w:r>
      <w:r>
        <w:rPr>
          <w:rFonts w:ascii="Times New Roman" w:cs="Times New Roman" w:eastAsia="Times New Roman" w:hAnsi="Times New Roman"/>
          <w:sz w:val="20"/>
          <w:szCs w:val="20"/>
          <w:color w:val="auto"/>
        </w:rPr>
        <w:t>. Notwithstanding any other provision of the Plan to the contrary, including any provision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requires the use of a written instrument, the Administrator may establish procedures for the use of electronic or other media in communications and transactions between the Plan or the Administrator and Participants and Beneficiaries. Electronic or other media may include, but are not limited to, e-mail, the Internet, intranet systems and automated telephonic response systems.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7.11. Headings; Interpretation</w:t>
      </w:r>
      <w:r>
        <w:rPr>
          <w:rFonts w:ascii="Times New Roman" w:cs="Times New Roman" w:eastAsia="Times New Roman" w:hAnsi="Times New Roman"/>
          <w:sz w:val="20"/>
          <w:szCs w:val="20"/>
          <w:color w:val="auto"/>
        </w:rPr>
        <w:t>. Headings in this Plan are inserted for convenience of reference only and are not to be considered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construction of the provisions hereof. Unless the context clearly requires otherwise, the masculine pronoun wherever used herein shall be construed to include the feminine pronoun.</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7.12. Participants Deemed to Accept Plan</w:t>
      </w:r>
      <w:r>
        <w:rPr>
          <w:rFonts w:ascii="Times New Roman" w:cs="Times New Roman" w:eastAsia="Times New Roman" w:hAnsi="Times New Roman"/>
          <w:sz w:val="20"/>
          <w:szCs w:val="20"/>
          <w:color w:val="auto"/>
        </w:rPr>
        <w:t>. By accepting any benefit under the Plan, each Participant and each person claiming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or through any such Participant shall be conclusively deemed to have indicated his or her acceptance and ratification of, and consent to, all of the terms and conditions of the Plan and any action taken under the Plan by the Administrator, the Company and the other members of the Affiliated Group, in any case in accordance with the terms and conditions of the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4" w:lineRule="exact"/>
        <w:rPr>
          <w:sz w:val="20"/>
          <w:szCs w:val="20"/>
          <w:color w:val="auto"/>
        </w:rPr>
      </w:pPr>
    </w:p>
    <w:p>
      <w:pPr>
        <w:ind w:right="3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this Plan to be executed by its undersigned duly authorized officer,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DAY ONE BIOPHARMACEUTICALS, INC.</w:t>
      </w:r>
    </w:p>
    <w:p>
      <w:pPr>
        <w:spacing w:after="0" w:line="58"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_____________</w:t>
      </w:r>
    </w:p>
    <w:p>
      <w:pPr>
        <w:spacing w:after="0" w:line="5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1047115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EQUITY DEFERRAL PLAN</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IRREVOCABLE DEFERRAL 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ELECTION INSTRUCTIONS: IF YOU WISH TO ELECT TO DEFER RECEIPT OF ALL OR A PORTION OF YOUR EQUITY AWARDS GRANTED IN CONNECTION WITH YOUR SERVICES TO DAY ONE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A MEMBER OF THE COMPANY’S BOARD OF DIRECTORS PLEASE COMPLETE THIS FORM (THIS “</w:t>
      </w:r>
      <w:r>
        <w:rPr>
          <w:rFonts w:ascii="Times New Roman" w:cs="Times New Roman" w:eastAsia="Times New Roman" w:hAnsi="Times New Roman"/>
          <w:sz w:val="18"/>
          <w:szCs w:val="18"/>
          <w:b w:val="1"/>
          <w:bCs w:val="1"/>
          <w:i w:val="1"/>
          <w:iCs w:val="1"/>
          <w:color w:val="auto"/>
        </w:rPr>
        <w:t>ELECTION</w:t>
      </w:r>
      <w:r>
        <w:rPr>
          <w:rFonts w:ascii="Times New Roman" w:cs="Times New Roman" w:eastAsia="Times New Roman" w:hAnsi="Times New Roman"/>
          <w:sz w:val="18"/>
          <w:szCs w:val="18"/>
          <w:color w:val="auto"/>
        </w:rPr>
        <w:t>”), SIGN IT, AND SUBMIT IT TO HENRY DOMBROWSKI, VP AND CONTROLLER VIA EMAIL (HENRY.DOMBROWSKI@DAYONEBIO.COM) OR AT DAY ONE BIOPHARMACEUTICALS, INC., 1800 SIERRA POINT PARKWAY, SUITE 200, BRISBANE, CA 94005. THIS ELECTION MUST BE DELIVERED TO THE COMPANY (I) WITHIN 30 DAYS OF YOUR INITIAL ELIGIBILITY TO PARTICIPATE IN THE COMPANY’S DIRECTOR EQUITY DEFERRAL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AND/OR (II) PRIOR TO DECEMBER 31 OF THE CALENDAR YEAR IMMEDIATELY PRIOR TO THE CALENDAR YEAR IN WHICH THIS ELECTION IS INTENDED TO TAKE EFFECT (THE “</w:t>
      </w:r>
      <w:r>
        <w:rPr>
          <w:rFonts w:ascii="Times New Roman" w:cs="Times New Roman" w:eastAsia="Times New Roman" w:hAnsi="Times New Roman"/>
          <w:sz w:val="18"/>
          <w:szCs w:val="18"/>
          <w:b w:val="1"/>
          <w:bCs w:val="1"/>
          <w:i w:val="1"/>
          <w:iCs w:val="1"/>
          <w:color w:val="auto"/>
        </w:rPr>
        <w:t>ELECTION DEADLINE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ELECTION SHALL ONLY BE EFFECTIVE AS TO TIME-BASED RSUS GRANTED PURSUANT TO THE COMPANY’S EQUITY INCENTIVE PLAN, EACH OF WHICH SHALL BE SUBJECT TO AN INDIVIDUAL AWARD AGREEMENT PROVIDING THE TERMS THEREOF (INCLUDING, IF APPLICABLE, ANY DIVIDEND EQUIVALENT RIGHTS). TO THE EXTENT THAT ANY EQUITY AWARD IS SUBJECT TO DIVIDEND EQUIVALENT RIGHTS, ANY DIVIDEND EQUIVALENTS SHALL BE CREDITED TO YOU AND PAID OUT PURSUANT TO YOUR ELECTION SET FORTH BELOW.</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____________________, acknowledge and agree that this election is entirely voluntary.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Election to Defer all or a portion of my Equity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00" w:right="760"/>
        <w:spacing w:after="0" w:line="282" w:lineRule="auto"/>
        <w:rPr>
          <w:sz w:val="20"/>
          <w:szCs w:val="20"/>
          <w:color w:val="auto"/>
        </w:rPr>
      </w:pPr>
      <w:r>
        <w:rPr>
          <w:rFonts w:ascii="Times New Roman" w:cs="Times New Roman" w:eastAsia="Times New Roman" w:hAnsi="Times New Roman"/>
          <w:sz w:val="18"/>
          <w:szCs w:val="18"/>
          <w:color w:val="auto"/>
        </w:rPr>
        <w:t>Check the box below to defer all of the Equity Awards (as defined in the Plan) to be granted to you in your role as a member of the Company’s Board of Directors pursuant to the terms of the Plan and the remainder of this Election.</w:t>
      </w:r>
    </w:p>
    <w:p>
      <w:pPr>
        <w:spacing w:after="0" w:line="162" w:lineRule="exact"/>
        <w:rPr>
          <w:sz w:val="20"/>
          <w:szCs w:val="20"/>
          <w:color w:val="auto"/>
        </w:rPr>
      </w:pPr>
    </w:p>
    <w:p>
      <w:pPr>
        <w:ind w:left="1500" w:right="760"/>
        <w:spacing w:after="0" w:line="282" w:lineRule="auto"/>
        <w:rPr>
          <w:sz w:val="20"/>
          <w:szCs w:val="20"/>
          <w:color w:val="auto"/>
        </w:rPr>
      </w:pPr>
      <w:r>
        <w:rPr>
          <w:rFonts w:ascii="Times New Roman" w:cs="Times New Roman" w:eastAsia="Times New Roman" w:hAnsi="Times New Roman"/>
          <w:sz w:val="18"/>
          <w:szCs w:val="18"/>
          <w:color w:val="auto"/>
        </w:rPr>
        <w:t xml:space="preserve">I hereby elect to defer settlement of </w:t>
      </w:r>
      <w:r>
        <w:rPr>
          <w:rFonts w:ascii="Times New Roman" w:cs="Times New Roman" w:eastAsia="Times New Roman" w:hAnsi="Times New Roman"/>
          <w:sz w:val="18"/>
          <w:szCs w:val="18"/>
          <w:u w:val="single" w:color="auto"/>
          <w:color w:val="auto"/>
        </w:rPr>
        <w:t>100%</w:t>
      </w:r>
      <w:r>
        <w:rPr>
          <w:rFonts w:ascii="Times New Roman" w:cs="Times New Roman" w:eastAsia="Times New Roman" w:hAnsi="Times New Roman"/>
          <w:sz w:val="18"/>
          <w:szCs w:val="18"/>
          <w:color w:val="auto"/>
        </w:rPr>
        <w:t xml:space="preserve"> of my Equity Awards granted in the calendar year of [Year] pursuant to the Company’s Director Equity Deferral Plan.</w:t>
      </w:r>
    </w:p>
    <w:p>
      <w:pPr>
        <w:spacing w:after="0" w:line="162" w:lineRule="exact"/>
        <w:rPr>
          <w:sz w:val="20"/>
          <w:szCs w:val="20"/>
          <w:color w:val="auto"/>
        </w:rPr>
      </w:pPr>
    </w:p>
    <w:p>
      <w:pPr>
        <w:ind w:left="1500" w:right="820" w:hanging="636"/>
        <w:spacing w:after="0" w:line="282" w:lineRule="auto"/>
        <w:tabs>
          <w:tab w:leader="none" w:pos="10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Pursuant to the terms of the Plan (including the acceleration events set forth therein), I hereby elect that the portion of my Equity Awards deferred pursuant to this Election will be settled on </w:t>
      </w:r>
      <w:r>
        <w:rPr>
          <w:rFonts w:ascii="Times New Roman" w:cs="Times New Roman" w:eastAsia="Times New Roman" w:hAnsi="Times New Roman"/>
          <w:sz w:val="18"/>
          <w:szCs w:val="18"/>
          <w:u w:val="single" w:color="auto"/>
          <w:color w:val="auto"/>
        </w:rPr>
        <w:t>the earliest to occur</w:t>
      </w:r>
      <w:r>
        <w:rPr>
          <w:rFonts w:ascii="Times New Roman" w:cs="Times New Roman" w:eastAsia="Times New Roman" w:hAnsi="Times New Roman"/>
          <w:sz w:val="18"/>
          <w:szCs w:val="18"/>
          <w:color w:val="auto"/>
        </w:rPr>
        <w:t xml:space="preserve"> of:</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Calendar year [Year];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My Separation from Service (as defined in the Plan).</w:t>
      </w:r>
    </w:p>
    <w:p>
      <w:pPr>
        <w:spacing w:after="0" w:line="225" w:lineRule="exact"/>
        <w:rPr>
          <w:sz w:val="20"/>
          <w:szCs w:val="20"/>
          <w:color w:val="auto"/>
        </w:rPr>
      </w:pPr>
    </w:p>
    <w:p>
      <w:pPr>
        <w:jc w:val="both"/>
        <w:ind w:left="1500" w:right="760" w:hanging="28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SHALL ANY EQUITY AWARD DEFERRED PURSUANT TO THIS ELECTION BE SETTLED PRIOR TO THE DATE ON WHICH SUCH EQUITY AWARD HAS VESTED IN FULL.</w:t>
      </w:r>
    </w:p>
    <w:p>
      <w:pPr>
        <w:spacing w:after="0" w:line="176" w:lineRule="exact"/>
        <w:rPr>
          <w:sz w:val="20"/>
          <w:szCs w:val="20"/>
          <w:color w:val="auto"/>
        </w:rPr>
      </w:pPr>
    </w:p>
    <w:p>
      <w:pPr>
        <w:jc w:val="both"/>
        <w:ind w:left="1500" w:right="760"/>
        <w:spacing w:after="0" w:line="266" w:lineRule="auto"/>
        <w:rPr>
          <w:sz w:val="20"/>
          <w:szCs w:val="20"/>
          <w:color w:val="auto"/>
        </w:rPr>
      </w:pPr>
      <w:r>
        <w:rPr>
          <w:rFonts w:ascii="Times New Roman" w:cs="Times New Roman" w:eastAsia="Times New Roman" w:hAnsi="Times New Roman"/>
          <w:sz w:val="18"/>
          <w:szCs w:val="18"/>
          <w:color w:val="auto"/>
        </w:rPr>
        <w:t>TO THE EXTENT THAT ANY DEFERRAL PURSUANT TO THIS ELECTION WOULD OTHERWISE RESULT IN SETTLEMENT PRIOR TO THE DATE ON WHICH AN EQUITY AWARD IS VESTED IN FULL, SUCH EQUITY AWARD SHALL BE SETTLED FOLLOWING THE FINAL VESTING DATE OF SUCH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23" w:lineRule="exact"/>
        <w:rPr>
          <w:sz w:val="20"/>
          <w:szCs w:val="20"/>
          <w:color w:val="auto"/>
        </w:rPr>
      </w:pPr>
    </w:p>
    <w:p>
      <w:pPr>
        <w:ind w:left="1500" w:right="7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all or a portion of your deferred Equity Awards pursuant to this Election shall accelerate and be settled upon the occurrence of certain trigger events, as set forth in the Plan.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election shall only become effective if it is received by the Company by the Election Deadline.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understand that I will incur a tax obligation in connection with the vesting and settlement of any deferred Equity Awards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at the time the Equity Awards are settled and the shares thereunder issued, the Company has a designated broker with whom share issuances under the Company’s 2021 Equity Incentive Plan are to be deposited, then I understand that such shares shall be deposited in my name in my account with such designated broker.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PRINT NAME:</w:t>
        <w:tab/>
        <w:t>____________________________________</w:t>
      </w:r>
    </w:p>
    <w:p>
      <w:pPr>
        <w:spacing w:after="0" w:line="22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b w:val="1"/>
          <w:bCs w:val="1"/>
          <w:color w:val="auto"/>
        </w:rPr>
        <w:t>____________________________________</w:t>
      </w:r>
      <w:r>
        <w:rPr>
          <w:rFonts w:ascii="Times New Roman" w:cs="Times New Roman" w:eastAsia="Times New Roman" w:hAnsi="Times New Roman"/>
          <w:sz w:val="18"/>
          <w:szCs w:val="18"/>
          <w:color w:val="auto"/>
        </w:rPr>
        <w:t>____________________________________</w:t>
      </w: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tab/>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2747645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Day One Biopharmaceuticals, Inc.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76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w w:val="98"/>
              </w:rPr>
              <w:t>Name of Subsidiary</w:t>
            </w:r>
          </w:p>
        </w:tc>
        <w:tc>
          <w:tcPr>
            <w:tcW w:w="5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Jurisdiction</w:t>
            </w:r>
          </w:p>
        </w:tc>
      </w:tr>
      <w:tr>
        <w:trPr>
          <w:trHeight w:val="20"/>
        </w:trPr>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53"/>
        </w:trPr>
        <w:tc>
          <w:tcPr>
            <w:tcW w:w="5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Mersana Therapeutics, Inc.</w:t>
            </w:r>
          </w:p>
        </w:tc>
        <w:tc>
          <w:tcPr>
            <w:tcW w:w="2160" w:type="dxa"/>
            <w:vAlign w:val="bottom"/>
          </w:tcPr>
          <w:p>
            <w:pPr>
              <w:spacing w:after="0"/>
              <w:rPr>
                <w:sz w:val="24"/>
                <w:szCs w:val="24"/>
                <w:color w:val="auto"/>
              </w:rPr>
            </w:pPr>
          </w:p>
        </w:tc>
        <w:tc>
          <w:tcPr>
            <w:tcW w:w="324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5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Mersana Securities Corp.</w:t>
            </w:r>
          </w:p>
        </w:tc>
        <w:tc>
          <w:tcPr>
            <w:tcW w:w="5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1776"/>
        </w:trPr>
        <w:tc>
          <w:tcPr>
            <w:tcW w:w="2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2" w:name="page193"/>
    <w:bookmarkEnd w:id="192"/>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333-256521, 333-263343, 333-268071, 333-269727, 333-276372, and 333-284210) and Form S-3 (Nos. 333-274521 and 333-281822) of Day One Biopharmaceuticals, Inc. of our report dated February 24, 2026 relating to the financial statements and the effectiveness of internal control over financial reporting, which appears in this Form 10-K.</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Los Angeles, California</w:t>
      </w:r>
    </w:p>
    <w:p>
      <w:pPr>
        <w:spacing w:after="0" w:line="238" w:lineRule="auto"/>
        <w:rPr>
          <w:sz w:val="20"/>
          <w:szCs w:val="20"/>
          <w:color w:val="auto"/>
        </w:rPr>
      </w:pPr>
      <w:r>
        <w:rPr>
          <w:rFonts w:ascii="Georgia" w:cs="Georgia" w:eastAsia="Georgia" w:hAnsi="Georgia"/>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1146175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Jeremy Bender, certify that:</w:t>
      </w:r>
    </w:p>
    <w:p>
      <w:pPr>
        <w:spacing w:after="0" w:line="225"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Day One Biopharmaceuticals, Inc.;</w:t>
      </w:r>
    </w:p>
    <w:p>
      <w:pPr>
        <w:spacing w:after="0" w:line="184" w:lineRule="exact"/>
        <w:rPr>
          <w:rFonts w:ascii="Times New Roman" w:cs="Times New Roman" w:eastAsia="Times New Roman" w:hAnsi="Times New Roman"/>
          <w:sz w:val="18"/>
          <w:szCs w:val="18"/>
          <w:color w:val="auto"/>
        </w:rPr>
      </w:pPr>
    </w:p>
    <w:p>
      <w:pPr>
        <w:ind w:left="920" w:right="180" w:hanging="912"/>
        <w:spacing w:after="0" w:line="266" w:lineRule="auto"/>
        <w:tabs>
          <w:tab w:leader="none" w:pos="1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920" w:right="540" w:hanging="912"/>
        <w:spacing w:after="0" w:line="282" w:lineRule="auto"/>
        <w:tabs>
          <w:tab w:leader="none" w:pos="1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920" w:right="20" w:hanging="912"/>
        <w:spacing w:after="0" w:line="266" w:lineRule="auto"/>
        <w:tabs>
          <w:tab w:leader="none" w:pos="1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40" w:right="20" w:hanging="911"/>
        <w:spacing w:after="0" w:line="266" w:lineRule="auto"/>
        <w:tabs>
          <w:tab w:leader="none" w:pos="12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40" w:right="220" w:hanging="911"/>
        <w:spacing w:after="0" w:line="266" w:lineRule="auto"/>
        <w:tabs>
          <w:tab w:leader="none" w:pos="12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40" w:right="320" w:hanging="911"/>
        <w:spacing w:after="0" w:line="266" w:lineRule="auto"/>
        <w:tabs>
          <w:tab w:leader="none" w:pos="12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40" w:right="280" w:hanging="911"/>
        <w:spacing w:after="0" w:line="266" w:lineRule="auto"/>
        <w:tabs>
          <w:tab w:leader="none" w:pos="12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920" w:right="460" w:hanging="912"/>
        <w:spacing w:after="0" w:line="282" w:lineRule="auto"/>
        <w:tabs>
          <w:tab w:leader="none" w:pos="1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40" w:right="160" w:hanging="911"/>
        <w:spacing w:after="0" w:line="282" w:lineRule="auto"/>
        <w:tabs>
          <w:tab w:leader="none" w:pos="12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40" w:right="220" w:hanging="911"/>
        <w:spacing w:after="0" w:line="282" w:lineRule="auto"/>
        <w:tabs>
          <w:tab w:leader="none" w:pos="12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762"/>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Charles York II,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Day One Biopharmaceuticals, Inc.;</w:t>
      </w:r>
    </w:p>
    <w:p>
      <w:pPr>
        <w:spacing w:after="0" w:line="184" w:lineRule="exact"/>
        <w:rPr>
          <w:rFonts w:ascii="Times New Roman" w:cs="Times New Roman" w:eastAsia="Times New Roman" w:hAnsi="Times New Roman"/>
          <w:sz w:val="18"/>
          <w:szCs w:val="18"/>
          <w:color w:val="auto"/>
        </w:rPr>
      </w:pPr>
    </w:p>
    <w:p>
      <w:pPr>
        <w:ind w:left="920" w:right="180" w:hanging="912"/>
        <w:spacing w:after="0" w:line="266" w:lineRule="auto"/>
        <w:tabs>
          <w:tab w:leader="none" w:pos="1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920" w:right="540" w:hanging="912"/>
        <w:spacing w:after="0" w:line="282" w:lineRule="auto"/>
        <w:tabs>
          <w:tab w:leader="none" w:pos="1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920" w:right="20" w:hanging="912"/>
        <w:spacing w:after="0" w:line="266" w:lineRule="auto"/>
        <w:tabs>
          <w:tab w:leader="none" w:pos="1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40" w:right="20" w:hanging="911"/>
        <w:spacing w:after="0" w:line="266" w:lineRule="auto"/>
        <w:tabs>
          <w:tab w:leader="none" w:pos="120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40" w:right="220" w:hanging="911"/>
        <w:spacing w:after="0" w:line="266" w:lineRule="auto"/>
        <w:tabs>
          <w:tab w:leader="none" w:pos="121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40" w:right="320" w:hanging="911"/>
        <w:spacing w:after="0" w:line="266" w:lineRule="auto"/>
        <w:tabs>
          <w:tab w:leader="none" w:pos="120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40" w:right="280" w:hanging="911"/>
        <w:spacing w:after="0" w:line="266" w:lineRule="auto"/>
        <w:tabs>
          <w:tab w:leader="none" w:pos="121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920" w:right="460" w:hanging="912"/>
        <w:spacing w:after="0" w:line="282" w:lineRule="auto"/>
        <w:tabs>
          <w:tab w:leader="none" w:pos="1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40" w:right="160" w:hanging="911"/>
        <w:spacing w:after="0" w:line="282" w:lineRule="auto"/>
        <w:tabs>
          <w:tab w:leader="none" w:pos="120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40" w:right="220" w:hanging="911"/>
        <w:spacing w:after="0" w:line="282" w:lineRule="auto"/>
        <w:tabs>
          <w:tab w:leader="none" w:pos="121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York II,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627"/>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 (a) and (b) of Section 1350, Chapter 63 of Title 18, United States Code)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officers of Day One Biopharmaceuticals, Inc., a Delaware corporation (the “Company”), do hereby certify that, to the best of our knowledge:</w:t>
      </w:r>
    </w:p>
    <w:p>
      <w:pPr>
        <w:spacing w:after="0" w:line="162" w:lineRule="exact"/>
        <w:rPr>
          <w:sz w:val="20"/>
          <w:szCs w:val="20"/>
          <w:color w:val="auto"/>
        </w:rPr>
      </w:pPr>
    </w:p>
    <w:p>
      <w:pPr>
        <w:ind w:left="760" w:right="900" w:hanging="378"/>
        <w:spacing w:after="0" w:line="282"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2025 (the “Form 10-K”) of the Company fully complies with the requirements of Section 13(a) or 15(d) of the Securities Act of 1934; and</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c>
          <w:tcPr>
            <w:tcW w:w="1300" w:type="dxa"/>
            <w:vAlign w:val="bottom"/>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York II,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o"/>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lowerRoman"/>
      <w:start w:val="2"/>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2"/>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lowerLetter"/>
      <w:start w:val="1"/>
    </w:lvl>
    <w:lvl w:ilvl="1">
      <w:lvlJc w:val="left"/>
      <w:lvlText w:val="(%2)"/>
      <w:numFmt w:val="lowerRoman"/>
      <w:start w:val="1"/>
    </w:lvl>
  </w:abstractNum>
  <w:abstractNum w:abstractNumId="60">
    <w:nsid w:val="25A70BF7"/>
    <w:multiLevelType w:val="hybridMultilevel"/>
    <w:lvl w:ilvl="0">
      <w:lvlJc w:val="left"/>
      <w:lvlText w:val="(%1)"/>
      <w:numFmt w:val="lowerLetter"/>
      <w:start w:val="23"/>
    </w:lvl>
    <w:lvl w:ilvl="1">
      <w:lvlJc w:val="left"/>
      <w:lvlText w:val="(%2)"/>
      <w:numFmt w:val="lowerLetter"/>
      <w:start w:val="2"/>
    </w:lvl>
  </w:abstractNum>
  <w:abstractNum w:abstractNumId="61">
    <w:nsid w:val="1DBABF0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192" Type="http://schemas.openxmlformats.org/officeDocument/2006/relationships/hyperlink" Target="https://www.sec.gov/Archives/edgar/data/1442836/000110465925110764/tm2531148d1_ex2-1.htm" TargetMode="External"/><Relationship Id="rId193" Type="http://schemas.openxmlformats.org/officeDocument/2006/relationships/hyperlink" Target="https://www.sec.gov/Archives/edgar/data/1845337/000095017023039118/dawn-ex3_1.htm" TargetMode="External"/><Relationship Id="rId194" Type="http://schemas.openxmlformats.org/officeDocument/2006/relationships/hyperlink" Target="https://www.sec.gov/Archives/edgar/data/1845337/000119312523046522/d467705dex31.htm" TargetMode="External"/><Relationship Id="rId195" Type="http://schemas.openxmlformats.org/officeDocument/2006/relationships/hyperlink" Target="https://www.sec.gov/Archives/edgar/data/1845337/000095017022002959/dawn-ex3_3.htm" TargetMode="External"/><Relationship Id="rId196" Type="http://schemas.openxmlformats.org/officeDocument/2006/relationships/hyperlink" Target="https://www.sec.gov/Archives/edgar/data/1845337/000119312521169895/d155073dex41.htm" TargetMode="External"/><Relationship Id="rId197" Type="http://schemas.openxmlformats.org/officeDocument/2006/relationships/hyperlink" Target="https://www.sec.gov/Archives/edgar/data/1845337/000119312521150017/d155073dex42.htm" TargetMode="External"/><Relationship Id="rId198" Type="http://schemas.openxmlformats.org/officeDocument/2006/relationships/hyperlink" Target="https://www.sec.gov/Archives/edgar/data/1845337/000119312524188235/d527155dex41.htm" TargetMode="External"/><Relationship Id="rId199" Type="http://schemas.openxmlformats.org/officeDocument/2006/relationships/hyperlink" Target="https://www.sec.gov/Archives/edgar/data/1845337/000119312524188235/d527155dex101.htm" TargetMode="External"/><Relationship Id="rId200" Type="http://schemas.openxmlformats.org/officeDocument/2006/relationships/hyperlink" Target="https://www.sec.gov/Archives/edgar/data/1845337/000119312524188235/d527155dex102.htm" TargetMode="External"/><Relationship Id="rId201" Type="http://schemas.openxmlformats.org/officeDocument/2006/relationships/hyperlink" Target="https://www.sec.gov/Archives/edgar/data/1845337/000095017022002959/dawn-ex4_3.htm" TargetMode="External"/><Relationship Id="rId202" Type="http://schemas.openxmlformats.org/officeDocument/2006/relationships/hyperlink" Target="https://www.sec.gov/Archives/edgar/data/1845337/000119312521150017/d155073dex101.htm" TargetMode="External"/><Relationship Id="rId203" Type="http://schemas.openxmlformats.org/officeDocument/2006/relationships/hyperlink" Target="https://www.sec.gov/Archives/edgar/data/1845337/000095017022002959/dawn-ex10_2.htm" TargetMode="External"/><Relationship Id="rId206" Type="http://schemas.openxmlformats.org/officeDocument/2006/relationships/hyperlink" Target="https://www.sec.gov/Archives/edgar/data/1845337/000119312524002434/d698978dex991.htm" TargetMode="External"/><Relationship Id="rId207" Type="http://schemas.openxmlformats.org/officeDocument/2006/relationships/hyperlink" Target="https://www.sec.gov/Archives/edgar/data/1845337/000119312524002434/d698978dex992.htm" TargetMode="External"/><Relationship Id="rId208" Type="http://schemas.openxmlformats.org/officeDocument/2006/relationships/hyperlink" Target="https://www.sec.gov/Archives/edgar/data/1845337/000119312522273901/d387617dex991.htm" TargetMode="External"/><Relationship Id="rId209" Type="http://schemas.openxmlformats.org/officeDocument/2006/relationships/hyperlink" Target="https://www.sec.gov/Archives/edgar/data/1845337/000095017025026654/dawn-ex10_6.htm" TargetMode="External"/><Relationship Id="rId210" Type="http://schemas.openxmlformats.org/officeDocument/2006/relationships/hyperlink" Target="https://www.sec.gov/Archives/edgar/data/1845337/000119312521150017/d155073dex105.htm" TargetMode="External"/><Relationship Id="rId211" Type="http://schemas.openxmlformats.org/officeDocument/2006/relationships/hyperlink" Target="https://www.sec.gov/Archives/edgar/data/1845337/000119312521150017/d155073dex106.htm" TargetMode="External"/><Relationship Id="rId212" Type="http://schemas.openxmlformats.org/officeDocument/2006/relationships/hyperlink" Target="https://www.sec.gov/Archives/edgar/data/1845337/000119312521150017/d155073dex108.htm" TargetMode="External"/><Relationship Id="rId213" Type="http://schemas.openxmlformats.org/officeDocument/2006/relationships/hyperlink" Target="https://www.sec.gov/Archives/edgar/data/1845337/000119312524062203/d764767dex101.htm" TargetMode="External"/><Relationship Id="rId214" Type="http://schemas.openxmlformats.org/officeDocument/2006/relationships/hyperlink" Target="https://www.sec.gov/Archives/edgar/data/1845337/000095017024089945/dawn-ex10_1.htm" TargetMode="External"/><Relationship Id="rId215" Type="http://schemas.openxmlformats.org/officeDocument/2006/relationships/hyperlink" Target="https://www.sec.gov/Archives/edgar/data/1845337/000095017024089945/dawn-ex10_2.htm" TargetMode="External"/><Relationship Id="rId216" Type="http://schemas.openxmlformats.org/officeDocument/2006/relationships/hyperlink" Target="https://www.sec.gov/Archives/edgar/data/1845337/000095017024118958/dawn-ex10_1.htm" TargetMode="External"/><Relationship Id="rId217" Type="http://schemas.openxmlformats.org/officeDocument/2006/relationships/hyperlink" Target="https://www.sec.gov/Archives/edgar/data/1845337/000095017025026654/dawn-ex19_1.htm" TargetMode="External"/><Relationship Id="rId220" Type="http://schemas.openxmlformats.org/officeDocument/2006/relationships/hyperlink" Target="https://www.sec.gov/Archives/edgar/data/1845337/000095017025026654/daw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2026-02-24T15:22:17Z</dcterms:created>
  <dcterms:modified xsi:type="dcterms:W3CDTF">2026-02-24T15:22:17Z</dcterms:modified>
</cp:coreProperties>
</file>