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23,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333-274521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500" w:right="500"/>
        <w:spacing w:after="0" w:line="255" w:lineRule="auto"/>
        <w:rPr>
          <w:sz w:val="20"/>
          <w:szCs w:val="20"/>
          <w:color w:val="auto"/>
        </w:rPr>
      </w:pPr>
      <w:r>
        <w:rPr>
          <w:rFonts w:ascii="Times New Roman" w:cs="Times New Roman" w:eastAsia="Times New Roman" w:hAnsi="Times New Roman"/>
          <w:sz w:val="21"/>
          <w:szCs w:val="21"/>
          <w:b w:val="1"/>
          <w:bCs w:val="1"/>
          <w:color w:val="auto"/>
        </w:rPr>
        <w:t>POST-EFFECTIVE AMENDMENT NO. 1 TO FORM S-3 REGISTRATION STATEMENT NO. 333-274521 POST-EFFECTIVE AMENDMENT NO. 1 TO FORM S-3 REGISTRATION STATEMENT NO. 333-281822</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DAY ONE BIOPHARMACEUTICALS,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83-2415215</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 Sierra Point Parkway,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Brisbane, CA 94005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484-0899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Deniz Razon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Business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Servier Pharmaceuticals LLC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Pier Four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807-6124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Piotr Korzynski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S. Pilo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F. DeFranco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Michelle Carr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East Randolph Street, Suite 5000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(312) 861-8000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7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right="6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1" w:right="47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5" w:lineRule="exact"/>
        <w:rPr>
          <w:sz w:val="20"/>
          <w:szCs w:val="20"/>
          <w:color w:val="auto"/>
        </w:rPr>
      </w:pPr>
    </w:p>
    <w:p>
      <w:pPr>
        <w:ind w:left="4" w:right="520"/>
        <w:spacing w:after="0" w:line="286"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b w:val="1"/>
          <w:bCs w:val="1"/>
          <w:color w:val="auto"/>
        </w:rPr>
        <w:t>Post-Effective Amendment</w:t>
      </w:r>
      <w:r>
        <w:rPr>
          <w:rFonts w:ascii="Times New Roman" w:cs="Times New Roman" w:eastAsia="Times New Roman" w:hAnsi="Times New Roman"/>
          <w:sz w:val="18"/>
          <w:szCs w:val="18"/>
          <w:color w:val="auto"/>
        </w:rPr>
        <w:t>”) filed by Day One Pharmaceuticals,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relate to the following registration statements on Form S-3 (together, the “</w:t>
      </w:r>
      <w:r>
        <w:rPr>
          <w:rFonts w:ascii="Times New Roman" w:cs="Times New Roman" w:eastAsia="Times New Roman" w:hAnsi="Times New Roman"/>
          <w:sz w:val="18"/>
          <w:szCs w:val="18"/>
          <w:b w:val="1"/>
          <w:bCs w:val="1"/>
          <w:color w:val="auto"/>
        </w:rPr>
        <w:t>Registration Statements</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24" w:right="80" w:hanging="424"/>
        <w:spacing w:after="0" w:line="256" w:lineRule="auto"/>
        <w:tabs>
          <w:tab w:leader="none" w:pos="424"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Statement No. 333-274521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U.S. Securities and Exchange Commission (the “</w:t>
      </w:r>
      <w:r>
        <w:rPr>
          <w:rFonts w:ascii="Times New Roman" w:cs="Times New Roman" w:eastAsia="Times New Roman" w:hAnsi="Times New Roman"/>
          <w:sz w:val="18"/>
          <w:szCs w:val="18"/>
          <w:b w:val="1"/>
          <w:bCs w:val="1"/>
          <w:color w:val="000000"/>
        </w:rPr>
        <w:t>Commission</w:t>
      </w:r>
      <w:r>
        <w:rPr>
          <w:rFonts w:ascii="Times New Roman" w:cs="Times New Roman" w:eastAsia="Times New Roman" w:hAnsi="Times New Roman"/>
          <w:sz w:val="18"/>
          <w:szCs w:val="18"/>
          <w:color w:val="000000"/>
        </w:rPr>
        <w:t>”) on September 14,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became effective automatically upon filing, registering (i) the issuance and sale by the Registrant of the Registrant’s common stock, par value $0.0001 per share (the “</w:t>
      </w:r>
      <w:r>
        <w:rPr>
          <w:rFonts w:ascii="Times New Roman" w:cs="Times New Roman" w:eastAsia="Times New Roman" w:hAnsi="Times New Roman"/>
          <w:sz w:val="18"/>
          <w:szCs w:val="18"/>
          <w:b w:val="1"/>
          <w:bCs w:val="1"/>
          <w:color w:val="000000"/>
        </w:rPr>
        <w:t>Common Stock</w:t>
      </w:r>
      <w:r>
        <w:rPr>
          <w:rFonts w:ascii="Times New Roman" w:cs="Times New Roman" w:eastAsia="Times New Roman" w:hAnsi="Times New Roman"/>
          <w:sz w:val="18"/>
          <w:szCs w:val="18"/>
          <w:color w:val="000000"/>
        </w:rPr>
        <w:t>”), preferred stock, par value $0.0001 per share, debt securities, warrants to purchase Common Stock, preferred stock or debt securities, subscription rights to purchase Common Stock, preferred stock or debt securities and/or units consisting of some or all of these securities and (ii) an equity distribution agreement prospectus covering the offering, issuance and sale by the Registrant of up to a maximum aggregate offering price of $250,000,000 of Common Stock that may be issued and sold under an equity distribution agreement dated, June 1, 2022, with Piper Sandler &amp; Co. and JonesTrading Institutional Services LLC.</w:t>
      </w:r>
    </w:p>
    <w:p>
      <w:pPr>
        <w:spacing w:after="0" w:line="92" w:lineRule="exact"/>
        <w:rPr>
          <w:rFonts w:ascii="Times New Roman" w:cs="Times New Roman" w:eastAsia="Times New Roman" w:hAnsi="Times New Roman"/>
          <w:sz w:val="18"/>
          <w:szCs w:val="18"/>
          <w:color w:val="0000EE"/>
        </w:rPr>
      </w:pPr>
    </w:p>
    <w:p>
      <w:pPr>
        <w:ind w:left="424" w:hanging="424"/>
        <w:spacing w:after="0" w:line="261" w:lineRule="auto"/>
        <w:tabs>
          <w:tab w:leader="none" w:pos="424"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Statement No. 333-281822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Commission on August 28, 2024, which became effective automatically upon filing,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the potential offer and sale from time to time of up to 12,068,959 shares of Common Stock, consisting of (i) 10,551,718 outstanding shares of Common Stock held by certain of selling stockholders of the Registrant and (ii) 1,517,241 shares of Common Stock issuable to certain of the selling stockholders upon exercise of certain outstanding pre-funded warrants held by such selling stockholders.</w:t>
      </w:r>
    </w:p>
    <w:p>
      <w:pPr>
        <w:spacing w:after="0" w:line="176" w:lineRule="exact"/>
        <w:rPr>
          <w:rFonts w:ascii="Times New Roman" w:cs="Times New Roman" w:eastAsia="Times New Roman" w:hAnsi="Times New Roman"/>
          <w:sz w:val="18"/>
          <w:szCs w:val="18"/>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On April 23, 2026, pursuant to the Agreement and Plan of Merger, dated as of March 6, 2026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Registrant, Servier Detroit Inc.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 direct wholly owned subsidiary of Servier Pharmaceuticals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which is an indirect wholly owned subsidiary of Servier S.A.S., Purchaser merged with and into the Registrant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Registrant surviving such Merger as a wholly owned subsidiary of Parent. As a result of the transactions contemplated by the Merger Agreement, the Registrant has terminated any and all offerings and sales of securities pursuant to the Registration Statements. In accordance with an undertaking made by the Registrant in the Registration Statements to remove from registration, by means of a post-effective amendment, any of the securities of the Registrant registered under the Registration Statements which remain unsold at the termination of the offering, the Registrant hereby terminates the effectiveness of the Registration Statements and removes from registration all of the securities that remain unsold under the Registration Statements as of the date hereof, if any.</w:t>
      </w:r>
    </w:p>
    <w:p>
      <w:pPr>
        <w:spacing w:after="0" w:line="189" w:lineRule="exact"/>
        <w:rPr>
          <w:rFonts w:ascii="Times New Roman" w:cs="Times New Roman" w:eastAsia="Times New Roman" w:hAnsi="Times New Roman"/>
          <w:sz w:val="18"/>
          <w:szCs w:val="18"/>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withdraw and remove from registration all securities registered pursuant to the Registration Statements that remain unsold as of the date hereof. The Registration Statements are hereby amended, as appropriate, to reflect the deregistration of such securities. After giving effect to this Post-Effective Amendments, there will be no remaining securities registered by the Registrant pursuant to the Registration Statements.</w:t>
      </w:r>
    </w:p>
    <w:p>
      <w:pPr>
        <w:sectPr>
          <w:pgSz w:w="11900" w:h="16838" w:orient="portrait"/>
          <w:cols w:equalWidth="0" w:num="1">
            <w:col w:w="11004"/>
          </w:cols>
          <w:pgMar w:left="436" w:top="266" w:right="459" w:bottom="1440" w:gutter="0" w:footer="0" w:header="0"/>
        </w:sectPr>
      </w:pPr>
    </w:p>
    <w:bookmarkStart w:id="3" w:name="page4"/>
    <w:bookmarkEnd w:id="3"/>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these Post-Effective Amendments to be signed on its behalf by the undersigned, thereunto duly authorized, in the City of Boston, Massachusetts, on April 23,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ONE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Lee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Lee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Secretary</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0600"/>
      </w:cols>
      <w:pgMar w:left="440" w:top="26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0" Type="http://schemas.openxmlformats.org/officeDocument/2006/relationships/hyperlink" Target="http://www.sec.gov/Archives/edgar/data/1845337/000119312523235414/d513860ds3asr.htm" TargetMode="External"/><Relationship Id="rId21" Type="http://schemas.openxmlformats.org/officeDocument/2006/relationships/hyperlink" Target="http://www.sec.gov/Archives/edgar/data/1845337/000119312524208798/d887399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2026-04-23T07:58:50Z</dcterms:created>
  <dcterms:modified xsi:type="dcterms:W3CDTF">2026-04-23T07:58:50Z</dcterms:modified>
</cp:coreProperties>
</file>