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85725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109220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2023</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p>
      <w:pPr>
        <w:ind w:left="36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-3175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107315</wp:posOffset>
            </wp:positionV>
            <wp:extent cx="1543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DAY ONE BIOPHARMACEUTICALS, INC.</w:t>
      </w:r>
    </w:p>
    <w:p>
      <w:pPr>
        <w:spacing w:after="0" w:line="64"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180" w:type="dxa"/>
            <w:vAlign w:val="bottom"/>
            <w:gridSpan w:val="3"/>
          </w:tcPr>
          <w:p>
            <w:pPr>
              <w:jc w:val="center"/>
              <w:ind w:left="190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20" w:type="dxa"/>
            <w:vAlign w:val="bottom"/>
          </w:tcPr>
          <w:p>
            <w:pPr>
              <w:spacing w:after="0"/>
              <w:rPr>
                <w:sz w:val="18"/>
                <w:szCs w:val="18"/>
                <w:color w:val="auto"/>
              </w:rPr>
            </w:pPr>
          </w:p>
        </w:tc>
      </w:tr>
      <w:tr>
        <w:trPr>
          <w:trHeight w:val="121"/>
        </w:trPr>
        <w:tc>
          <w:tcPr>
            <w:tcW w:w="2880" w:type="dxa"/>
            <w:vAlign w:val="bottom"/>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366"/>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83-2415215</w:t>
            </w:r>
          </w:p>
        </w:tc>
      </w:tr>
      <w:tr>
        <w:trPr>
          <w:trHeight w:val="148"/>
        </w:trPr>
        <w:tc>
          <w:tcPr>
            <w:tcW w:w="6180" w:type="dxa"/>
            <w:vAlign w:val="bottom"/>
            <w:gridSpan w:val="3"/>
          </w:tcPr>
          <w:p>
            <w:pPr>
              <w:jc w:val="center"/>
              <w:ind w:right="3600"/>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220" w:type="dxa"/>
            <w:vAlign w:val="bottom"/>
          </w:tcPr>
          <w:p>
            <w:pPr>
              <w:jc w:val="center"/>
              <w:ind w:left="170"/>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32"/>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2000 Sierra Point Parkway, Suite 501</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12"/>
        </w:trPr>
        <w:tc>
          <w:tcPr>
            <w:tcW w:w="6180" w:type="dxa"/>
            <w:vAlign w:val="bottom"/>
            <w:gridSpan w:val="3"/>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rPr>
              <w:t>Brisbane, CA</w:t>
            </w:r>
          </w:p>
        </w:tc>
        <w:tc>
          <w:tcPr>
            <w:tcW w:w="1220" w:type="dxa"/>
            <w:vAlign w:val="bottom"/>
          </w:tcPr>
          <w:p>
            <w:pPr>
              <w:spacing w:after="0"/>
              <w:rPr>
                <w:sz w:val="18"/>
                <w:szCs w:val="18"/>
                <w:color w:val="auto"/>
              </w:rPr>
            </w:pPr>
          </w:p>
        </w:tc>
      </w:tr>
      <w:tr>
        <w:trPr>
          <w:trHeight w:val="179"/>
        </w:trPr>
        <w:tc>
          <w:tcPr>
            <w:tcW w:w="6180" w:type="dxa"/>
            <w:vAlign w:val="bottom"/>
            <w:gridSpan w:val="3"/>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03"/>
        </w:trPr>
        <w:tc>
          <w:tcPr>
            <w:tcW w:w="5320" w:type="dxa"/>
            <w:vAlign w:val="bottom"/>
            <w:gridSpan w:val="2"/>
          </w:tcPr>
          <w:p>
            <w:pPr>
              <w:jc w:val="center"/>
              <w:ind w:left="2825"/>
              <w:spacing w:after="0"/>
              <w:rPr>
                <w:sz w:val="20"/>
                <w:szCs w:val="20"/>
                <w:color w:val="auto"/>
              </w:rPr>
            </w:pPr>
            <w:r>
              <w:rPr>
                <w:rFonts w:ascii="Times New Roman" w:cs="Times New Roman" w:eastAsia="Times New Roman" w:hAnsi="Times New Roman"/>
                <w:sz w:val="16"/>
                <w:szCs w:val="16"/>
                <w:b w:val="1"/>
                <w:bCs w:val="1"/>
                <w:color w:val="auto"/>
              </w:rPr>
              <w:t>(650) 484-0899</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6180" w:type="dxa"/>
            <w:vAlign w:val="bottom"/>
            <w:gridSpan w:val="3"/>
          </w:tcPr>
          <w:p>
            <w:pPr>
              <w:jc w:val="center"/>
              <w:ind w:left="196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22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106680</wp:posOffset>
            </wp:positionV>
            <wp:extent cx="154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52" w:lineRule="exact"/>
        <w:rPr>
          <w:sz w:val="24"/>
          <w:szCs w:val="24"/>
          <w:color w:val="auto"/>
        </w:rPr>
      </w:pPr>
    </w:p>
    <w:tbl>
      <w:tblPr>
        <w:tblLayout w:type="fixed"/>
        <w:tblInd w:w="20" w:type="dxa"/>
        <w:tblCellMar>
          <w:top w:w="0" w:type="dxa"/>
          <w:left w:w="0" w:type="dxa"/>
          <w:bottom w:w="0" w:type="dxa"/>
          <w:right w:w="0" w:type="dxa"/>
        </w:tblCellMar>
      </w:tblPr>
      <w:tr>
        <w:trPr>
          <w:trHeight w:val="16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79"/>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60" w:type="dxa"/>
            <w:vAlign w:val="bottom"/>
          </w:tcPr>
          <w:p>
            <w:pPr>
              <w:spacing w:after="0"/>
              <w:rPr>
                <w:sz w:val="24"/>
                <w:szCs w:val="24"/>
                <w:color w:val="auto"/>
              </w:rPr>
            </w:pPr>
          </w:p>
        </w:tc>
        <w:tc>
          <w:tcPr>
            <w:tcW w:w="358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DAWN</w:t>
            </w:r>
          </w:p>
        </w:tc>
        <w:tc>
          <w:tcPr>
            <w:tcW w:w="160" w:type="dxa"/>
            <w:vAlign w:val="bottom"/>
          </w:tcPr>
          <w:p>
            <w:pPr>
              <w:spacing w:after="0"/>
              <w:rPr>
                <w:sz w:val="24"/>
                <w:szCs w:val="24"/>
                <w:color w:val="auto"/>
              </w:rPr>
            </w:pPr>
          </w:p>
        </w:tc>
        <w:tc>
          <w:tcPr>
            <w:tcW w:w="358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7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26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25, 2023, the registrant had 73,572,633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rising interest rates, instability in the global banking system, and geopolitical conflicts, including the war in Ukraine,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0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2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EE"/>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vMerge w:val="continue"/>
          </w:tcPr>
          <w:p>
            <w:pPr>
              <w:spacing w:after="0"/>
              <w:rPr>
                <w:sz w:val="20"/>
                <w:szCs w:val="20"/>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40" w:type="dxa"/>
            <w:vAlign w:val="bottom"/>
            <w:gridSpan w:val="13"/>
          </w:tcPr>
          <w:p>
            <w:pPr>
              <w:ind w:left="446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257,007</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322,388</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347,874</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3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323,563</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349,062</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22,848</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16,615</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portion of lease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23,148</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17,023</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as of March 31, 2023 and December</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31, 2022; 73,572,633 and 73,458,176 shares issued and outstanding as of March 31, 2023 and December</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31, 2022, respectively</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601,771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r>
      <w:tr>
        <w:trPr>
          <w:trHeight w:val="22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(312,061 )</w:t>
            </w:r>
          </w:p>
        </w:tc>
        <w:tc>
          <w:tcPr>
            <w:tcW w:w="2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(269,668 )</w:t>
            </w:r>
          </w:p>
        </w:tc>
      </w:tr>
      <w:tr>
        <w:trPr>
          <w:trHeight w:val="223"/>
        </w:trPr>
        <w:tc>
          <w:tcPr>
            <w:tcW w:w="7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300,415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323,563</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349,062</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-3445510</wp:posOffset>
            </wp:positionV>
            <wp:extent cx="7683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-2845435</wp:posOffset>
            </wp:positionV>
            <wp:extent cx="7683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-1936750</wp:posOffset>
            </wp:positionV>
            <wp:extent cx="7683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-1628140</wp:posOffset>
            </wp:positionV>
            <wp:extent cx="7683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7683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27,828</w:t>
            </w:r>
          </w:p>
        </w:tc>
        <w:tc>
          <w:tcPr>
            <w:tcW w:w="300" w:type="dxa"/>
            <w:vAlign w:val="bottom"/>
          </w:tcPr>
          <w:p>
            <w:pPr>
              <w:spacing w:after="0"/>
              <w:rPr>
                <w:sz w:val="19"/>
                <w:szCs w:val="19"/>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100" w:type="dxa"/>
            <w:vAlign w:val="bottom"/>
          </w:tcPr>
          <w:p>
            <w:pPr>
              <w:spacing w:after="0"/>
              <w:rPr>
                <w:sz w:val="19"/>
                <w:szCs w:val="19"/>
                <w:color w:val="auto"/>
              </w:rPr>
            </w:pPr>
          </w:p>
        </w:tc>
      </w:tr>
      <w:tr>
        <w:trPr>
          <w:trHeight w:val="233"/>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18,027</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45,855</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27,748</w:t>
            </w:r>
          </w:p>
        </w:tc>
        <w:tc>
          <w:tcPr>
            <w:tcW w:w="100" w:type="dxa"/>
            <w:vAlign w:val="bottom"/>
          </w:tcPr>
          <w:p>
            <w:pPr>
              <w:spacing w:after="0"/>
              <w:rPr>
                <w:sz w:val="19"/>
                <w:szCs w:val="19"/>
                <w:color w:val="auto"/>
              </w:rPr>
            </w:pPr>
          </w:p>
        </w:tc>
      </w:tr>
      <w:tr>
        <w:trPr>
          <w:trHeight w:val="22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(45,855</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 net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(4 )</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
        </w:trPr>
        <w:tc>
          <w:tcPr>
            <w:tcW w:w="748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400" w:type="dxa"/>
            <w:vAlign w:val="bottom"/>
          </w:tcPr>
          <w:p>
            <w:pPr>
              <w:spacing w:after="0"/>
              <w:rPr>
                <w:sz w:val="19"/>
                <w:szCs w:val="19"/>
                <w:color w:val="auto"/>
              </w:rPr>
            </w:pPr>
          </w:p>
        </w:tc>
        <w:tc>
          <w:tcPr>
            <w:tcW w:w="16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(42,393 )</w:t>
            </w:r>
          </w:p>
        </w:tc>
        <w:tc>
          <w:tcPr>
            <w:tcW w:w="3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(27,747 )</w:t>
            </w:r>
          </w:p>
        </w:tc>
      </w:tr>
      <w:tr>
        <w:trPr>
          <w:trHeight w:val="26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40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computing net loss per share, basic and diluted</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71,972,888</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58,382,444</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-1113790</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-805180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-196850</wp:posOffset>
            </wp:positionV>
            <wp:extent cx="1311275"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1275" cy="19748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(42,393</w:t>
            </w:r>
          </w:p>
        </w:tc>
        <w:tc>
          <w:tcPr>
            <w:tcW w:w="3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(27,747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7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(42,255 )</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(27,747 )</w:t>
            </w:r>
          </w:p>
        </w:tc>
      </w:tr>
      <w:tr>
        <w:trPr>
          <w:trHeight w:val="20"/>
        </w:trPr>
        <w:tc>
          <w:tcPr>
            <w:tcW w:w="7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-179070</wp:posOffset>
            </wp:positionV>
            <wp:extent cx="685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8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73,458,176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601,771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(269,668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w w:val="87"/>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release of</w:t>
            </w: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gridSpan w:val="4"/>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87"/>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 forfeiture</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(21,400 )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w w:val="87"/>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gridSpan w:val="4"/>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87"/>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5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w w:val="87"/>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(42,393 )</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(42,393 )</w:t>
            </w:r>
          </w:p>
        </w:tc>
        <w:tc>
          <w:tcPr>
            <w:tcW w:w="0" w:type="dxa"/>
            <w:vAlign w:val="bottom"/>
          </w:tcPr>
          <w:p>
            <w:pPr>
              <w:spacing w:after="0"/>
              <w:rPr>
                <w:sz w:val="1"/>
                <w:szCs w:val="1"/>
                <w:color w:val="auto"/>
              </w:rPr>
            </w:pPr>
          </w:p>
        </w:tc>
      </w:tr>
      <w:tr>
        <w:trPr>
          <w:trHeight w:val="23"/>
        </w:trPr>
        <w:tc>
          <w:tcPr>
            <w:tcW w:w="324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73,572,633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612,402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5"/>
          </w:tcPr>
          <w:p>
            <w:pPr>
              <w:jc w:val="right"/>
              <w:ind w:right="79"/>
              <w:spacing w:after="0"/>
              <w:rPr>
                <w:sz w:val="20"/>
                <w:szCs w:val="20"/>
                <w:color w:val="auto"/>
              </w:rPr>
            </w:pPr>
            <w:r>
              <w:rPr>
                <w:rFonts w:ascii="Times New Roman" w:cs="Times New Roman" w:eastAsia="Times New Roman" w:hAnsi="Times New Roman"/>
                <w:sz w:val="16"/>
                <w:szCs w:val="16"/>
                <w:color w:val="auto"/>
              </w:rPr>
              <w:t>(312,061 )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24"/>
                <w:szCs w:val="24"/>
                <w:color w:val="auto"/>
              </w:rPr>
            </w:pPr>
          </w:p>
        </w:tc>
        <w:tc>
          <w:tcPr>
            <w:tcW w:w="156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1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5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61,952,292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408,629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281,148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common stock forfeiture</w:t>
            </w:r>
          </w:p>
        </w:tc>
        <w:tc>
          <w:tcPr>
            <w:tcW w:w="5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(40,363 )</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(27,747 )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(27,747 )</w:t>
            </w:r>
          </w:p>
        </w:tc>
        <w:tc>
          <w:tcPr>
            <w:tcW w:w="0" w:type="dxa"/>
            <w:vAlign w:val="bottom"/>
          </w:tcPr>
          <w:p>
            <w:pPr>
              <w:spacing w:after="0"/>
              <w:rPr>
                <w:sz w:val="1"/>
                <w:szCs w:val="1"/>
                <w:color w:val="auto"/>
              </w:rPr>
            </w:pPr>
          </w:p>
        </w:tc>
      </w:tr>
      <w:tr>
        <w:trPr>
          <w:trHeight w:val="263"/>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5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61,911,929</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414,831</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-2553970</wp:posOffset>
            </wp:positionV>
            <wp:extent cx="76835" cy="282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-2553970</wp:posOffset>
            </wp:positionV>
            <wp:extent cx="77470"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-2553970</wp:posOffset>
            </wp:positionV>
            <wp:extent cx="68580" cy="282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-2553970</wp:posOffset>
            </wp:positionV>
            <wp:extent cx="68580"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-2553970</wp:posOffset>
            </wp:positionV>
            <wp:extent cx="68580" cy="282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282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-1414145</wp:posOffset>
            </wp:positionV>
            <wp:extent cx="7683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-1414145</wp:posOffset>
            </wp:positionV>
            <wp:extent cx="7747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-1414145</wp:posOffset>
            </wp:positionV>
            <wp:extent cx="6858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-1414145</wp:posOffset>
            </wp:positionV>
            <wp:extent cx="685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-1414145</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-625475</wp:posOffset>
            </wp:positionV>
            <wp:extent cx="7747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-625475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-625475</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-625475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21"/>
                <w:szCs w:val="21"/>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(42,393 )</w:t>
            </w:r>
          </w:p>
        </w:tc>
        <w:tc>
          <w:tcPr>
            <w:tcW w:w="160" w:type="dxa"/>
            <w:vAlign w:val="bottom"/>
          </w:tcPr>
          <w:p>
            <w:pPr>
              <w:spacing w:after="0"/>
              <w:rPr>
                <w:sz w:val="19"/>
                <w:szCs w:val="19"/>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(27,747 )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(599 )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(1,043 )</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3"/>
        </w:trPr>
        <w:tc>
          <w:tcPr>
            <w:tcW w:w="77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(25,985 )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(21,563 )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short-term investments</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(160,014 )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148,847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purchase of property and equipment</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stock option exercises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284,309</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262,731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in accrued expenses and other current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-2236470</wp:posOffset>
            </wp:positionV>
            <wp:extent cx="7747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-1053465</wp:posOffset>
            </wp:positionV>
            <wp:extent cx="7747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122555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5550" cy="17145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3" w:lineRule="exact"/>
        <w:rPr>
          <w:sz w:val="20"/>
          <w:szCs w:val="20"/>
          <w:color w:val="auto"/>
        </w:rPr>
      </w:pPr>
    </w:p>
    <w:p>
      <w:pPr>
        <w:ind w:left="520" w:right="7540" w:hanging="512"/>
        <w:spacing w:after="0" w:line="378" w:lineRule="auto"/>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Organization </w:t>
      </w:r>
      <w:r>
        <w:rPr>
          <w:rFonts w:ascii="Times New Roman" w:cs="Times New Roman" w:eastAsia="Times New Roman" w:hAnsi="Times New Roman"/>
          <w:sz w:val="18"/>
          <w:szCs w:val="18"/>
          <w:b w:val="1"/>
          <w:bCs w:val="1"/>
          <w:i w:val="1"/>
          <w:iCs w:val="1"/>
          <w:color w:val="auto"/>
        </w:rPr>
        <w:t>Organization and Business</w:t>
      </w:r>
    </w:p>
    <w:p>
      <w:pPr>
        <w:ind w:left="520" w:firstLine="509"/>
        <w:spacing w:after="0" w:line="258" w:lineRule="auto"/>
        <w:rPr>
          <w:sz w:val="20"/>
          <w:szCs w:val="20"/>
          <w:color w:val="auto"/>
        </w:rPr>
      </w:pPr>
      <w:r>
        <w:rPr>
          <w:rFonts w:ascii="Times New Roman" w:cs="Times New Roman" w:eastAsia="Times New Roman" w:hAnsi="Times New Roman"/>
          <w:sz w:val="18"/>
          <w:szCs w:val="18"/>
          <w:color w:val="auto"/>
        </w:rPr>
        <w:t>Day One Biopharmaceuticals, Inc., or the Company, is a clinical-stage biopharmaceutical company dedicated to developing and commercializing targeted therapies for people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spacing w:after="0" w:line="75" w:lineRule="exact"/>
        <w:rPr>
          <w:sz w:val="20"/>
          <w:szCs w:val="20"/>
          <w:color w:val="auto"/>
        </w:rPr>
      </w:pPr>
    </w:p>
    <w:p>
      <w:pPr>
        <w:ind w:left="520" w:right="540" w:firstLine="509"/>
        <w:spacing w:after="0" w:line="282" w:lineRule="auto"/>
        <w:rPr>
          <w:sz w:val="20"/>
          <w:szCs w:val="20"/>
          <w:color w:val="auto"/>
        </w:rPr>
      </w:pPr>
      <w:r>
        <w:rPr>
          <w:rFonts w:ascii="Times New Roman" w:cs="Times New Roman" w:eastAsia="Times New Roman" w:hAnsi="Times New Roman"/>
          <w:sz w:val="18"/>
          <w:szCs w:val="18"/>
          <w:color w:val="auto"/>
        </w:rPr>
        <w:t>On May 26, 2021, the Company completed a conversion by filing a certificate of conversion with the Secretary of State of the State of Delaware and changed its name to Day One Biopharmaceuticals, Inc.</w:t>
      </w:r>
    </w:p>
    <w:p>
      <w:pPr>
        <w:spacing w:after="0" w:line="26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20"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as disclosed in Note 2 to the Company’s annual consolidated financial statements for the years ended December 31, 2022 and 2021 included in the Company’s Annual Report on Form 10-K for the year ended December 31, 2022.</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right="40" w:firstLine="509"/>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or GAAP, for interim financial information and with the instructions to Form 10-Q and Article 10 of Regulation S-X. Accordingly, they do not include all of the information and footnotes required by U.S. GAAP for complete financial statements. These accounting principles were applied on a basis consistent with those of the consolidated financial statements contained in the Company's Annual Report on Form 10-K for the year ended December 31, 2022. In the opinion of the Company, the accompanying unaudited condensed consolidated financial statements include all adjustments, consisting of only normal recurring adjustments, necessary for a fair statement of the Company's financial statements for interim periods presented in accordance with U.S. GAAP. The condensed consolidated balance sheet as of December 31, 2022 was derived from audited annual financial statements but does not include all disclosures required by U.S. GAAP. These interim financial statements should be read in conjunction with the audited financial statements for the year ended December 31, 2022 included in the Annual Report on Form</w:t>
      </w:r>
    </w:p>
    <w:p>
      <w:pPr>
        <w:spacing w:after="0" w:line="6" w:lineRule="exact"/>
        <w:rPr>
          <w:sz w:val="20"/>
          <w:szCs w:val="20"/>
          <w:color w:val="auto"/>
        </w:rPr>
      </w:pPr>
    </w:p>
    <w:p>
      <w:pPr>
        <w:ind w:left="520" w:right="180"/>
        <w:spacing w:after="0" w:line="260" w:lineRule="auto"/>
        <w:rPr>
          <w:sz w:val="20"/>
          <w:szCs w:val="20"/>
          <w:color w:val="auto"/>
        </w:rPr>
      </w:pPr>
      <w:r>
        <w:rPr>
          <w:rFonts w:ascii="Times New Roman" w:cs="Times New Roman" w:eastAsia="Times New Roman" w:hAnsi="Times New Roman"/>
          <w:sz w:val="18"/>
          <w:szCs w:val="18"/>
          <w:color w:val="auto"/>
        </w:rPr>
        <w:t>10-K for the year ended December 31, 2022. The results of operations for the three months ended March 31, 2023 are not necessarily indicative of the results to be expected for the full year or any other future periods.</w:t>
      </w:r>
    </w:p>
    <w:p>
      <w:pPr>
        <w:spacing w:after="0" w:line="73" w:lineRule="exact"/>
        <w:rPr>
          <w:sz w:val="20"/>
          <w:szCs w:val="20"/>
          <w:color w:val="auto"/>
        </w:rPr>
      </w:pPr>
    </w:p>
    <w:p>
      <w:pPr>
        <w:ind w:left="520"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the Company's Annual Report on Form 10-K for the year ended December 31, 2022.</w:t>
      </w:r>
    </w:p>
    <w:p>
      <w:pPr>
        <w:spacing w:after="0" w:line="54" w:lineRule="exact"/>
        <w:rPr>
          <w:sz w:val="20"/>
          <w:szCs w:val="20"/>
          <w:color w:val="auto"/>
        </w:rPr>
      </w:pPr>
    </w:p>
    <w:p>
      <w:pPr>
        <w:ind w:left="520" w:right="600" w:firstLine="509"/>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the Accounting Standards Codification, or ASC, and Accounting Standards Updates, or ASU, of the Financial Accounting Standards Board, or FASB.</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20" w:right="20" w:firstLine="509"/>
        <w:spacing w:after="0" w:line="27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337" w:lineRule="exact"/>
        <w:rPr>
          <w:sz w:val="20"/>
          <w:szCs w:val="20"/>
          <w:color w:val="auto"/>
        </w:rPr>
      </w:pPr>
    </w:p>
    <w:p>
      <w:pPr>
        <w:ind w:left="520"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the chief operating decision maker, or CODM. The Company operates and manages the business as one reporting and one operating segment, which is the business of identifying and advancing targeted therapies for people of all ages with genomically defined cancers. The Company’s CODM reviews financial information on an aggregate basis for purposes of allocating resources and evaluating financial performance. All of the Company’s assets are located in the United States.</w:t>
      </w: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left="520" w:right="2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and short-term investments.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issuer, which limits its exposure. The Company has not experienced any losses on its cash, cash equivalents and short-term investments.</w:t>
      </w:r>
    </w:p>
    <w:p>
      <w:pPr>
        <w:spacing w:after="0" w:line="291" w:lineRule="exact"/>
        <w:rPr>
          <w:sz w:val="20"/>
          <w:szCs w:val="20"/>
          <w:color w:val="auto"/>
        </w:rPr>
      </w:pPr>
    </w:p>
    <w:p>
      <w:pPr>
        <w:ind w:left="520"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295" w:lineRule="exact"/>
        <w:rPr>
          <w:sz w:val="20"/>
          <w:szCs w:val="20"/>
          <w:color w:val="auto"/>
        </w:rPr>
      </w:pPr>
    </w:p>
    <w:p>
      <w:pPr>
        <w:ind w:left="520"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520"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81" w:lineRule="exact"/>
        <w:rPr>
          <w:sz w:val="20"/>
          <w:szCs w:val="20"/>
          <w:color w:val="auto"/>
        </w:rPr>
      </w:pPr>
    </w:p>
    <w:p>
      <w:pPr>
        <w:ind w:left="520" w:right="60" w:firstLine="509"/>
        <w:spacing w:after="0" w:line="266" w:lineRule="auto"/>
        <w:rPr>
          <w:sz w:val="20"/>
          <w:szCs w:val="20"/>
          <w:color w:val="auto"/>
        </w:rPr>
      </w:pPr>
      <w:r>
        <w:rPr>
          <w:rFonts w:ascii="Times New Roman" w:cs="Times New Roman" w:eastAsia="Times New Roman" w:hAnsi="Times New Roman"/>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28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520"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as of March 31, 2023 and December 31, 2022, which are measured at fair value on a recurring basis by level within the fair value hierarchy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37,817</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37,817</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234,087</w:t>
            </w: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234,087</w:t>
            </w:r>
          </w:p>
        </w:tc>
        <w:tc>
          <w:tcPr>
            <w:tcW w:w="100" w:type="dxa"/>
            <w:vAlign w:val="bottom"/>
          </w:tcPr>
          <w:p>
            <w:pPr>
              <w:spacing w:after="0"/>
              <w:rPr>
                <w:sz w:val="20"/>
                <w:szCs w:val="20"/>
                <w:color w:val="auto"/>
              </w:rPr>
            </w:pP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271,904</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4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-384810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-367665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-384810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-367665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-384810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-367665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145,785</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145,785</w:t>
            </w:r>
          </w:p>
        </w:tc>
        <w:tc>
          <w:tcPr>
            <w:tcW w:w="100" w:type="dxa"/>
            <w:vAlign w:val="bottom"/>
          </w:tcPr>
          <w:p>
            <w:pPr>
              <w:spacing w:after="0"/>
              <w:rPr>
                <w:sz w:val="20"/>
                <w:szCs w:val="20"/>
                <w:color w:val="auto"/>
              </w:rPr>
            </w:pPr>
          </w:p>
        </w:tc>
      </w:tr>
      <w:tr>
        <w:trPr>
          <w:trHeight w:val="243"/>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136,022</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281,807</w:t>
            </w:r>
          </w:p>
        </w:tc>
        <w:tc>
          <w:tcPr>
            <w:tcW w:w="140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300,572</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4" w:lineRule="exact"/>
        <w:rPr>
          <w:sz w:val="20"/>
          <w:szCs w:val="20"/>
          <w:color w:val="auto"/>
        </w:rPr>
      </w:pPr>
    </w:p>
    <w:p>
      <w:pPr>
        <w:ind w:left="520"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measured using observable inputs from active markets for identical assets.</w:t>
      </w:r>
    </w:p>
    <w:p>
      <w:pPr>
        <w:spacing w:after="0" w:line="54" w:lineRule="exact"/>
        <w:rPr>
          <w:sz w:val="20"/>
          <w:szCs w:val="20"/>
          <w:color w:val="auto"/>
        </w:rPr>
      </w:pPr>
    </w:p>
    <w:p>
      <w:pPr>
        <w:ind w:left="520"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assets or liabilities classified as Level 3 as of March 31, 2023 and December 31, 2022.</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during the periods presented.</w:t>
      </w:r>
    </w:p>
    <w:p>
      <w:pPr>
        <w:spacing w:after="0" w:line="117" w:lineRule="exact"/>
        <w:rPr>
          <w:sz w:val="20"/>
          <w:szCs w:val="20"/>
          <w:color w:val="auto"/>
        </w:rPr>
      </w:pPr>
    </w:p>
    <w:p>
      <w:pPr>
        <w:ind w:left="520"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4"/>
                <w:szCs w:val="14"/>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00" w:type="dxa"/>
            <w:vAlign w:val="bottom"/>
          </w:tcPr>
          <w:p>
            <w:pPr>
              <w:spacing w:after="0"/>
              <w:rPr>
                <w:sz w:val="20"/>
                <w:szCs w:val="20"/>
                <w:color w:val="auto"/>
              </w:rPr>
            </w:pPr>
          </w:p>
        </w:tc>
      </w:tr>
      <w:tr>
        <w:trPr>
          <w:trHeight w:val="243"/>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Pr>
          <w:p>
            <w:pPr>
              <w:spacing w:after="0"/>
              <w:rPr>
                <w:sz w:val="20"/>
                <w:szCs w:val="20"/>
                <w:color w:val="auto"/>
              </w:rPr>
            </w:pPr>
          </w:p>
        </w:tc>
      </w:tr>
      <w:tr>
        <w:trPr>
          <w:trHeight w:val="241"/>
        </w:trPr>
        <w:tc>
          <w:tcPr>
            <w:tcW w:w="4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37,817</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231,038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231,094</w:t>
            </w:r>
          </w:p>
        </w:tc>
        <w:tc>
          <w:tcPr>
            <w:tcW w:w="100" w:type="dxa"/>
            <w:vAlign w:val="bottom"/>
            <w:shd w:val="clear" w:color="auto" w:fill="CFF0FC"/>
          </w:tcPr>
          <w:p>
            <w:pPr>
              <w:spacing w:after="0"/>
              <w:rPr>
                <w:sz w:val="21"/>
                <w:szCs w:val="2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268,844</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268,911</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4"/>
                <w:szCs w:val="14"/>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20"/>
                <w:szCs w:val="20"/>
                <w:color w:val="auto"/>
              </w:rPr>
            </w:pPr>
          </w:p>
        </w:tc>
      </w:tr>
      <w:tr>
        <w:trPr>
          <w:trHeight w:val="243"/>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100" w:type="dxa"/>
            <w:vAlign w:val="bottom"/>
          </w:tcPr>
          <w:p>
            <w:pPr>
              <w:spacing w:after="0"/>
              <w:rPr>
                <w:sz w:val="20"/>
                <w:szCs w:val="20"/>
                <w:color w:val="auto"/>
              </w:rPr>
            </w:pPr>
          </w:p>
        </w:tc>
      </w:tr>
      <w:tr>
        <w:trPr>
          <w:trHeight w:val="241"/>
        </w:trPr>
        <w:tc>
          <w:tcPr>
            <w:tcW w:w="4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145,785</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111,222</w:t>
            </w:r>
          </w:p>
        </w:tc>
        <w:tc>
          <w:tcPr>
            <w:tcW w:w="100" w:type="dxa"/>
            <w:vAlign w:val="bottom"/>
            <w:shd w:val="clear" w:color="auto" w:fill="CFF0FC"/>
          </w:tcPr>
          <w:p>
            <w:pPr>
              <w:spacing w:after="0"/>
              <w:rPr>
                <w:sz w:val="21"/>
                <w:szCs w:val="2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257,007</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-2794000</wp:posOffset>
            </wp:positionV>
            <wp:extent cx="76835"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-2794000</wp:posOffset>
            </wp:positionV>
            <wp:extent cx="68580"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-2794000</wp:posOffset>
            </wp:positionV>
            <wp:extent cx="68580"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32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-2005330</wp:posOffset>
            </wp:positionV>
            <wp:extent cx="7683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-2005330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-2005330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-976630</wp:posOffset>
            </wp:positionV>
            <wp:extent cx="76835"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-976630</wp:posOffset>
            </wp:positionV>
            <wp:extent cx="6858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-976630</wp:posOffset>
            </wp:positionV>
            <wp:extent cx="6858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maturities of our cash equivalents and available-for-sale securities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304,896</w:t>
            </w:r>
          </w:p>
        </w:tc>
        <w:tc>
          <w:tcPr>
            <w:tcW w:w="32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304,963</w:t>
            </w:r>
          </w:p>
        </w:tc>
        <w:tc>
          <w:tcPr>
            <w:tcW w:w="100" w:type="dxa"/>
            <w:vAlign w:val="bottom"/>
          </w:tcPr>
          <w:p>
            <w:pPr>
              <w:spacing w:after="0"/>
              <w:rPr>
                <w:sz w:val="20"/>
                <w:szCs w:val="20"/>
                <w:color w:val="auto"/>
              </w:rPr>
            </w:pPr>
          </w:p>
        </w:tc>
      </w:tr>
      <w:tr>
        <w:trPr>
          <w:trHeight w:val="27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304,896</w:t>
            </w:r>
          </w:p>
        </w:tc>
        <w:tc>
          <w:tcPr>
            <w:tcW w:w="3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5"/>
        </w:trPr>
        <w:tc>
          <w:tcPr>
            <w:tcW w:w="6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32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300,572</w:t>
            </w:r>
          </w:p>
        </w:tc>
        <w:tc>
          <w:tcPr>
            <w:tcW w:w="100" w:type="dxa"/>
            <w:vAlign w:val="bottom"/>
          </w:tcPr>
          <w:p>
            <w:pPr>
              <w:spacing w:after="0"/>
              <w:rPr>
                <w:sz w:val="20"/>
                <w:szCs w:val="20"/>
                <w:color w:val="auto"/>
              </w:rPr>
            </w:pPr>
          </w:p>
        </w:tc>
      </w:tr>
      <w:tr>
        <w:trPr>
          <w:trHeight w:val="27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3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-864870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-847725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ind w:left="520"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of the Company's available-for-sale securities with gross unrealized losses and the duration that those losses had been unrealized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2740" w:type="dxa"/>
            <w:vAlign w:val="bottom"/>
            <w:gridSpan w:val="6"/>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180" w:type="dxa"/>
            <w:vAlign w:val="bottom"/>
          </w:tcPr>
          <w:p>
            <w:pPr>
              <w:spacing w:after="0"/>
              <w:rPr>
                <w:sz w:val="11"/>
                <w:szCs w:val="11"/>
                <w:color w:val="auto"/>
              </w:rPr>
            </w:pPr>
          </w:p>
        </w:tc>
        <w:tc>
          <w:tcPr>
            <w:tcW w:w="20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 Losses 12 Months or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0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4"/>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2740" w:type="dxa"/>
            <w:vAlign w:val="bottom"/>
            <w:gridSpan w:val="6"/>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 Losses Less Than 12 Months</w:t>
            </w:r>
          </w:p>
        </w:tc>
        <w:tc>
          <w:tcPr>
            <w:tcW w:w="180" w:type="dxa"/>
            <w:vAlign w:val="bottom"/>
          </w:tcPr>
          <w:p>
            <w:pPr>
              <w:spacing w:after="0"/>
              <w:rPr>
                <w:sz w:val="11"/>
                <w:szCs w:val="11"/>
                <w:color w:val="auto"/>
              </w:rPr>
            </w:pPr>
          </w:p>
        </w:tc>
        <w:tc>
          <w:tcPr>
            <w:tcW w:w="20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 Losses 12 Months or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0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140,822</w:t>
            </w:r>
          </w:p>
        </w:tc>
        <w:tc>
          <w:tcPr>
            <w:tcW w:w="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9"/>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0"/>
                <w:szCs w:val="20"/>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167,633</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167,633</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-1422400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-1405255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-1422400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-1405255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-1422400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-1405255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-1422400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-1405255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-1422400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-1405255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-25400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-8255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520"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and monitors the surrounding economic conditions to assess the risk of expected credit losses. As of March 31, 2023 and December 31, 2022, there were no securities that were in an unrealized loss position for more than 12 months. As of March 31, 2023, the unrealized losses on the Company’s investments in U.S. treasury securities and U.S. government agency securities were caused by interest rate increases. The current credit ratings are all within the guidelines of the investment policy of the Company and the Company does not expect the issuers to settle any security at a price less than the amortized cost basis of the investment with the contractual cash flows of these investments guaranteed by the issuer. No allowance for credit losses has been recorded since it is not more likely than not that the Company will be required to sell the investments before recovery of their amortized cost basis.</w:t>
      </w:r>
    </w:p>
    <w:p>
      <w:pPr>
        <w:spacing w:after="0" w:line="293"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Items</w:t>
      </w:r>
    </w:p>
    <w:p>
      <w:pPr>
        <w:spacing w:after="0" w:line="333"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2,753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shd w:val="clear" w:color="auto" w:fill="CFF0FC"/>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6"/>
              </w:rPr>
              <w:t>674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5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6"/>
              </w:rPr>
              <w:t>782</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Borders>
              <w:bottom w:val="single" w:sz="8" w:color="CFF0FC"/>
            </w:tcBorders>
            <w:shd w:val="clear" w:color="auto" w:fill="CFF0FC"/>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4,209</w:t>
            </w:r>
          </w:p>
        </w:tc>
        <w:tc>
          <w:tcPr>
            <w:tcW w:w="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jc w:val="right"/>
              <w:ind w:right="431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39</w:t>
            </w:r>
          </w:p>
        </w:tc>
        <w:tc>
          <w:tcPr>
            <w:tcW w:w="1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84</w:t>
            </w:r>
          </w:p>
        </w:tc>
        <w:tc>
          <w:tcPr>
            <w:tcW w:w="1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72</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10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-2279650</wp:posOffset>
            </wp:positionV>
            <wp:extent cx="514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-2279650</wp:posOffset>
            </wp:positionV>
            <wp:extent cx="5143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-385445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-367665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-385445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64"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Depreciation expense for each of the three months ended March 31, 2023 and 2022 was immaterial.</w:t>
      </w:r>
    </w:p>
    <w:p>
      <w:pPr>
        <w:spacing w:after="0" w:line="3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1352"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80" w:type="dxa"/>
            <w:vAlign w:val="bottom"/>
            <w:shd w:val="clear" w:color="auto" w:fill="CFF0FC"/>
          </w:tcPr>
          <w:p>
            <w:pPr>
              <w:spacing w:after="0"/>
              <w:rPr>
                <w:sz w:val="20"/>
                <w:szCs w:val="20"/>
                <w:color w:val="auto"/>
              </w:rPr>
            </w:pP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related expenses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80" w:type="dxa"/>
            <w:vAlign w:val="bottom"/>
          </w:tcPr>
          <w:p>
            <w:pPr>
              <w:spacing w:after="0"/>
              <w:rPr>
                <w:sz w:val="20"/>
                <w:szCs w:val="20"/>
                <w:color w:val="auto"/>
              </w:rPr>
            </w:pPr>
          </w:p>
        </w:tc>
      </w:tr>
      <w:tr>
        <w:trPr>
          <w:trHeight w:val="24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 expenses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80" w:type="dxa"/>
            <w:vAlign w:val="bottom"/>
            <w:shd w:val="clear" w:color="auto" w:fill="CFF0FC"/>
          </w:tcPr>
          <w:p>
            <w:pPr>
              <w:spacing w:after="0"/>
              <w:rPr>
                <w:sz w:val="21"/>
                <w:szCs w:val="21"/>
                <w:color w:val="auto"/>
              </w:rPr>
            </w:pP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r>
      <w:tr>
        <w:trPr>
          <w:trHeight w:val="276"/>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-25400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-25400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3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left="512" w:firstLine="509"/>
        <w:spacing w:after="0" w:line="254" w:lineRule="auto"/>
        <w:rPr>
          <w:sz w:val="20"/>
          <w:szCs w:val="20"/>
          <w:color w:val="auto"/>
        </w:rPr>
      </w:pPr>
      <w:r>
        <w:rPr>
          <w:rFonts w:ascii="Times New Roman" w:cs="Times New Roman" w:eastAsia="Times New Roman" w:hAnsi="Times New Roman"/>
          <w:sz w:val="18"/>
          <w:szCs w:val="18"/>
          <w:color w:val="auto"/>
        </w:rPr>
        <w:t>On February 10, 2021, DOT Therapeutics-2, Inc., or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84" w:lineRule="exact"/>
        <w:rPr>
          <w:sz w:val="20"/>
          <w:szCs w:val="20"/>
          <w:color w:val="auto"/>
        </w:rPr>
      </w:pPr>
    </w:p>
    <w:p>
      <w:pPr>
        <w:ind w:left="512" w:right="80" w:firstLine="509"/>
        <w:spacing w:after="0" w:line="282" w:lineRule="auto"/>
        <w:rPr>
          <w:sz w:val="20"/>
          <w:szCs w:val="20"/>
          <w:color w:val="auto"/>
        </w:rPr>
      </w:pPr>
      <w:r>
        <w:rPr>
          <w:rFonts w:ascii="Times New Roman" w:cs="Times New Roman" w:eastAsia="Times New Roman" w:hAnsi="Times New Roman"/>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54" w:lineRule="exact"/>
        <w:rPr>
          <w:sz w:val="20"/>
          <w:szCs w:val="20"/>
          <w:color w:val="auto"/>
        </w:rPr>
      </w:pPr>
    </w:p>
    <w:p>
      <w:pPr>
        <w:ind w:left="512" w:right="120"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Additionally, the Company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The Company may also be required to make additional payments of up to $364.5 million based upon the achievement of specified development, regulatory, and commercial milestones, as well as a high, single-digit royalty percentage on future net sales of licensed products, if any. Milestones and royalties are contingent upon future events and will be recorded when the milestones are achieved and when payments are due. No milestones were achieved and due as of March 31, 2023.</w:t>
      </w:r>
    </w:p>
    <w:p>
      <w:pPr>
        <w:spacing w:after="0" w:line="84" w:lineRule="exact"/>
        <w:rPr>
          <w:sz w:val="20"/>
          <w:szCs w:val="20"/>
          <w:color w:val="auto"/>
        </w:rPr>
      </w:pPr>
    </w:p>
    <w:p>
      <w:pPr>
        <w:ind w:left="512" w:right="140" w:firstLine="509"/>
        <w:spacing w:after="0" w:line="261"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72" w:lineRule="exact"/>
        <w:rPr>
          <w:sz w:val="20"/>
          <w:szCs w:val="20"/>
          <w:color w:val="auto"/>
        </w:rPr>
      </w:pPr>
    </w:p>
    <w:p>
      <w:pPr>
        <w:ind w:left="512" w:right="540" w:firstLine="509"/>
        <w:spacing w:after="0" w:line="261" w:lineRule="auto"/>
        <w:rPr>
          <w:sz w:val="20"/>
          <w:szCs w:val="20"/>
          <w:color w:val="auto"/>
        </w:rPr>
      </w:pPr>
      <w:r>
        <w:rPr>
          <w:rFonts w:ascii="Times New Roman" w:cs="Times New Roman" w:eastAsia="Times New Roman" w:hAnsi="Times New Roman"/>
          <w:sz w:val="18"/>
          <w:szCs w:val="18"/>
          <w:color w:val="auto"/>
        </w:rPr>
        <w:t>Effective December 31, 2021, DOT-2 was merged with and into the Company, with the Company being the surviving corporation and assuming DOT-2’s obligations under the MRKDG License Agreement.</w:t>
      </w:r>
    </w:p>
    <w:p>
      <w:pPr>
        <w:jc w:val="center"/>
        <w:ind w:right="-5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13" w:name="page14"/>
    <w:bookmarkEnd w:id="13"/>
    <w:p>
      <w:pPr>
        <w:ind w:left="284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December 16, 2019, DOT Therapeutics-1, Inc., or DOT-1, the Company’s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spacing w:after="0" w:line="6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Effective December 31, 2021, DOT-1 was merged with and into the Company, with the Company being the surviving corporation and assuming DOT-1’s obligations under the Takeda Assets Purchase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Viracta License Agreement</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6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milestones were achieved and due as of March 31, 2023.</w:t>
      </w:r>
    </w:p>
    <w:p>
      <w:pPr>
        <w:spacing w:after="0" w:line="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17" w:right="359" w:bottom="1440" w:gutter="0" w:footer="0" w:header="0"/>
        </w:sectPr>
      </w:pPr>
    </w:p>
    <w:bookmarkStart w:id="14" w:name="page15"/>
    <w:bookmarkEnd w:id="1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21" w:lineRule="exact"/>
        <w:rPr>
          <w:sz w:val="20"/>
          <w:szCs w:val="20"/>
          <w:color w:val="auto"/>
        </w:rPr>
      </w:pPr>
    </w:p>
    <w:p>
      <w:pPr>
        <w:ind w:left="512" w:right="8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68" w:lineRule="exact"/>
        <w:rPr>
          <w:sz w:val="20"/>
          <w:szCs w:val="20"/>
          <w:color w:val="auto"/>
        </w:rPr>
      </w:pPr>
    </w:p>
    <w:p>
      <w:pPr>
        <w:ind w:left="512" w:right="580" w:firstLine="509"/>
        <w:spacing w:after="0" w:line="282" w:lineRule="auto"/>
        <w:rPr>
          <w:sz w:val="20"/>
          <w:szCs w:val="20"/>
          <w:color w:val="auto"/>
        </w:rPr>
      </w:pPr>
      <w:r>
        <w:rPr>
          <w:rFonts w:ascii="Times New Roman" w:cs="Times New Roman" w:eastAsia="Times New Roman" w:hAnsi="Times New Roman"/>
          <w:sz w:val="18"/>
          <w:szCs w:val="18"/>
          <w:color w:val="auto"/>
        </w:rPr>
        <w:t>Effective December 31, 2021, DOT-1 was merged with and into the Company, with the Company being the surviving corporation and assuming DOT-1’s obligations under Viracta License Agreement.</w:t>
      </w:r>
    </w:p>
    <w:p>
      <w:pPr>
        <w:spacing w:after="0" w:line="266" w:lineRule="exact"/>
        <w:rPr>
          <w:sz w:val="20"/>
          <w:szCs w:val="20"/>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12" w:firstLine="509"/>
        <w:spacing w:after="0" w:line="254" w:lineRule="auto"/>
        <w:rPr>
          <w:sz w:val="20"/>
          <w:szCs w:val="20"/>
          <w:color w:val="auto"/>
        </w:rPr>
      </w:pPr>
      <w:r>
        <w:rPr>
          <w:rFonts w:ascii="Times New Roman" w:cs="Times New Roman" w:eastAsia="Times New Roman" w:hAnsi="Times New Roman"/>
          <w:sz w:val="18"/>
          <w:szCs w:val="18"/>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consolidated balance sheets.</w:t>
      </w:r>
    </w:p>
    <w:p>
      <w:pPr>
        <w:spacing w:after="0" w:line="80" w:lineRule="exact"/>
        <w:rPr>
          <w:sz w:val="20"/>
          <w:szCs w:val="20"/>
          <w:color w:val="auto"/>
        </w:rPr>
      </w:pPr>
    </w:p>
    <w:p>
      <w:pPr>
        <w:ind w:left="512"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March 31, 2023, the weighted-average remaining lease term and weighted-average discount rate were 1.7 years and 9.0%, respectively.</w:t>
      </w:r>
    </w:p>
    <w:p>
      <w:pPr>
        <w:spacing w:after="0" w:line="75"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7"/>
          <w:szCs w:val="17"/>
          <w:color w:val="auto"/>
        </w:rPr>
        <w:t>The Company’s lease does not require any contingent rental payments, impose financial restrictions, or contain any residual value guarantees.</w:t>
      </w:r>
    </w:p>
    <w:p>
      <w:pPr>
        <w:spacing w:after="0" w:line="129" w:lineRule="exact"/>
        <w:rPr>
          <w:sz w:val="20"/>
          <w:szCs w:val="20"/>
          <w:color w:val="auto"/>
        </w:rPr>
      </w:pPr>
    </w:p>
    <w:p>
      <w:pPr>
        <w:ind w:left="512" w:right="60" w:firstLine="509"/>
        <w:spacing w:after="0" w:line="261" w:lineRule="auto"/>
        <w:rPr>
          <w:sz w:val="20"/>
          <w:szCs w:val="20"/>
          <w:color w:val="auto"/>
        </w:rPr>
      </w:pPr>
      <w:r>
        <w:rPr>
          <w:rFonts w:ascii="Times New Roman" w:cs="Times New Roman" w:eastAsia="Times New Roman" w:hAnsi="Times New Roman"/>
          <w:sz w:val="18"/>
          <w:szCs w:val="18"/>
          <w:color w:val="auto"/>
        </w:rPr>
        <w:t>Lease expense of right-of-use assets is recognized on a straight-line basis over the applicable lease term. Lease expense was $0.1 million and $47,000 for the three months ended March 31, 2023 and 2022, respectively. Cash paid for amounts included in the measurement of operating lease liabilities was $0.1 million and $52,000 for the three months ended March 31, 2023 and 2022, respectively. Variable payments expensed during the three months ended March 31, 2023 and 2022 were immaterial.</w:t>
      </w:r>
    </w:p>
    <w:p>
      <w:pPr>
        <w:spacing w:after="0" w:line="72"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8"/>
          <w:szCs w:val="18"/>
          <w:color w:val="auto"/>
        </w:rPr>
        <w:t>As of March 31, 2023, the future lease obligations were as follows (in thousands):</w:t>
      </w:r>
    </w:p>
    <w:p>
      <w:pPr>
        <w:spacing w:after="0" w:line="262" w:lineRule="exact"/>
        <w:rPr>
          <w:sz w:val="20"/>
          <w:szCs w:val="20"/>
          <w:color w:val="auto"/>
        </w:rPr>
      </w:pPr>
    </w:p>
    <w:tbl>
      <w:tblPr>
        <w:tblLayout w:type="fixed"/>
        <w:tblInd w:w="2252"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5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in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1"/>
                <w:szCs w:val="2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0"/>
                <w:szCs w:val="20"/>
                <w:color w:val="auto"/>
              </w:rPr>
            </w:pPr>
          </w:p>
        </w:tc>
      </w:tr>
      <w:tr>
        <w:trPr>
          <w:trHeight w:val="241"/>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FF0FC"/>
          </w:tcPr>
          <w:p>
            <w:pPr>
              <w:spacing w:after="0"/>
              <w:rPr>
                <w:sz w:val="20"/>
                <w:szCs w:val="20"/>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Pr>
          <w:p>
            <w:pPr>
              <w:spacing w:after="0"/>
              <w:rPr>
                <w:sz w:val="20"/>
                <w:szCs w:val="20"/>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0"/>
                <w:szCs w:val="20"/>
                <w:color w:val="auto"/>
              </w:rPr>
            </w:pPr>
          </w:p>
        </w:tc>
      </w:tr>
      <w:tr>
        <w:trPr>
          <w:trHeight w:val="241"/>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Pr>
          <w:p>
            <w:pPr>
              <w:spacing w:after="0"/>
              <w:rPr>
                <w:sz w:val="20"/>
                <w:szCs w:val="20"/>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20" w:type="dxa"/>
            <w:vAlign w:val="bottom"/>
          </w:tcPr>
          <w:p>
            <w:pPr>
              <w:spacing w:after="0"/>
              <w:rPr>
                <w:sz w:val="20"/>
                <w:szCs w:val="20"/>
                <w:color w:val="auto"/>
              </w:rPr>
            </w:pPr>
          </w:p>
        </w:tc>
      </w:tr>
      <w:tr>
        <w:trPr>
          <w:trHeight w:val="27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-25400</wp:posOffset>
            </wp:positionV>
            <wp:extent cx="34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-8255</wp:posOffset>
            </wp:positionV>
            <wp:extent cx="34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8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21" w:lineRule="exact"/>
        <w:rPr>
          <w:sz w:val="20"/>
          <w:szCs w:val="20"/>
          <w:color w:val="auto"/>
        </w:rPr>
      </w:pPr>
    </w:p>
    <w:p>
      <w:pPr>
        <w:ind w:left="512"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March 31, 2023 and December 31, 2022, there were no amounts accrued related to termination and cancellation charges as these are not probable.</w:t>
      </w:r>
    </w:p>
    <w:p>
      <w:pPr>
        <w:spacing w:after="0" w:line="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the year ended December 31, 2021. The second milestone, related to the MRKDG License Agreement, was achieved and recorded to research and development during the year ended December 31, 2022. The Company may be required to pay royalties on sales of products developed under these agreements. All products are in development as of March 31, 2023 and December 31, 2022, and no such royalties were due.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right="580" w:firstLine="509"/>
        <w:spacing w:after="0" w:line="282" w:lineRule="auto"/>
        <w:rPr>
          <w:sz w:val="20"/>
          <w:szCs w:val="20"/>
          <w:color w:val="auto"/>
        </w:rPr>
      </w:pPr>
      <w:r>
        <w:rPr>
          <w:rFonts w:ascii="Times New Roman" w:cs="Times New Roman" w:eastAsia="Times New Roman" w:hAnsi="Times New Roman"/>
          <w:sz w:val="18"/>
          <w:szCs w:val="18"/>
          <w:color w:val="auto"/>
        </w:rPr>
        <w:t>Pursuant to its certificate of incorporation, the Company is authorized to issue 500.0 million shares of common stock at a par value of $0.0001 per share. As of March 31, 2023, 73,572,633 shares of common stock were issued and outstanding.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left="520" w:right="60" w:firstLine="509"/>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an equity distribution agreement with Piper Sandler &amp; Co. and JonesTrading Institutional Services LLC, as sales agents, relating to the issuance and sale of shares of the Company’s common stock for an aggregate offering price of up to $150.0 million under an at-the-market offering program, or the 2022 ATM. During the three months ended March 31, 2023, the Company did not make any sales under the 2022 ATM.</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June 2022 Follow-On Offering</w:t>
      </w:r>
    </w:p>
    <w:p>
      <w:pPr>
        <w:spacing w:after="0" w:line="337" w:lineRule="exact"/>
        <w:rPr>
          <w:sz w:val="20"/>
          <w:szCs w:val="20"/>
          <w:color w:val="auto"/>
        </w:rPr>
      </w:pPr>
    </w:p>
    <w:p>
      <w:pPr>
        <w:jc w:val="both"/>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00" w:lineRule="exact"/>
        <w:rPr>
          <w:sz w:val="20"/>
          <w:szCs w:val="20"/>
          <w:color w:val="auto"/>
        </w:rPr>
      </w:pPr>
    </w:p>
    <w:p>
      <w:pPr>
        <w:spacing w:after="0" w:line="3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4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502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298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9,292,431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5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3,617,013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available for ESPP</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1,836,337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298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964,700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15,710,481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80" w:type="dxa"/>
            <w:vAlign w:val="bottom"/>
            <w:vMerge w:val="restart"/>
          </w:tcPr>
          <w:p>
            <w:pPr>
              <w:jc w:val="right"/>
              <w:ind w:right="2194"/>
              <w:spacing w:after="0"/>
              <w:rPr>
                <w:sz w:val="20"/>
                <w:szCs w:val="20"/>
                <w:color w:val="auto"/>
              </w:rPr>
            </w:pPr>
            <w:r>
              <w:rPr>
                <w:rFonts w:ascii="Times New Roman" w:cs="Times New Roman" w:eastAsia="Times New Roman" w:hAnsi="Times New Roman"/>
                <w:sz w:val="18"/>
                <w:szCs w:val="18"/>
                <w:color w:val="auto"/>
              </w:rPr>
              <w:t>16</w:t>
            </w: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-548005</wp:posOffset>
            </wp:positionV>
            <wp:extent cx="514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Equity Inducement Plan</w:t>
      </w:r>
    </w:p>
    <w:p>
      <w:pPr>
        <w:spacing w:after="0" w:line="121" w:lineRule="exact"/>
        <w:rPr>
          <w:sz w:val="20"/>
          <w:szCs w:val="20"/>
          <w:color w:val="auto"/>
        </w:rPr>
      </w:pPr>
    </w:p>
    <w:p>
      <w:pPr>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under the 2022 Plan during the three months ended March 31,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-325120</wp:posOffset>
            </wp:positionV>
            <wp:extent cx="7683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70"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w:t>
      </w:r>
    </w:p>
    <w:p>
      <w:pPr>
        <w:spacing w:after="0" w:line="270" w:lineRule="exact"/>
        <w:rPr>
          <w:sz w:val="20"/>
          <w:szCs w:val="20"/>
          <w:color w:val="auto"/>
        </w:rPr>
      </w:pPr>
    </w:p>
    <w:p>
      <w:pPr>
        <w:jc w:val="both"/>
        <w:ind w:left="520" w:right="400" w:firstLine="509"/>
        <w:spacing w:after="0" w:line="266" w:lineRule="auto"/>
        <w:rPr>
          <w:sz w:val="20"/>
          <w:szCs w:val="20"/>
          <w:color w:val="auto"/>
        </w:rPr>
      </w:pPr>
      <w:r>
        <w:rPr>
          <w:rFonts w:ascii="Times New Roman" w:cs="Times New Roman" w:eastAsia="Times New Roman" w:hAnsi="Times New Roman"/>
          <w:sz w:val="18"/>
          <w:szCs w:val="18"/>
          <w:color w:val="auto"/>
        </w:rPr>
        <w:t>There was no fair value of options that vested during each of the three months ended March 31, 2023 and 2022. There was no weighted-average grant date fair value of options granted since there were no options granted from the 2022 Plan during each of the three months ended March 31, 2023 and 2022.</w:t>
      </w:r>
    </w:p>
    <w:p>
      <w:pPr>
        <w:spacing w:after="0" w:line="284" w:lineRule="exact"/>
        <w:rPr>
          <w:sz w:val="20"/>
          <w:szCs w:val="20"/>
          <w:color w:val="auto"/>
        </w:rPr>
      </w:pPr>
    </w:p>
    <w:p>
      <w:pPr>
        <w:ind w:left="520" w:right="16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stock options as of March 31, 2023 was $4.2 million, which is expected to be recognized over a weighted-average period of 3.6 years.</w:t>
      </w:r>
    </w:p>
    <w:p>
      <w:pPr>
        <w:spacing w:after="0" w:line="2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under the 2022 Plan during the three months ended March 31,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2022</w:t>
            </w:r>
          </w:p>
        </w:tc>
        <w:tc>
          <w:tcPr>
            <w:tcW w:w="29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9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298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March 31, 2023</w:t>
            </w:r>
          </w:p>
        </w:tc>
        <w:tc>
          <w:tcPr>
            <w:tcW w:w="29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4"/>
                <w:szCs w:val="24"/>
                <w:color w:val="auto"/>
              </w:rPr>
            </w:pPr>
          </w:p>
        </w:tc>
        <w:tc>
          <w:tcPr>
            <w:tcW w:w="29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-376555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21" w:lineRule="exact"/>
        <w:rPr>
          <w:sz w:val="20"/>
          <w:szCs w:val="20"/>
          <w:color w:val="auto"/>
        </w:rPr>
      </w:pPr>
    </w:p>
    <w:p>
      <w:pPr>
        <w:jc w:val="both"/>
        <w:ind w:left="520" w:right="10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March 31, 2023 was $0.9 million, which is expected to be recognized over a weighted-average period of 3.6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left="520" w:right="100" w:firstLine="509"/>
        <w:spacing w:after="0" w:line="266" w:lineRule="auto"/>
        <w:rPr>
          <w:sz w:val="20"/>
          <w:szCs w:val="20"/>
          <w:color w:val="auto"/>
        </w:rPr>
      </w:pPr>
      <w:r>
        <w:rPr>
          <w:rFonts w:ascii="Times New Roman" w:cs="Times New Roman" w:eastAsia="Times New Roman" w:hAnsi="Times New Roman"/>
          <w:sz w:val="18"/>
          <w:szCs w:val="18"/>
          <w:color w:val="auto"/>
        </w:rPr>
        <w:t>Immediately prior to consummation of the Company’s initial public offering, or the IPO, all the outstanding incentive shares were converted into common stock. The following table provides a summary of the unvested common stock awards activity during the three months ended March 31, 2023.</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common stock as of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1,722,744</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(251,620 )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(21,400 )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common stock as of March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1,449,724</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-187960</wp:posOffset>
            </wp:positionV>
            <wp:extent cx="5143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0" w:lineRule="exact"/>
        <w:rPr>
          <w:sz w:val="20"/>
          <w:szCs w:val="20"/>
          <w:color w:val="auto"/>
        </w:rPr>
      </w:pPr>
    </w:p>
    <w:p>
      <w:pPr>
        <w:ind w:left="520" w:firstLine="509"/>
        <w:spacing w:after="0" w:line="253" w:lineRule="auto"/>
        <w:rPr>
          <w:sz w:val="20"/>
          <w:szCs w:val="20"/>
          <w:color w:val="auto"/>
        </w:rPr>
      </w:pPr>
      <w:r>
        <w:rPr>
          <w:rFonts w:ascii="Times New Roman" w:cs="Times New Roman" w:eastAsia="Times New Roman" w:hAnsi="Times New Roman"/>
          <w:sz w:val="18"/>
          <w:szCs w:val="18"/>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under the 2021 Plan during the three months ended March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7,634,167</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1,515,000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(75,184 )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(90,552 )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8,983,431</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8,983,431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-685165</wp:posOffset>
            </wp:positionV>
            <wp:extent cx="7683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21"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w:t>
      </w:r>
    </w:p>
    <w:p>
      <w:pPr>
        <w:spacing w:after="0" w:line="270" w:lineRule="exact"/>
        <w:rPr>
          <w:sz w:val="20"/>
          <w:szCs w:val="20"/>
          <w:color w:val="auto"/>
        </w:rPr>
      </w:pPr>
    </w:p>
    <w:p>
      <w:pPr>
        <w:ind w:left="520" w:right="60" w:firstLine="50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three months ended March 31, 2023 and 2022 was $6.3 million and $1.7 million, respectively. The weighted-average grant date fair value of options granted during the three months ended March 31, 2023 and 2022 was $16.63 per share and $8.47 per share, respectively.</w:t>
      </w:r>
    </w:p>
    <w:p>
      <w:pPr>
        <w:spacing w:after="0" w:line="68" w:lineRule="exact"/>
        <w:rPr>
          <w:sz w:val="20"/>
          <w:szCs w:val="20"/>
          <w:color w:val="auto"/>
        </w:rPr>
      </w:pPr>
    </w:p>
    <w:p>
      <w:pPr>
        <w:ind w:left="520" w:right="6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stock options as of March 31, 2023 was $67.5 million, which is expected to be recognized over a weighted-average period of 2.9 years.</w:t>
      </w:r>
    </w:p>
    <w:p>
      <w:pPr>
        <w:spacing w:after="0" w:line="200" w:lineRule="exact"/>
        <w:rPr>
          <w:sz w:val="20"/>
          <w:szCs w:val="20"/>
          <w:color w:val="auto"/>
        </w:rPr>
      </w:pPr>
    </w:p>
    <w:p>
      <w:pPr>
        <w:spacing w:after="0" w:line="394" w:lineRule="exact"/>
        <w:rPr>
          <w:sz w:val="20"/>
          <w:szCs w:val="20"/>
          <w:color w:val="auto"/>
        </w:rPr>
      </w:pPr>
    </w:p>
    <w:p>
      <w:pPr>
        <w:ind w:left="520"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stock options awards granted with the following assumptions:</w:t>
      </w:r>
    </w:p>
    <w:p>
      <w:pPr>
        <w:spacing w:after="0" w:line="27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080" w:type="dxa"/>
            <w:vAlign w:val="bottom"/>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8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3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- 66.92%</w:t>
            </w:r>
          </w:p>
        </w:tc>
      </w:tr>
      <w:tr>
        <w:trPr>
          <w:trHeight w:val="247"/>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- 2.55%</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under the 2021 Plan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9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2022</w:t>
            </w:r>
          </w:p>
        </w:tc>
        <w:tc>
          <w:tcPr>
            <w:tcW w:w="298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485,351</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510,660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(60,673 )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(18,038 )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March 31, 2023</w:t>
            </w:r>
          </w:p>
        </w:tc>
        <w:tc>
          <w:tcPr>
            <w:tcW w:w="29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917,300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4"/>
                <w:szCs w:val="24"/>
                <w:color w:val="auto"/>
              </w:rPr>
            </w:pPr>
          </w:p>
        </w:tc>
        <w:tc>
          <w:tcPr>
            <w:tcW w:w="29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-376555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21"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March 31, 2023 was $17.4 million, which is expected to be recognized over a weighted-average period of 3.4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520" w:right="60" w:firstLine="509"/>
        <w:spacing w:after="0" w:line="254" w:lineRule="auto"/>
        <w:rPr>
          <w:sz w:val="20"/>
          <w:szCs w:val="20"/>
          <w:color w:val="auto"/>
        </w:rPr>
      </w:pPr>
      <w:r>
        <w:rPr>
          <w:rFonts w:ascii="Times New Roman" w:cs="Times New Roman" w:eastAsia="Times New Roman" w:hAnsi="Times New Roman"/>
          <w:sz w:val="18"/>
          <w:szCs w:val="18"/>
          <w:color w:val="auto"/>
        </w:rPr>
        <w:t>In June 2022, the Company granted performance awards, consisting of performance stock options, or PSOs, and performance stock units, or PSUs, to non-executive employees pursuant to the 2021 Equity Incentive Plan. Each performance award is earned through the achievement of a performance-based metric over a defined performance period determined by the compensation committee of the Company's board of directors. The estimated fair value of the equity awards that contain performance conditions is expensed over the term of the award once the Company has determined that it is probable that the performance conditions will be satisfied. As of March 31, 2023, the Company has granted 152,550 PSOs with a weighted-average grant date fair value of $7.78 per share and 99,250 PSUs with a weighted-average grant date fair value of $15.25 per share. The total fair values of PSOs and PSUs granted were $1.2 million and $1.5 million, respectively. As of March 31, 2023, no PSOs or PSUs had vested since the achievement of the performance-based metrics of the performance awards was not deemed probable.</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three months ended March 31, 2023 and 2022, the Company has not granted any performance awards under the 2021 Plan.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left="520" w:right="80" w:firstLine="509"/>
        <w:spacing w:after="0" w:line="254" w:lineRule="auto"/>
        <w:rPr>
          <w:sz w:val="20"/>
          <w:szCs w:val="20"/>
          <w:color w:val="auto"/>
        </w:rPr>
      </w:pPr>
      <w:r>
        <w:rPr>
          <w:rFonts w:ascii="Times New Roman" w:cs="Times New Roman" w:eastAsia="Times New Roman" w:hAnsi="Times New Roman"/>
          <w:sz w:val="18"/>
          <w:szCs w:val="18"/>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97,413 shares have been issued under the ESPP as of March 31, 2023. The Company recognized $0.2 million and $0.1 million compensation expense related to the ESPP for the three months ended March 31, 2023 and 2022, respectively.</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three months ended March 31, 2023 and 2022, the Company has not issued any shares pursuant to the ESPP.</w:t>
      </w:r>
    </w:p>
    <w:p>
      <w:pPr>
        <w:spacing w:after="0" w:line="117" w:lineRule="exact"/>
        <w:rPr>
          <w:sz w:val="20"/>
          <w:szCs w:val="20"/>
          <w:color w:val="auto"/>
        </w:rPr>
      </w:pPr>
    </w:p>
    <w:p>
      <w:pPr>
        <w:ind w:left="520" w:right="70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recorded in the accompanying condensed consolidated statements of operations is as follows (in thousands):</w:t>
      </w:r>
    </w:p>
    <w:p>
      <w:pPr>
        <w:spacing w:after="0" w:line="16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2023, there was $96.6 million of unrecognized compensation cost related to unvested restricted stock, unvested restricted stock units, unvested stock options, and shares subject to purchase under the ESPP that is expected to be recognized over a weighted-average period of approximately 3.0 years.</w:t>
      </w:r>
    </w:p>
    <w:p>
      <w:pPr>
        <w:spacing w:after="0" w:line="68" w:lineRule="exact"/>
        <w:rPr>
          <w:sz w:val="20"/>
          <w:szCs w:val="20"/>
          <w:color w:val="auto"/>
        </w:rPr>
      </w:pPr>
    </w:p>
    <w:p>
      <w:pPr>
        <w:ind w:left="520" w:right="300" w:firstLine="509"/>
        <w:spacing w:after="0" w:line="276" w:lineRule="auto"/>
        <w:rPr>
          <w:sz w:val="20"/>
          <w:szCs w:val="20"/>
          <w:color w:val="auto"/>
        </w:rPr>
      </w:pPr>
      <w:r>
        <w:rPr>
          <w:rFonts w:ascii="Times New Roman" w:cs="Times New Roman" w:eastAsia="Times New Roman" w:hAnsi="Times New Roman"/>
          <w:sz w:val="17"/>
          <w:szCs w:val="17"/>
          <w:color w:val="auto"/>
        </w:rPr>
        <w:t>As of March 31, 2023, there was $2.6 million of unrecognized compensation cost related to unvested PSOs and PSUs. The Company will recognize the PSO and PSU expense through the expected vesting dates when the achievement of the performance-based metrics is probable.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3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20" w:right="32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 (in thousands except share and per share amounts):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(0.59 )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(0.48 )</w:t>
            </w: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computing net loss per share, basic</w:t>
            </w: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71,972,888</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58,382,444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-757555</wp:posOffset>
            </wp:positionV>
            <wp:extent cx="112268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2268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603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0" w:lineRule="exact"/>
        <w:rPr>
          <w:sz w:val="20"/>
          <w:szCs w:val="20"/>
          <w:color w:val="auto"/>
        </w:rPr>
      </w:pPr>
    </w:p>
    <w:p>
      <w:pPr>
        <w:ind w:left="520"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19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3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9,292,431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7,018,228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Unvested common shares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1,449,724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3,352,683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964,700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392,757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47,099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11,753,954</w:t>
            </w:r>
          </w:p>
        </w:tc>
        <w:tc>
          <w:tcPr>
            <w:tcW w:w="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10,788,025</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430"/>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-367665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520"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 savings plan pursuant to Section 401(k) of the Internal Revenue Code. All employees are eligible to participate provided that they meet the requirements of the plan. For the three months ended March 31, 2023 and 2022, the Company made matching contributions of $0.8 million and $0.2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our interim condensed consolidated financial statements and related notes, and other financial information appearing in our Annual Report on Form 10-K for the year ended December 31, 2022,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developing and commercializing targeted therapies for people of all ages with life threatening diseases. Initially, we have focused our clinical development efforts on pediatric patients living with cancer, a vulnerable population that has been underserved in the recent revolution in targeted therapeutics and immuno-oncology.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lead product candidate, tovorafenib (DAY101), is an oral, brain-penetrant, highly-selective type II pan-rapidly accelerated fibrosarcoma, or pan-RAF, kinase inhibitor. Tovorafenib (DAY101) has been studied in over 325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Tovorafenib (DAY101) has been granted Breakthrough Therapy designation by the U.S. Food and Drug Administration, or the FDA, in August 2020 for the treatment of relapsed or progressive low-grade glioma, or pLGG, based on initial results from a Phase 1 trial which showed evidence of rapid anti-tumor activity and durable responses in pLGG patients. Pediatric low-grade glioma is the most common brain tumor diagnosed in children for which there is no standard of care and for which there are no approved therapies for the vast majority of patients. We received Orphan Drug designation for the treatment of malignant glioma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2" w:name="page23"/>
    <w:bookmarkEnd w:id="22"/>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initiated and fully enrolled a pivotal Phase 2 trial, or FIREFLY-1, of tovorafenib (DAY101) as a monotherapy for pediatric patients with relapsed or progressive low-grade glioma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reported initial data from an interim analysis from the FIREFLY-1 trial in June 2022 and top-line data for all patients in January 2023. Topline data from January 2023 demonstrated an overall response rate, or ORR, of 64% in the 69 Response Assessment for Neuro-Oncology- High Grade Glioma, or RANO-HGG, evaluable patients, comprising 3 confirmed complete responses, or CR, and 41 partial responses, or PR (31 confirmed partial responses and 10 unconfirmed partial response, or uPR). We observed an additional 19 patients with a best response of stable disease, or SD, resulting in a clinical benefit rate of 91% (CR+ PR/uPR+ SD of any duration). Safety data, based on 77 treated patients, indicated monotherapy tovorafenib (DAY101) to be generally well-tolerated. We believe tumor reduction or stabilization is clinically meaningful for pLGG patients, as both are perceived as beneficial given the lack of approved therapies for the majority of patients. On April 19, 2023, we held a pre-New Drug Application, or NDA, meeting with the FDA for tovorafenib (DAY101) for the treatment of patients with relapsed or progressive pLGG. We remain in position to initiate the submission of the NDA as early as the second quarter of 2023. In April 2023, we also announced new clinical data from the ongoing, open-label, pivotal Phase 2 FIREFLY-1 trial evaluating the investigational agent tovorafenib (DAY101) in relapsed or progressive pLGG will be presented on June 4, 2023, as an oral presentation at the 2023 American Society of Clinical Oncology, or ASCO, annual meeting. An ASCO abstract scheduled for release on May 25, 2023 will include topline data from FIREFLY-1 as of September 28, 2022, while new detailed clinical data will be highlighted at the June 4, 2023 oral presentation.</w:t>
      </w:r>
    </w:p>
    <w:p>
      <w:pPr>
        <w:spacing w:after="0" w:line="8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initiated a pivotal Phase 3 trial, or FIREFLY-2, of tovorafenib (DAY101) as a frontline therapy in pLGG in June 2022. The first patient was dosed in FIREFLY-2 in March 2023.</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second product candidate, pimasertib, is an oral, highly-selective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spacing w:after="0" w:line="2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initiated an open-label, multicenter, Phase 1b/2a umbrella master trial, or FIRELIGHT-1, of tovorafenib (DAY101) monotherapy or combination therapy, which consists of two substudies. Substudy 1 is a Phase 2 trial of tovorafenib (DAY101) as monotherapy in patients 12 years and older with RAF–altered tumors; the first patient was dosed in November 2021.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 In April 2023, we presented a poster titled "Clinical Activity of the Type II pan-RAF Inhibitor Tovorafenib (DAY101) in BRAF-fusion Melanoma" at the 19th European Association of Dermato-Oncology, or EADO, Congress demonstrating initial antitumor activity in relapsed/refractory adult BRAF-fusion while being generally well-tolerated in the ongoing FIRELIGHT-1 study.</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85725</wp:posOffset>
            </wp:positionV>
            <wp:extent cx="6172200" cy="3282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March 31, 2023 and 2022, we reported a net loss of $42.4 million and $27.7 million, respectively. We had an accumulated deficit of $312.1 million as of March 31, 2023.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w:t>
      </w:r>
    </w:p>
    <w:p>
      <w:pPr>
        <w:spacing w:after="0" w:line="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To date, we have funded our operations through the sale of our redeemable convertible preferred shares, convertible notes and common stock in our IPO and subsequent public offering.</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Cash and cash equivalents and short-term investments totaled $318.2 million as of March 31, 2023. Based on our current operating plan, management believes we have sufficient capital resources to fund anticipated operations into 2025.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8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includes an Alternative Minimum Tax based on the Adjusted Financial Statement Income of Applicable Corporations. Based on our initial evaluation, we do not believe the Inflation Reduction Act will have a material impact on our income tax provision and cash taxes. We continue to monitor the changes in tax laws and regulations to evaluate their potential impact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29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Under the MRKDG License Agreement, we have obligations to use commercially reasonable efforts to develop and commercialize at least two licensed products in at least two specified major market countries by the year 2029.</w:t>
      </w:r>
    </w:p>
    <w:p>
      <w:pPr>
        <w:spacing w:after="0" w:line="27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Additionally, we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We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 milestones were achieved and due as of March 31, 2023.</w:t>
      </w:r>
    </w:p>
    <w:p>
      <w:pPr>
        <w:spacing w:after="0" w:line="8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2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December 31, 2021, DOT-2 was merged with and into our company, with our company being the surviving corporation and assuming DOT-2’s obligations under the MRKDG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agreement</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w:t>
      </w:r>
    </w:p>
    <w:p>
      <w:pPr>
        <w:spacing w:after="0" w:line="29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29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Effective December 31, 2021, DOT-1 was merged with and into our company, with our company being the surviving corporation and assuming DOT-1’s obligations under the Takeda Assets Purchase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Viracta license agreement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3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milestones were achieved and due as of March 31, 2023.</w:t>
      </w:r>
    </w:p>
    <w:p>
      <w:pPr>
        <w:spacing w:after="0" w:line="200" w:lineRule="exact"/>
        <w:rPr>
          <w:sz w:val="20"/>
          <w:szCs w:val="20"/>
          <w:color w:val="auto"/>
        </w:rPr>
      </w:pPr>
    </w:p>
    <w:p>
      <w:pPr>
        <w:spacing w:after="0" w:line="20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39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Effective December 31, 2021, DOT-1 was merged with and into our company, with our company being the surviving corporation and assuming DOT-1’s obligations under Viracta License Agreement.</w:t>
      </w: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1140" w:hanging="369"/>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contract research organizations, or CROs, contract manufacturing organizations, or CMOs, and other third parties that conduct clinical trials on our behalf;</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w:t>
      </w:r>
    </w:p>
    <w:p>
      <w:pPr>
        <w:spacing w:after="0" w:line="117" w:lineRule="exact"/>
        <w:rPr>
          <w:rFonts w:ascii="Times New Roman" w:cs="Times New Roman" w:eastAsia="Times New Roman" w:hAnsi="Times New Roman"/>
          <w:sz w:val="18"/>
          <w:szCs w:val="18"/>
          <w:color w:val="auto"/>
        </w:rPr>
      </w:pPr>
    </w:p>
    <w:p>
      <w:pPr>
        <w:ind w:left="1140" w:right="320" w:hanging="369"/>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not allocable to a specific product, including expenses for rent and facilities maintenance, travel and information technology.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17" w:lineRule="exact"/>
        <w:rPr>
          <w:sz w:val="20"/>
          <w:szCs w:val="20"/>
          <w:color w:val="auto"/>
        </w:rPr>
      </w:pPr>
    </w:p>
    <w:p>
      <w:pPr>
        <w:ind w:left="1140" w:right="380" w:hanging="369"/>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share-based compensation expense, for our research and development personnel.</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uncertain and subject to a number of risks. We cannot guarantee that results of clinical trials will be favorable or sufficient to support regulatory approvals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Item 1A “Risk Factors”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professional services and other operational costs. Employee-related costs include salaries, bonuses, benefits and share-based compensation expense for our general and administrative personnel. Professional service expenses include legal fees; professional fees for accounting, auditing, tax, human resources, business development, and other consulting services. Other operational costs include expenses for rent and facilities maintenance, travel, insurance and information technology.</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for the foreseeable future as we anticipate an increase in our personnel headcount to support expansion of research and development efforts for our product candidates and build out of commercial capabilities, as well as to support our operations generally. We also expect continued expenses associated with being a public company, including costs related to compliance with the requirements of the Nasdaq Global Select Market, or Nasdaq, and the Securities and Exchange Commission, or the SEC; and investor and public relations costs.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2023 and 2022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(42,393 )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(27,747 )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(14,646 )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643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Amount and/or percentage 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$12.8 million, from $15.0 million for the three months ended March 31, 2022 to $27.8 million for the three months ended March 31, 2023. In the three months ended March 31, 2023 as compared to March 31, 2022, third-party expenses increased by $8.4 million, due primarily to an increase in clinical trial, manufacturing, and other product development expenses, and employee related expenses increased by $4.4 million driven by headcount growth.</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three months ended March 31, 2023 and 2022:</w:t>
      </w:r>
    </w:p>
    <w:p>
      <w:pPr>
        <w:spacing w:after="0" w:line="25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FF0FC"/>
          </w:tcPr>
          <w:p>
            <w:pPr>
              <w:spacing w:after="0"/>
              <w:rPr>
                <w:sz w:val="21"/>
                <w:szCs w:val="21"/>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(DAY 101) program and the pimasertib program were $14.8 million and</w:t>
      </w:r>
    </w:p>
    <w:p>
      <w:pPr>
        <w:spacing w:after="0" w:line="27" w:lineRule="exact"/>
        <w:rPr>
          <w:rFonts w:ascii="Times New Roman" w:cs="Times New Roman" w:eastAsia="Times New Roman" w:hAnsi="Times New Roman"/>
          <w:sz w:val="18"/>
          <w:szCs w:val="18"/>
          <w:color w:val="auto"/>
        </w:rPr>
      </w:pPr>
    </w:p>
    <w:p>
      <w:pPr>
        <w:ind w:left="52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for three months ended March 31, 2023 compared to $7.1 million and $1.1 million, respectively, for the three months ended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$5.3 million, from $12.7 million for the three months ended March 31, 2022 to $18.0 million for the three months ended March 31, 2023. The increase in general and administrative expenses was primarily due to $4.3 million in employee related costs driven by headcount growth and $1.0 million in professional services driven by the build out of commercial capabilities and continued expansion of business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June 2022, we entered into an equity distribution agreement with Piper Sandler &amp; Co. and JonesTrading Institutional Services LLC, as sales agents, relating to the issuance and sale of shares of our common stock having an aggregate offering price of up to $150.0 million from time to time, or the 2022 ATM. The issuance and sale of these shares by us pursuant to the 2022 ATM were deemed an “at-the-market” offering under the Securities Act. As of March 31, 2023, we have not sold any shares of our common stock under the 2022 ATM.</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28" w:name="page29"/>
    <w:bookmarkEnd w:id="28"/>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March 31, 2023, we had an accumulated deficit of $312.1 million and $318.2 million in cash and cash equivalents and short-term investments. We believe our cash and cash equivalents and short-term investments will be sufficient to satisfy our cash requirements over the next 12 months and into 2025.</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33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an operating lease obligation for office space. As of March 31, 2023, we had fixed lease payment obligations of approximately $0.5 million payable within 12 months.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Organizations and Contract Manufacturing Organizations</w:t>
      </w:r>
    </w:p>
    <w:p>
      <w:pPr>
        <w:spacing w:after="0" w:line="3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March 31, 2023, there were no amounts accrued related to termination and cancellation charges as these are not probable.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33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licensing agreements, which require us to pay milestones contingent upon meeting of specific events. We made milestone payments of $2.5 million related to the first dosing of a patient in a first clinical trial of a product containing pimasertib in the year ended December 31, 2022 and $3.0 million related to the Viracta License Agreement in the year ended December 31, 2021. We are required to pay royalties on sales of products developed under these agreements. All our products are in development as of March 31, 2023 and no such royalties are due. As of March 31, 2023, we do not have any contingent payment obligations since the amount, timing and likelihood of such payments are not known.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25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(11,193 )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(35,994 )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(21,578 )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-548005</wp:posOffset>
            </wp:positionV>
            <wp:extent cx="514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-548005</wp:posOffset>
            </wp:positionV>
            <wp:extent cx="431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$26.0 million, consisting of our net loss of $42.4 million, non-cash charges of $8.9 million and net changes in operating assets and liabilities of $7.5 million. Non-cash charges is primarily related to share-based compensation expense of $9.4 million, which was partially offset by accretion of discounts on short-term investments of $0.6 million. Net changes in operating assets and liabilities is primarily related to an increase in accounts payable of $4.4 million, an increase in accrued expenses and other current liabilities of $1.8 million and a decrease of prepaid expenses and other current assets of $1.4 million, which were partially offset by a decrease to operating lease liabilities of $0.1 million.</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$21.6 million, consisting of our net loss of $27.7 million, non-cash charges of $6.3 million and net changes in operating assets and liabilities of $0.1 million. Non-cash charges is primarily related to share-based compensation expense of $6.2 million. Net changes in operating assets and liabilities were primarily related to a decrease in accounts payable of $1.0 million, which was partially offset by an increase in accrued expenses and other current liabilities of $0.6 million and a decrease in prepaid expenses and other current assets of $0.4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was $11.2 million related to the purchase of short-term investments of $160.0 million partially offset by the proceeds from the maturity of short-term investments of $148.8 million.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$15,000 related to property and equipment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$1.2 million related to net proceeds from the issuance of common stock upon stock option exercises.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2022, there was no cash used in or provided by financing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investments will enable us to fund our operating expenses and capital expenditure requirements into 2025. We have based this estimate on assumptions that may prove to be imprecise, and we could use our available capital resources sooner than we currently expect.</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30" w:name="page31"/>
    <w:bookmarkEnd w:id="30"/>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inflation, changing interest rates, recent turmoil in the global banking system, geopolitical instability, including the war in Ukraine, public health epidemics, such as the COVID-19 pandemic,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did not during the periods presented, and we do not currently have, any off-balance sheet arrangements, as defined in the rules and regulations of the SEC other than our indemnification agreements as described in Note 6 of our consolidated financial statements included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our audited consolidated financial statements for the year ended December 31, 2022, and the related notes, included in our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Refer to Note 2 of the Notes to our Consolidated Financial Statements included elsewhere in this Quarterly Report on Form 10-Q for a summary of recently issued and adopted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We will remain an emerging growth company until the earliest of (i) the last day of the fiscal year in which we have total gross revenue of $1.07 billion or more, (ii) the last day of the fiscal year following the fifth anniversary of the date of the completion of our IPO, (iii) the date on which we have issued more than $1.0 billion in nonconvertible debt during the previous three years, and (vi) the date on which we are deemed to be a “large accelerated filer,” as defined in Rule 12b-2 under the Exchange Act.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2023,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2023, our disclosure controls and procedures were effective at a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tovorafenib (DAY101), which is currently in clinical development and has not completed a pivotal trial.</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relied upon data from an investigator-initiated Phase 1 clinical trial (PNOC014) and we do not control the trial operations or reporting of the results.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demonstrate safety and efficacy to our stakeholders, our reputation may be harmed and our business will suffer.</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key employees and to attract, retain and motivate qualified personnel and manage our human capital.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3" w:name="page34"/>
    <w:bookmarkEnd w:id="33"/>
    <w:p>
      <w:pPr>
        <w:ind w:left="520" w:right="10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intend to use in combination with tovorafenib (DAY101) for the treatment of RAS- and RAF-dependent tumors. To date, we have financed our operations primarily through the sale and issuance of redeemable convertible preferred shares, convertible notes, and the completion of our IPO, and follow-on public offerings of our common stock.</w:t>
      </w:r>
    </w:p>
    <w:p>
      <w:pPr>
        <w:spacing w:after="0" w:line="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not yet demonstrated an ability to successfully complete any clinical trials beyond Phase 1,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5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the completion of our IPO and follow-on offerings of our common stock. For the three months ended March 31, 2023 and 2022, we reported a net loss of $42.4 million and $27.7 million, respectively. We had an accumulated deficit of $312.1 million as of March 31, 2023.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FIREFLY-1 trial for tovorafenib (DAY101), our ongoing pivotal Phase 3 FIREFLY-2 trial of tovorafenib (DAY101) as a potential frontline therapy in pLGG, our ongoing Phase 1b/2 FIRELIGHT-1 umbrella master trial of tovorafenib (DAY101) in adult RAS/RAF-altered solid tumors as a monotherapy and in combination with pimasertib, and development of and subsequent Investigational New Drug Applications, or INDs, for any future product candidates we may choose to pursue. In addition, if we obtain marketing approval for tovorafenib (DAY101), pimasertib, or another product candidate, we will incur significant sales, marketing and outsourced manufacturing expenses in connection with the commercialization of tovorafenib (DAY101), pimasertib, or such other product candidate. We have also incurred, and will continue to incur, additional costs associated with operating as a public company.</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35" w:name="page36"/>
    <w:bookmarkEnd w:id="35"/>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tovorafenib (DAY101), which is currently in clinical development and has not completed a pivotal trial.</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tovorafenib (DAY101), is currently in a pivotal Phase 2 clinical trial.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regulatory approval.</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which we do not expect will occur in the near future, if ever, will depend heavily on the successful development and eventual commercialization of our lead product candidate, tovorafenib (DAY101). The success of tovorafenib (DAY101) will depend on several factors, including the following:</w:t>
      </w:r>
    </w:p>
    <w:p>
      <w:pPr>
        <w:spacing w:after="0" w:line="68" w:lineRule="exact"/>
        <w:rPr>
          <w:sz w:val="20"/>
          <w:szCs w:val="20"/>
          <w:color w:val="auto"/>
        </w:rPr>
      </w:pPr>
    </w:p>
    <w:p>
      <w:pPr>
        <w:ind w:left="520" w:right="6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current and future clinical trials resulting in attractive, competitive target product profiles, including our frontline pivotal Phase 3 FIREFLY-2 trial;</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clinical trial for tovorafenib (DAY101) and Phase 1b/2 umbrella master trial of tovorafenib (DAY101) as a monotherapy and in combination with pimasertib meeting clinical endpoints;</w:t>
      </w:r>
    </w:p>
    <w:p>
      <w:pPr>
        <w:spacing w:after="0" w:line="53"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NDAs by the U.S. Food and Drug Administration, or FDA, or other similar clinical trial applications from foreign regulatory authorities for our future clinical trials for our pipeline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 and attractiveness of our product candidates to physicians, patients, advocates, payors and caregivers;</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 as well as adequate demand forecasts for supply and sales planning;</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6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payor coverage and adequate reimbursement in both public and private payor spaces across multiple countries;</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117" w:lineRule="exact"/>
        <w:rPr>
          <w:rFonts w:ascii="Times New Roman" w:cs="Times New Roman" w:eastAsia="Times New Roman" w:hAnsi="Times New Roman"/>
          <w:sz w:val="18"/>
          <w:szCs w:val="18"/>
          <w:color w:val="auto"/>
        </w:rPr>
      </w:pPr>
    </w:p>
    <w:p>
      <w:pPr>
        <w:jc w:val="center"/>
        <w:ind w:left="5540" w:right="140" w:hanging="5532"/>
        <w:spacing w:after="0" w:line="282" w:lineRule="auto"/>
        <w:tabs>
          <w:tab w:leader="none" w:pos="5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shaping the market in the early years following launch to help providers understand a new way of thinking about treating these patients;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ind w:left="520" w:right="8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ongoing and planned clinical trials resulting from factors related to any macroeconomic conditions, major natural disaster, public health epidemic or significant political event, including inflation, changes in interest rates, turmoil in the global banking system and the war in Ukraine;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12 months, if ever. We do not expect to generate significant revenue unless and until we obtain marketing approval for, and begin to sell, tovorafenib (DAY101), pimasertib, or another product candidate. Our ability to generate revenue and achieve profitability depends on several factors, including, but not limited to, our ability to:</w:t>
      </w:r>
    </w:p>
    <w:p>
      <w:pPr>
        <w:spacing w:after="0" w:line="72" w:lineRule="exact"/>
        <w:rPr>
          <w:sz w:val="20"/>
          <w:szCs w:val="20"/>
          <w:color w:val="auto"/>
        </w:rPr>
      </w:pPr>
    </w:p>
    <w:p>
      <w:pPr>
        <w:ind w:left="520" w:right="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2 FIREFLY-1 trial with tovorafenib (DAY101) that achieves a competitive, clinically meaningful and generally well-tolerated target product profile;</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3 FIREFLY-2 trial with tovorafenib (DAY101) that achieves a competitive, clinically meaningful and generally well-tolerated target product profile in front-line pLGG;</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Phase 1b/2 FIRELIGHT-1 umbrella master trial of tovorafenib (DAY101) as a monotherapy and in combination with pimasertib in patients 12 years and older with tumors having activated RAF signaling;</w:t>
      </w:r>
    </w:p>
    <w:p>
      <w:pPr>
        <w:spacing w:after="0" w:line="53" w:lineRule="exact"/>
        <w:rPr>
          <w:rFonts w:ascii="Times New Roman" w:cs="Times New Roman" w:eastAsia="Times New Roman" w:hAnsi="Times New Roman"/>
          <w:sz w:val="18"/>
          <w:szCs w:val="18"/>
          <w:color w:val="auto"/>
        </w:rPr>
      </w:pPr>
    </w:p>
    <w:p>
      <w:pPr>
        <w:ind w:left="520" w:right="7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tovorafenib (DAY101) as a treatment for patients with pLGGs;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tovorafenib (DAY101) and pimasertib from applicable regulatory authorities, including NDAs, from the FDA, and maintaining such approvals;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allow for the commercialization of our product candidates and/or may increase the value of our programs;</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tovorafenib (DAY101), pimasertib, and any future product candidates we may develop, if approved, by building a sales force or entering into collaborations with third parties;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develop new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acceptable safety profile of our products, including tovorafenib (DAY101) and pimasertib;</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tovorafenib (DAY101) or pimasertib and our other successful product candidates, if any, with patients, the medical community and third-party payors, both in the United States and internationally;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7" w:name="page38"/>
    <w:bookmarkEnd w:id="37"/>
    <w:p>
      <w:pPr>
        <w:ind w:right="160"/>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and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payor decisions or treatment guidelines, we may not generate significant revenue from sales of such products, even if approved.</w:t>
      </w:r>
    </w:p>
    <w:p>
      <w:pPr>
        <w:spacing w:after="0" w:line="7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inflation, changes in interest rates, recent turmoil in the global banking system, geopolitical instability, including the war in Ukraine, public health epidemics, such as the COVID-19 pandemic, or otherwise.</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had $318.2 million in cash, cash equivalents and short-term investments as of March 31, 2023. We believe that our existing cash, cash equivalents and short-term investments, will enable us to fund our operating expenses, and capital expenditure requirements into 2025.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7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current or future product candidates that we may pursue, and other indications for our current product candidates that we may pursue;</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ind w:left="520" w:right="5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or the modification of ongoing or planned clinical trials, and any companion diagnostics we may pursue;</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tovorafenib (DAY101), pimasertib, or any of our future pipeline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7"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tovorafenib (DAY101), pimasertib or any of our future product candidates if any are approved, or any future pipeline product candidates that receive marketing approval;</w:t>
      </w:r>
    </w:p>
    <w:p>
      <w:pPr>
        <w:spacing w:after="0" w:line="53" w:lineRule="exact"/>
        <w:rPr>
          <w:rFonts w:ascii="Times New Roman" w:cs="Times New Roman" w:eastAsia="Times New Roman" w:hAnsi="Times New Roman"/>
          <w:sz w:val="18"/>
          <w:szCs w:val="18"/>
          <w:color w:val="auto"/>
        </w:rPr>
      </w:pPr>
    </w:p>
    <w:p>
      <w:pPr>
        <w:ind w:left="520" w:right="780" w:hanging="512"/>
        <w:spacing w:after="0" w:line="312" w:lineRule="auto"/>
        <w:tabs>
          <w:tab w:leader="none" w:pos="5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1" w:lineRule="exact"/>
        <w:rPr>
          <w:rFonts w:ascii="Times New Roman" w:cs="Times New Roman" w:eastAsia="Times New Roman" w:hAnsi="Times New Roman"/>
          <w:sz w:val="17"/>
          <w:szCs w:val="17"/>
          <w:color w:val="auto"/>
        </w:rPr>
      </w:pPr>
    </w:p>
    <w:p>
      <w:pPr>
        <w:ind w:left="520" w:right="3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In June 2022, we entered into an equity distribution agreement with Piper Sandler &amp; Co. and JonesTrading Institutional Services LLC, as sales agents, relating to the issuance and sale of shares of our common stock for an aggregate offering price of up to $150.0 million under an at-the-market offering program, or 2022 ATM. To the extent that we raise additional capital through the sale of equity or convertible debt securities, including pursuant to our 2022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recent turmoil in the global banking system, geopolitical instability, including the war in Ukraine, public health epidemics, including the COVID-19 pandemic, or otherwise.</w:t>
      </w:r>
    </w:p>
    <w:p>
      <w:pPr>
        <w:spacing w:after="0" w:line="82"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relied upon data from an investigator-initiated Phase 1 clinical trial (PNOC014) and we do not control the trial operations or reporting of the results.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initial Phase 1 study for our lead product candidate, tovorafenib (DAY101), was run as an investigator-initiated, multi-center trial in patients with relapsed/refractory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tovorafenib is a Day One-sponsored trial. Although we expect that our pivotal Phase 2 FIREFELY-1 trial in pLGG will provide a sufficient dataset to support approval based on preliminary discussions with regulatory agencies, we cannot assure you that the FDA will not require data from additional patients or additional follow-up data from existing patients on PNOC014 to support approval.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29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54"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safety and efficacy;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demonstrate that the dose for a product candidate has been optimized;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important functional, quality, or patient-reported outcomes;</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preventing marketing authorization in one or several subsets studied in our programs, including in relapsed or front-line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research and/or drug development programs;</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would require us to include data from additional patients or longer term efficacy and safety data.</w:t>
      </w:r>
    </w:p>
    <w:p>
      <w:pPr>
        <w:spacing w:after="0" w:line="117"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1" w:name="page42"/>
    <w:bookmarkEnd w:id="41"/>
    <w:p>
      <w:pPr>
        <w:ind w:right="80"/>
        <w:spacing w:after="0" w:line="254" w:lineRule="auto"/>
        <w:rPr>
          <w:sz w:val="20"/>
          <w:szCs w:val="20"/>
          <w:color w:val="auto"/>
        </w:rPr>
      </w:pPr>
      <w:r>
        <w:rPr>
          <w:rFonts w:ascii="Times New Roman" w:cs="Times New Roman" w:eastAsia="Times New Roman" w:hAnsi="Times New Roman"/>
          <w:sz w:val="18"/>
          <w:szCs w:val="18"/>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regulatory approvals for any drug product candidate.</w:t>
      </w:r>
    </w:p>
    <w:p>
      <w:pPr>
        <w:spacing w:after="0" w:line="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5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restricted duration expectations or guidance;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risk evaluation and mitigation strategy, or REMS;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civil or criminal investigations and litigation;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Further, if any of our competitors receive FDA approval for a product, it may limit our ability to enroll patients in our clinical trials if they decide to seek treatment with an approved product. For example, Novartis recently received approval for dabrafenib in combination with trametinib, which could in the future limit our ability to enroll patients in clinical trials for tovorafenib (DAY101). Patient enrollment is also affected by other factors, including:</w:t>
      </w:r>
    </w:p>
    <w:p>
      <w:pPr>
        <w:spacing w:after="0" w:line="7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expertise, and selection of contract research organizations, or CROs, to manage operations related to clinical trial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or patient advocacy organizations to encourage patient participation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resulting in delays in our clinical trials. In addition, parents may be reluctant to enroll their children in our clinical trials, or may decide to withdraw their children from our clinical trials to pursue other therapies.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also compete with these organizations to recruit and retain qualified scientific,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dabrafenib, marketed as Tafinlar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encorafenib, marketed as Braftovi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tovorafenib (DAY101)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(LGG) with a BRAF V600E mutation who require initial systemic therapy.</w:t>
      </w:r>
    </w:p>
    <w:p>
      <w:pPr>
        <w:spacing w:after="0" w:line="86"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Four MEK inhibitors have been approved by the FDA. Three have been approved for the treatment of tumors containing BRAF V600E or V600K mutations, including cobimetinib, marketed as Cotellic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trametinib, marketed as Mekinist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binimetinib, marketed as Mektovi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A fourth MEK inhibitor—selumetinib, marketed as Koselugo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AstraZeneca—has been approved for the treatment of pediatric patients, two years of age and older, with neurofibromatosis type 1, or NF1, who have symptomatic, inoperable plexiform neurofibromas. While MEK inhibitors as monotherapy have been shown to be active in BRAF altered pLGG (both BRAF V600E mutant pLGG and BRAF fusion-driven pLGG), no MEK inhibitors have been FDA approved as monotherapy for the treatment of pLGG patients.</w:t>
      </w:r>
    </w:p>
    <w:p>
      <w:pPr>
        <w:spacing w:after="0" w:line="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Hanmi/Genentech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 Erasca recently announced that it has entered into an exclusive worldwide license agreement with Novartis for naporafenib, a Phase 2 pivotal-ready pan-RAF inhibitor with a potential first-in-class and best-in-class profile in NRAS mutant melanoma and other RAS/MAPK pathway-driven tumors.</w:t>
      </w:r>
    </w:p>
    <w:p>
      <w:pPr>
        <w:spacing w:after="0" w:line="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regard to the treatment of pLGG, some MEK inhibitors’ and some type I RAF inhibitors’ other targeted therapies have been studied, or are being studied, in academic investigator-initiated clinical trials, and in some regions may be being used in an off-label manner. The off-label use of these agents may represent competition for tovorafenib (DAY101) when it enters the market.</w:t>
      </w:r>
    </w:p>
    <w:p>
      <w:pPr>
        <w:spacing w:after="0" w:line="68"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ind w:right="180"/>
        <w:spacing w:after="0" w:line="255" w:lineRule="auto"/>
        <w:rPr>
          <w:sz w:val="20"/>
          <w:szCs w:val="20"/>
          <w:color w:val="auto"/>
        </w:rPr>
      </w:pPr>
      <w:r>
        <w:rPr>
          <w:rFonts w:ascii="Times New Roman" w:cs="Times New Roman" w:eastAsia="Times New Roman" w:hAnsi="Times New Roman"/>
          <w:sz w:val="18"/>
          <w:szCs w:val="18"/>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8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other safety risks or aesthetic side effects associated with tovorafenib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lead product candidate, tovorafenib (DAY101), and our other product candidates. The most common side effects (adverse events) observed to date with tovorafenib included maculopapular rash, anemia, headache, elevation in blood creatinine phosphokinase, or CPK, nausea, skin and hair discoloration and fatigue.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patients treated with our product candidates have undergone, or may also be undergoing, medical,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such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significantly harm our business, prospects, financial condition and results of operations.</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20"/>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significantly harm our business, financial condition, results of operations and prospects significantly.</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clinical trials, such as the initial interim data and the topline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or trial.</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High Grade Glioma (RANO-HGG) to measure the primary endpoint of ORR, in alignment with the FDA, with ORR using Response Assessment for Pedaitric Neuro-Oncology – Low-Grade Glioma (RAPNO-LGG) as a secondary endpoint. Following discussions with the FDA and the March 2023 approval of dabrafenib, in combination with trametinib in BRAF V600E pLGG, we have structured the primary endpoint in our FIREFLY-2/LOGGIC trial to be assessed using the Response Assessment for Neuro-Oncology-Low Grade Glioma (RANO-LGG) and have included RANO-LGG as an exploratory endpoint in FIREFLY-1.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plan to seek approval of tovorafenib (DAY101) as a treatment of both naïve and relapsed/progressive pLGG. There is no guarantee that our product candidates would be approved for either line of treatment, and prior to any such approvals we may have to conduct additional clinical trials that may be costly, time-consuming and subject to risk.</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9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5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7" w:name="page48"/>
    <w:bookmarkEnd w:id="47"/>
    <w:p>
      <w:pPr>
        <w:ind w:left="520" w:right="2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 in addition to functional, quality, or patient-reported outcomes;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efforts and market access;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6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The payor mix for pediatric products in the United States is a fragmented combination of state-specific Medicaid policies and a broad universe of private insurance companies. There is no consistent policy or leading payor to inform other price-setting entities. National payor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right="160"/>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cost-effectiveness of our products. Nonetheless, our product candidates may not be considered medically necessary or cost-effective.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6" w:lineRule="exact"/>
        <w:rPr>
          <w:sz w:val="20"/>
          <w:szCs w:val="20"/>
          <w:color w:val="auto"/>
        </w:rPr>
      </w:pPr>
    </w:p>
    <w:p>
      <w:pPr>
        <w:ind w:right="60" w:firstLine="4"/>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7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pivotal Phase 2 FIREFLY-1 trial of tovorafenib (DAY101) may be sufficient to support FDA approval of an NDA for tovorafenib (DAY101), but the FDA may disagree with the sufficiency of our data and require additional clinical trials. Additionally, depending upon the results of the pivotal Phase 2 FIREFLY-1 trial of tovorafenib (DAY101), we may receive accelerated approval for tovorafenib (DAY101), which would require additional data and potentially a confirmatory trial to validate the clinical benefit of the drug. Despite the time and expense associated with preclinical studies and clinical trials, failure can occur at any stage. The results of preclinical and early clinical trials of tovorafenib (DAY101) or pimasertib or any other product candidate may not be predictive of the results of our later-stage clinical trials. Additionally, we have become aware of competitor clinical trials in front-line pLGG and we believe the FDA and other regulators may consider the design and results of these trials when evaluating our front-line program. For example, while we may believe certain results in patients, such as stable disease, suggest encouraging clinical activity, stable disease is not considered a response for regulatory purposes in an endpoint assessing ORR.</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 may:</w:t>
      </w:r>
    </w:p>
    <w:p>
      <w:pPr>
        <w:spacing w:after="0" w:line="81"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the case of an NDA seeking accelerated approval that the NDA does not provide evidence that the product candidate represents a meaningful advantage over available therapies;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ORR as the primary endpoint, complemented by key secondary endpoints, is insufficient to reliably define clinical benefit;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0" w:name="page51"/>
    <w:bookmarkEnd w:id="50"/>
    <w:p>
      <w:pPr>
        <w:ind w:left="520" w:right="8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 submission due to, among other reasons, the content or formatting of the submission.</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tovorafenib (DAY101) or pimasertib, or our future product candidates, if any, our commercial prospects will be harmed and our ability to generate revenues will be materially impaired, which would adversely affect our business, prospects, financial condition and results of operations.</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79" w:lineRule="exact"/>
        <w:rPr>
          <w:sz w:val="20"/>
          <w:szCs w:val="20"/>
          <w:color w:val="auto"/>
        </w:rPr>
      </w:pPr>
    </w:p>
    <w:p>
      <w:pPr>
        <w:ind w:left="520" w:right="1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Furthermore, in addition, Congress is considering various proposals to potentially make changes to the accelerated approval pathway, including proposals to increase the likelihood of withdrawal of approval in such circumstances.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breakthrough therapy designation by the FDA for tovorafenib (DAY101) in treating pLGG, such designation may not lead to a faster development or regulatory review or approval process, and it does not increase the likelihood that tovorafenib (DAY101) will receive marketing approval.</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received breakthrough therapy designation by the FDA for tovorafenib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breakthrough therapy designation or access to any other expedited program may expedite the development or approval process, it does not change the standards for approval. Although we obtained Breakthrough Therapy designation for tovorafenib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Orphan drug exclusivity in the United States may be lost if the FDA determines that the request for designation was materially defective or if the manufacturer is unable to assure sufficient quantity of the drug to meet the needs of patients with the rare disease or condition.</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financial incentives associated with orphan drug designation.</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the FDA applies the Catalyst decision, it could fundamentally change how companies rely on, or seek to work around, orphan drug exclusivity. Legislation has also been introduced that may reverse the Catalyst decision, but such legislation is still in early stages and has not been passed.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2" w:name="page53"/>
    <w:bookmarkEnd w:id="52"/>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Tovorafenib (DAY101) was granted rare pediatric designation by the FDA in May 2021 for tovorafenib (DAY101) in the treatment of low-grade gliomas, or LGGs, harboring an activating RAF alteration that disproportionately affects children. We intend to submit the initial tovorafenib (DAY101) NDA as a rare pediatric designation marketing application which may or may not be designated as such by the FDA upon review.</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9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such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30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4" w:name="page55"/>
    <w:bookmarkEnd w:id="54"/>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55" w:name="page56"/>
    <w:bookmarkEnd w:id="5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00" w:lineRule="exact"/>
        <w:rPr>
          <w:sz w:val="20"/>
          <w:szCs w:val="20"/>
          <w:color w:val="auto"/>
        </w:rPr>
      </w:pPr>
    </w:p>
    <w:p>
      <w:pPr>
        <w:spacing w:after="0" w:line="3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75" w:lineRule="exact"/>
        <w:rPr>
          <w:sz w:val="20"/>
          <w:szCs w:val="20"/>
          <w:color w:val="auto"/>
        </w:rPr>
      </w:pPr>
    </w:p>
    <w:p>
      <w:pPr>
        <w:ind w:left="520" w:right="80" w:hanging="512"/>
        <w:spacing w:after="0" w:line="26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520" w:right="380" w:hanging="512"/>
        <w:spacing w:after="0" w:line="26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520" w:right="60" w:hanging="512"/>
        <w:spacing w:after="0" w:line="269"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January 1, 2021, manufacturers are required to collect information regarding</w:t>
      </w:r>
    </w:p>
    <w:p>
      <w:pPr>
        <w:spacing w:after="0" w:line="3" w:lineRule="exact"/>
        <w:rPr>
          <w:sz w:val="20"/>
          <w:szCs w:val="20"/>
          <w:color w:val="auto"/>
        </w:rPr>
      </w:pPr>
    </w:p>
    <w:p>
      <w:pPr>
        <w:ind w:left="520" w:right="220"/>
        <w:spacing w:after="0" w:line="265" w:lineRule="auto"/>
        <w:rPr>
          <w:sz w:val="20"/>
          <w:szCs w:val="20"/>
          <w:color w:val="auto"/>
        </w:rPr>
      </w:pPr>
      <w:r>
        <w:rPr>
          <w:rFonts w:ascii="Times New Roman" w:cs="Times New Roman" w:eastAsia="Times New Roman" w:hAnsi="Times New Roman"/>
          <w:sz w:val="17"/>
          <w:szCs w:val="17"/>
          <w:color w:val="auto"/>
        </w:rPr>
        <w:t>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6" w:name="page57"/>
    <w:bookmarkEnd w:id="56"/>
    <w:p>
      <w:pPr>
        <w:ind w:left="520" w:hanging="512"/>
        <w:spacing w:after="0" w:line="254"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left="520" w:right="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repeal or replace certain aspects of the ACA, including measures taken during the former U.S. president’s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the U.S. Court of Appeals for the Fifth Circuit’s decision that held that the individual mandate is unconstitutional. On February 10, 2021,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In addition, the Secretary of the HHS recently proposed testing three new models for pricing efficiency, including one that develops payment methods for drugs approved under accelerated approval, in consultation with the Food and Drug Administration, to encourage timely confirmatory trial completion and improve access to post-market safety and efficacy data with the goal of reducing Medicare spending on drugs that have no confirmed clinical benefit. Further,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3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1"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w:t>
      </w:r>
    </w:p>
    <w:p>
      <w:pPr>
        <w:spacing w:after="0" w:line="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are planning on finding collaborations to secure regulatory approvals and commercialize our products outside of the United States. We cannot assure that any collaboration(s) will result in short-term or long-term benefit to the company.</w:t>
      </w:r>
    </w:p>
    <w:p>
      <w:pPr>
        <w:spacing w:after="0" w:line="7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ind w:right="320"/>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tovorafenib (DAY101), pimasertib or any future product candidates and will not be able to, or may be delayed in our efforts to, successfully commercialize our products.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we cannot be sure to what extent the supply chain issues caused by public health epidemics, such as the COVID-19 pandemic, and geopolitical uncertainty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As a result, supply chain issues, such as those related to certain packaging material, may negatively impact our ability to package and deliver product candidates if not managed effectively.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right="40"/>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apart from tovorafenib (DAY101)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26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turmoil in the global banking system, natural disasters, fire, acts of terrorism, pandemics, including the COVID-19 pandemic,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2" w:lineRule="exact"/>
        <w:rPr>
          <w:sz w:val="20"/>
          <w:szCs w:val="20"/>
          <w:color w:val="auto"/>
        </w:rPr>
      </w:pPr>
    </w:p>
    <w:p>
      <w:pPr>
        <w:ind w:left="520" w:right="28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ind w:left="520" w:right="2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125 full-time employees as of March 31, 2023.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6" w:name="page67"/>
    <w:bookmarkEnd w:id="66"/>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w:t>
      </w:r>
    </w:p>
    <w:p>
      <w:pPr>
        <w:spacing w:after="0" w:line="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7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spacing w:after="0" w:line="256"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with enforcement beginning on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these new Standard Contractual Clauses continue to be incorporated into all contracts governing data processing and cross-border transfer.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0" w:name="page71"/>
    <w:bookmarkEnd w:id="70"/>
    <w:p>
      <w:pPr>
        <w:ind w:right="20"/>
        <w:spacing w:after="0" w:line="271" w:lineRule="auto"/>
        <w:rPr>
          <w:sz w:val="20"/>
          <w:szCs w:val="20"/>
          <w:color w:val="auto"/>
        </w:rPr>
      </w:pPr>
      <w:r>
        <w:rPr>
          <w:rFonts w:ascii="Times New Roman" w:cs="Times New Roman" w:eastAsia="Times New Roman" w:hAnsi="Times New Roman"/>
          <w:sz w:val="17"/>
          <w:szCs w:val="17"/>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or may become subject to the terms of external and internal privacy and security policies, representations, certifications, publications related to privacy and security.</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1" w:name="page72"/>
    <w:bookmarkEnd w:id="71"/>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engaged in strategic transactions,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1"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72" w:name="page73"/>
    <w:bookmarkEnd w:id="72"/>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520" w:right="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4"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March 31, 2023],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79"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or trade secret protection for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we experience any of the foregoing, it could have a materially adverse effect on our business and could force us to cease operations which could cause you to lose all of your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our product candidates.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2"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Our current lead product candidates are protected by, among other intellectual property rights, patents and patent applications we co-own and exclusively in-license from Viracta Therapeutics, Inc. (f/k/a Sunesis Pharmaceuticals, Inc.). Our current lead product candidates and pipeline and our anticipated near-term pipeline may include technologies, licensed from other third parties, including, for example, Merck KGaA, Darmstadt, Germany.</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7" w:name="page78"/>
    <w:bookmarkEnd w:id="77"/>
    <w:p>
      <w:pPr>
        <w:spacing w:after="0" w:line="261" w:lineRule="auto"/>
        <w:rPr>
          <w:sz w:val="20"/>
          <w:szCs w:val="20"/>
          <w:color w:val="auto"/>
        </w:rPr>
      </w:pPr>
      <w:r>
        <w:rPr>
          <w:rFonts w:ascii="Times New Roman" w:cs="Times New Roman" w:eastAsia="Times New Roman" w:hAnsi="Times New Roman"/>
          <w:sz w:val="18"/>
          <w:szCs w:val="18"/>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28"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8" w:name="page79"/>
    <w:bookmarkEnd w:id="78"/>
    <w:p>
      <w:pPr>
        <w:ind w:right="40"/>
        <w:spacing w:after="0" w:line="256" w:lineRule="auto"/>
        <w:rPr>
          <w:sz w:val="20"/>
          <w:szCs w:val="20"/>
          <w:color w:val="auto"/>
        </w:rPr>
      </w:pPr>
      <w:r>
        <w:rPr>
          <w:rFonts w:ascii="Times New Roman" w:cs="Times New Roman" w:eastAsia="Times New Roman" w:hAnsi="Times New Roman"/>
          <w:sz w:val="18"/>
          <w:szCs w:val="18"/>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Third parties may also raise similar invalidity claims before the USPTO or patent offices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9" w:name="page80"/>
    <w:bookmarkEnd w:id="79"/>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0" w:name="page81"/>
    <w:bookmarkEnd w:id="80"/>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third parties.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8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4" w:name="page85"/>
    <w:bookmarkEnd w:id="84"/>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earlier than June 1, 2023, European applications will soon have the option, upon grant of a patent, of becoming a Unitary Patent which will be subject to the jurisdiction of the Unitary Patent Court, or UPC.</w:t>
      </w:r>
    </w:p>
    <w:p>
      <w:pPr>
        <w:spacing w:after="0" w:line="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will be a significant change in European patent practice. As the UPC is a new court system, there is no precedent for the court, increasing the uncertainty of any litigation.</w:t>
      </w:r>
    </w:p>
    <w:p>
      <w:pPr>
        <w:spacing w:after="0" w:line="200" w:lineRule="exact"/>
        <w:rPr>
          <w:sz w:val="20"/>
          <w:szCs w:val="20"/>
          <w:color w:val="auto"/>
        </w:rPr>
      </w:pPr>
    </w:p>
    <w:p>
      <w:pPr>
        <w:spacing w:after="0" w:line="28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variations in the level of expense related to the current or future development of our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 candidate we may develop receive regulatory approval, the timing and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 or gain associated with the change in value of the success payments and contingent consideration;</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rising interest rates, inflation, recent turmoil in the global banking system, the war in Ukraine and public health epidemics, such as the COVID-19 pandemic; and</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activities, such as additional program in-licensing, which could result in up-front payments or increased development expenses.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6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or clinical trials by us or those of our competitors or by existing or future collaborators or licensing partners;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our future collaboration partners, or our competitors, and the timing of these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introductions or announcements;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6" w:name="page87"/>
    <w:bookmarkEnd w:id="86"/>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and proprietary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biopharmaceutical company stocks;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and other calamities;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rising interest rates, inflation and the recent turmoil in the global banking system, many of which are beyond our control; and</w:t>
      </w:r>
    </w:p>
    <w:p>
      <w:pPr>
        <w:spacing w:after="0" w:line="53"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global pandemics, such as the COVID-19 pandemic, or war, incidents of terrorism or responses to these events, including those related to the war in Ukraine.</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holders of an aggregate of 73,572,633 shares of our outstanding common stock as of March 31, 2023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6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March 31, 2023, our executive officers, directors, holders of 5% or more of our capital stock and their respective affiliates beneficially owned 46.6%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We could be an emerging growth company for up to five fiscal years following the completion of the IPO;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 As of December 31, 2023, we will lose our status as an emerging growth company and will no longer be able to take advantage of the exemptions from various reporting requirements, beginning with our annual report for the fiscal year ending December 31, 2023, to be filed in 2024.</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ind w:right="100"/>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0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3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3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has been recent turmoil in the global banking system. For example, on March 10, 2023, Silicon Valley Bank (SVB), one of our banking partners, was closed by the California Department of Financial Protection and Innovation, which appointed the Federal Deposit Insurance Corporation (FDIC), as receiver. While we only had a minimal amount of our cash directly at SVB and, since that date, the FDIC has stated that all depositors of SVB will be made whole,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the recent conflict between Russia and Ukraine, and the possibility of a wider European or global conflict,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under the Securities Act on May 27,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450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vMerge w:val="restart"/>
          </w:tcPr>
          <w:p>
            <w:pPr>
              <w:spacing w:after="0"/>
              <w:rPr>
                <w:sz w:val="24"/>
                <w:szCs w:val="2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24"/>
                <w:szCs w:val="24"/>
                <w:color w:val="auto"/>
              </w:rPr>
            </w:pPr>
          </w:p>
        </w:tc>
        <w:tc>
          <w:tcPr>
            <w:tcW w:w="13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24"/>
                <w:szCs w:val="2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20"/>
          </w:cols>
          <w:pgMar w:left="320" w:top="333"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4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r>
      <w:tr>
        <w:trPr>
          <w:trHeight w:val="196"/>
        </w:trPr>
        <w:tc>
          <w:tcPr>
            <w:tcW w:w="100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196"/>
        </w:trPr>
        <w:tc>
          <w:tcPr>
            <w:tcW w:w="100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800" w:type="dxa"/>
            <w:vAlign w:val="bottom"/>
            <w:tcBorders>
              <w:top w:val="single" w:sz="8" w:color="0000FF"/>
            </w:tcBorders>
            <w:gridSpan w:val="5"/>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r>
      <w:tr>
        <w:trPr>
          <w:trHeight w:val="196"/>
        </w:trPr>
        <w:tc>
          <w:tcPr>
            <w:tcW w:w="100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r>
      <w:tr>
        <w:trPr>
          <w:trHeight w:val="196"/>
        </w:trPr>
        <w:tc>
          <w:tcPr>
            <w:tcW w:w="10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6"/>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4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6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100" w:type="dxa"/>
            <w:vAlign w:val="bottom"/>
            <w:gridSpan w:val="7"/>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4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30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3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120" w:type="dxa"/>
            <w:vAlign w:val="bottom"/>
            <w:gridSpan w:val="8"/>
          </w:tcPr>
          <w:p>
            <w:pPr>
              <w:spacing w:after="0"/>
              <w:rPr>
                <w:sz w:val="17"/>
                <w:szCs w:val="17"/>
                <w:color w:val="auto"/>
              </w:rPr>
            </w:pPr>
          </w:p>
        </w:tc>
      </w:tr>
      <w:tr>
        <w:trPr>
          <w:trHeight w:val="3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r>
      <w:tr>
        <w:trPr>
          <w:trHeight w:val="216"/>
        </w:trPr>
        <w:tc>
          <w:tcPr>
            <w:tcW w:w="1000" w:type="dxa"/>
            <w:vAlign w:val="bottom"/>
          </w:tcPr>
          <w:p>
            <w:pPr>
              <w:spacing w:after="0"/>
              <w:rPr>
                <w:sz w:val="18"/>
                <w:szCs w:val="18"/>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r>
      <w:tr>
        <w:trPr>
          <w:trHeight w:val="234"/>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17" w:lineRule="exact"/>
        <w:rPr>
          <w:sz w:val="20"/>
          <w:szCs w:val="20"/>
          <w:color w:val="auto"/>
        </w:rPr>
      </w:pPr>
    </w:p>
    <w:p>
      <w:pPr>
        <w:ind w:left="1140" w:right="4280" w:hanging="1002"/>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66" w:lineRule="exact"/>
        <w:rPr>
          <w:sz w:val="20"/>
          <w:szCs w:val="20"/>
          <w:color w:val="auto"/>
        </w:rPr>
      </w:pPr>
    </w:p>
    <w:p>
      <w:pPr>
        <w:sectPr>
          <w:pgSz w:w="11900" w:h="16838" w:orient="portrait"/>
          <w:cols w:equalWidth="0" w:num="2">
            <w:col w:w="9860" w:space="720"/>
            <w:col w:w="640"/>
          </w:cols>
          <w:pgMar w:left="320" w:top="333" w:right="359" w:bottom="1440" w:gutter="0" w:footer="0" w:header="0"/>
          <w:type w:val="continuous"/>
        </w:sectPr>
      </w:pPr>
    </w:p>
    <w:p>
      <w:pPr>
        <w:ind w:right="300" w:firstLine="8"/>
        <w:spacing w:after="0" w:line="261" w:lineRule="auto"/>
        <w:tabs>
          <w:tab w:leader="none" w:pos="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252" w:lineRule="exact"/>
        <w:rPr>
          <w:sz w:val="20"/>
          <w:szCs w:val="20"/>
          <w:color w:val="auto"/>
        </w:rPr>
      </w:pPr>
    </w:p>
    <w:p>
      <w:pPr>
        <w:ind w:left="20"/>
        <w:spacing w:after="0"/>
        <w:tabs>
          <w:tab w:leader="none" w:pos="4800" w:val="left"/>
        </w:tabs>
        <w:rPr>
          <w:sz w:val="20"/>
          <w:szCs w:val="20"/>
          <w:color w:val="auto"/>
        </w:rPr>
      </w:pPr>
      <w:r>
        <w:rPr>
          <w:rFonts w:ascii="Times New Roman" w:cs="Times New Roman" w:eastAsia="Times New Roman" w:hAnsi="Times New Roman"/>
          <w:sz w:val="18"/>
          <w:szCs w:val="18"/>
          <w:color w:val="auto"/>
        </w:rPr>
        <w:t>Date: May 1, 2023</w:t>
      </w:r>
      <w:r>
        <w:rPr>
          <w:sz w:val="20"/>
          <w:szCs w:val="20"/>
          <w:color w:val="auto"/>
        </w:rPr>
        <w:tab/>
      </w:r>
      <w:r>
        <w:rPr>
          <w:rFonts w:ascii="Times New Roman" w:cs="Times New Roman" w:eastAsia="Times New Roman" w:hAnsi="Times New Roman"/>
          <w:sz w:val="18"/>
          <w:szCs w:val="18"/>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4800" w:val="left"/>
        </w:tabs>
        <w:rPr>
          <w:sz w:val="20"/>
          <w:szCs w:val="20"/>
          <w:color w:val="auto"/>
        </w:rPr>
      </w:pPr>
      <w:r>
        <w:rPr>
          <w:rFonts w:ascii="Times New Roman" w:cs="Times New Roman" w:eastAsia="Times New Roman" w:hAnsi="Times New Roman"/>
          <w:sz w:val="18"/>
          <w:szCs w:val="18"/>
          <w:color w:val="auto"/>
        </w:rPr>
        <w:t>Date: May 1, 2023</w:t>
      </w:r>
      <w:r>
        <w:rPr>
          <w:sz w:val="20"/>
          <w:szCs w:val="20"/>
          <w:color w:val="auto"/>
        </w:rPr>
        <w:tab/>
      </w:r>
      <w:r>
        <w:rPr>
          <w:rFonts w:ascii="Times New Roman" w:cs="Times New Roman" w:eastAsia="Times New Roman" w:hAnsi="Times New Roman"/>
          <w:sz w:val="18"/>
          <w:szCs w:val="18"/>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26035</wp:posOffset>
            </wp:positionV>
            <wp:extent cx="38487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6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Bender, certify that:</w:t>
      </w:r>
    </w:p>
    <w:p>
      <w:pPr>
        <w:spacing w:after="0" w:line="198"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00" w:hanging="690"/>
        <w:spacing w:after="0" w:line="282"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500" w:right="160" w:hanging="690"/>
        <w:spacing w:after="0" w:line="266"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right="280" w:hanging="690"/>
        <w:spacing w:after="0" w:line="282" w:lineRule="auto"/>
        <w:tabs>
          <w:tab w:leader="none" w:pos="116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2023</w:t>
      </w:r>
    </w:p>
    <w:p>
      <w:pPr>
        <w:spacing w:after="0" w:line="27" w:lineRule="exact"/>
        <w:rPr>
          <w:sz w:val="20"/>
          <w:szCs w:val="20"/>
          <w:color w:val="auto"/>
        </w:rPr>
      </w:pPr>
    </w:p>
    <w:p>
      <w:pPr>
        <w:ind w:left="5520"/>
        <w:spacing w:after="0"/>
        <w:tabs>
          <w:tab w:leader="none" w:pos="5880" w:val="left"/>
        </w:tabs>
        <w:rPr>
          <w:sz w:val="20"/>
          <w:szCs w:val="20"/>
          <w:color w:val="auto"/>
        </w:rPr>
      </w:pPr>
      <w:r>
        <w:rPr>
          <w:rFonts w:ascii="Times New Roman" w:cs="Times New Roman" w:eastAsia="Times New Roman" w:hAnsi="Times New Roman"/>
          <w:sz w:val="18"/>
          <w:szCs w:val="18"/>
          <w:color w:val="auto"/>
        </w:rPr>
        <w:t>/s/</w:t>
        <w:tab/>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6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N. York II, certify that:</w:t>
      </w:r>
    </w:p>
    <w:p>
      <w:pPr>
        <w:spacing w:after="0" w:line="198"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Day One Biopharmaceuticals, Inc.;</w:t>
      </w:r>
    </w:p>
    <w:p>
      <w:pPr>
        <w:spacing w:after="0" w:line="184"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360" w:hanging="752"/>
        <w:spacing w:after="0" w:line="282" w:lineRule="auto"/>
        <w:tabs>
          <w:tab w:leader="none" w:pos="3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00" w:hanging="690"/>
        <w:spacing w:after="0" w:line="282"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500" w:right="160" w:hanging="690"/>
        <w:spacing w:after="0" w:line="266"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right="280" w:hanging="690"/>
        <w:spacing w:after="0" w:line="282" w:lineRule="auto"/>
        <w:tabs>
          <w:tab w:leader="none" w:pos="116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2023</w:t>
      </w:r>
    </w:p>
    <w:p>
      <w:pPr>
        <w:spacing w:after="0" w:line="27" w:lineRule="exact"/>
        <w:rPr>
          <w:sz w:val="20"/>
          <w:szCs w:val="20"/>
          <w:color w:val="auto"/>
        </w:rPr>
      </w:pPr>
    </w:p>
    <w:p>
      <w:pPr>
        <w:ind w:left="5080"/>
        <w:spacing w:after="0"/>
        <w:tabs>
          <w:tab w:leader="none" w:pos="5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35" w:lineRule="exact"/>
        <w:rPr>
          <w:sz w:val="20"/>
          <w:szCs w:val="20"/>
          <w:color w:val="auto"/>
        </w:rPr>
      </w:pPr>
    </w:p>
    <w:p>
      <w:pPr>
        <w:ind w:left="760" w:right="160" w:hanging="752"/>
        <w:spacing w:after="0" w:line="282" w:lineRule="auto"/>
        <w:tabs>
          <w:tab w:leader="none" w:pos="3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 2023</w:t>
            </w: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   Jeremy Bender, Ph.D., M.B.A.</w:t>
            </w:r>
          </w:p>
        </w:tc>
        <w:tc>
          <w:tcPr>
            <w:tcW w:w="120" w:type="dxa"/>
            <w:vAlign w:val="bottom"/>
          </w:tcPr>
          <w:p>
            <w:pPr>
              <w:spacing w:after="0"/>
              <w:rPr>
                <w:sz w:val="20"/>
                <w:szCs w:val="20"/>
                <w:color w:val="auto"/>
              </w:rPr>
            </w:pPr>
          </w:p>
        </w:tc>
      </w:tr>
      <w:tr>
        <w:trPr>
          <w:trHeight w:val="189"/>
        </w:trPr>
        <w:tc>
          <w:tcPr>
            <w:tcW w:w="3400" w:type="dxa"/>
            <w:vAlign w:val="bottom"/>
          </w:tcPr>
          <w:p>
            <w:pPr>
              <w:spacing w:after="0"/>
              <w:rPr>
                <w:sz w:val="16"/>
                <w:szCs w:val="16"/>
                <w:color w:val="auto"/>
              </w:rPr>
            </w:pPr>
          </w:p>
        </w:tc>
        <w:tc>
          <w:tcPr>
            <w:tcW w:w="2380" w:type="dxa"/>
            <w:vAlign w:val="bottom"/>
          </w:tcPr>
          <w:p>
            <w:pPr>
              <w:ind w:left="1960"/>
              <w:spacing w:after="0" w:line="189" w:lineRule="exact"/>
              <w:rPr>
                <w:sz w:val="20"/>
                <w:szCs w:val="20"/>
                <w:color w:val="auto"/>
              </w:rPr>
            </w:pPr>
            <w:r>
              <w:rPr>
                <w:rFonts w:ascii="Times New Roman" w:cs="Times New Roman" w:eastAsia="Times New Roman" w:hAnsi="Times New Roman"/>
                <w:sz w:val="18"/>
                <w:szCs w:val="18"/>
                <w:color w:val="auto"/>
                <w:w w:val="76"/>
              </w:rPr>
              <w:t>Jeremy</w:t>
            </w:r>
          </w:p>
        </w:tc>
        <w:tc>
          <w:tcPr>
            <w:tcW w:w="5340" w:type="dxa"/>
            <w:vAlign w:val="bottom"/>
            <w:tcBorders>
              <w:top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Bender, Ph.D., MBA</w:t>
            </w:r>
          </w:p>
        </w:tc>
        <w:tc>
          <w:tcPr>
            <w:tcW w:w="120" w:type="dxa"/>
            <w:vAlign w:val="bottom"/>
          </w:tcPr>
          <w:p>
            <w:pPr>
              <w:spacing w:after="0"/>
              <w:rPr>
                <w:sz w:val="16"/>
                <w:szCs w:val="16"/>
                <w:color w:val="auto"/>
              </w:rPr>
            </w:pPr>
          </w:p>
        </w:tc>
      </w:tr>
      <w:tr>
        <w:trPr>
          <w:trHeight w:val="236"/>
        </w:trPr>
        <w:tc>
          <w:tcPr>
            <w:tcW w:w="3400" w:type="dxa"/>
            <w:vAlign w:val="bottom"/>
          </w:tcPr>
          <w:p>
            <w:pPr>
              <w:spacing w:after="0"/>
              <w:rPr>
                <w:sz w:val="20"/>
                <w:szCs w:val="20"/>
                <w:color w:val="auto"/>
              </w:rPr>
            </w:pP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7720" w:type="dxa"/>
            <w:vAlign w:val="bottom"/>
            <w:gridSpan w:val="2"/>
          </w:tcPr>
          <w:p>
            <w:pPr>
              <w:ind w:left="1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21"/>
                <w:szCs w:val="21"/>
                <w:color w:val="auto"/>
              </w:rPr>
            </w:pPr>
          </w:p>
        </w:tc>
      </w:tr>
      <w:tr>
        <w:trPr>
          <w:trHeight w:val="216"/>
        </w:trPr>
        <w:tc>
          <w:tcPr>
            <w:tcW w:w="34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568"/>
        </w:trPr>
        <w:tc>
          <w:tcPr>
            <w:tcW w:w="34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5" w:lineRule="exact"/>
        <w:rPr>
          <w:sz w:val="20"/>
          <w:szCs w:val="20"/>
          <w:color w:val="auto"/>
        </w:rPr>
      </w:pPr>
    </w:p>
    <w:p>
      <w:pPr>
        <w:ind w:left="760" w:right="160" w:hanging="752"/>
        <w:spacing w:after="0" w:line="282" w:lineRule="auto"/>
        <w:tabs>
          <w:tab w:leader="none" w:pos="3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 2023</w:t>
            </w: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Charles N. York II, M.B.A.</w:t>
            </w:r>
          </w:p>
        </w:tc>
        <w:tc>
          <w:tcPr>
            <w:tcW w:w="12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3480" w:type="dxa"/>
            <w:vAlign w:val="bottom"/>
          </w:tcPr>
          <w:p>
            <w:pPr>
              <w:spacing w:after="0"/>
              <w:rPr>
                <w:sz w:val="19"/>
                <w:szCs w:val="19"/>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Charles N. York II, M.B.A.</w:t>
            </w:r>
          </w:p>
        </w:tc>
        <w:tc>
          <w:tcPr>
            <w:tcW w:w="120" w:type="dxa"/>
            <w:vAlign w:val="bottom"/>
          </w:tcPr>
          <w:p>
            <w:pPr>
              <w:spacing w:after="0"/>
              <w:rPr>
                <w:sz w:val="19"/>
                <w:szCs w:val="19"/>
                <w:color w:val="auto"/>
              </w:rPr>
            </w:pPr>
          </w:p>
        </w:tc>
      </w:tr>
      <w:tr>
        <w:trPr>
          <w:trHeight w:val="319"/>
        </w:trPr>
        <w:tc>
          <w:tcPr>
            <w:tcW w:w="3480" w:type="dxa"/>
            <w:vAlign w:val="bottom"/>
          </w:tcPr>
          <w:p>
            <w:pPr>
              <w:spacing w:after="0"/>
              <w:rPr>
                <w:sz w:val="24"/>
                <w:szCs w:val="24"/>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120" w:type="dxa"/>
            <w:vAlign w:val="bottom"/>
          </w:tcPr>
          <w:p>
            <w:pPr>
              <w:spacing w:after="0"/>
              <w:rPr>
                <w:sz w:val="24"/>
                <w:szCs w:val="24"/>
                <w:color w:val="auto"/>
              </w:rPr>
            </w:pPr>
          </w:p>
        </w:tc>
      </w:tr>
      <w:tr>
        <w:trPr>
          <w:trHeight w:val="338"/>
        </w:trPr>
        <w:tc>
          <w:tcPr>
            <w:tcW w:w="3480" w:type="dxa"/>
            <w:vAlign w:val="bottom"/>
          </w:tcPr>
          <w:p>
            <w:pPr>
              <w:spacing w:after="0"/>
              <w:rPr>
                <w:sz w:val="24"/>
                <w:szCs w:val="24"/>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675"/>
        </w:trPr>
        <w:tc>
          <w:tcPr>
            <w:tcW w:w="3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568"/>
        </w:trPr>
        <w:tc>
          <w:tcPr>
            <w:tcW w:w="34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decimal"/>
      <w:start w:val="6"/>
    </w:lvl>
  </w:abstractNum>
  <w:abstractNum w:abstractNumId="8">
    <w:nsid w:val="737B8DDC"/>
    <w:multiLevelType w:val="hybridMultilevel"/>
    <w:lvl w:ilvl="0">
      <w:lvlJc w:val="left"/>
      <w:lvlText w:val="%1."/>
      <w:numFmt w:val="decimal"/>
      <w:start w:val="7"/>
    </w:lvl>
  </w:abstractNum>
  <w:abstractNum w:abstractNumId="9">
    <w:nsid w:val="6CEAF087"/>
    <w:multiLevelType w:val="hybridMultilevel"/>
    <w:lvl w:ilvl="0">
      <w:lvlJc w:val="left"/>
      <w:lvlText w:val="%1."/>
      <w:numFmt w:val="decimal"/>
      <w:start w:val="8"/>
    </w:lvl>
  </w:abstractNum>
  <w:abstractNum w:abstractNumId="10">
    <w:nsid w:val="22221A70"/>
    <w:multiLevelType w:val="hybridMultilevel"/>
    <w:lvl w:ilvl="0">
      <w:lvlJc w:val="left"/>
      <w:lvlText w:val="%1."/>
      <w:numFmt w:val="decimal"/>
      <w:start w:val="9"/>
    </w:lvl>
  </w:abstractNum>
  <w:abstractNum w:abstractNumId="11">
    <w:nsid w:val="4516DDE9"/>
    <w:multiLevelType w:val="hybridMultilevel"/>
    <w:lvl w:ilvl="0">
      <w:lvlJc w:val="left"/>
      <w:lvlText w:val="%1."/>
      <w:numFmt w:val="decimal"/>
      <w:start w:val="10"/>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04"/>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2023-05-01T08:14:51Z</dcterms:created>
  <dcterms:modified xsi:type="dcterms:W3CDTF">2023-05-01T08:14:51Z</dcterms:modified>
</cp:coreProperties>
</file>