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DAY ONE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001-40431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83-2415215</w:t>
            </w:r>
          </w:p>
        </w:tc>
      </w:tr>
      <w:tr>
        <w:trPr>
          <w:trHeight w:val="148"/>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1800 Sierra Point Parkway, Suite 200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484-0899</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DAWN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17"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on March 6, 2026,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March 6, 2026, Servier Pharmaceuticals LLC, a Delaware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Servier Detroit Inc., a Delaware corporation and a wholly owned subsidiary of Parent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Day One Biopharmaceuticals,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Servier S.A.S., a French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xml:space="preserve"> solely as a guarantor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together with Parent and Purchaser, the “</w:t>
      </w:r>
      <w:r>
        <w:rPr>
          <w:rFonts w:ascii="Times New Roman" w:cs="Times New Roman" w:eastAsia="Times New Roman" w:hAnsi="Times New Roman"/>
          <w:sz w:val="18"/>
          <w:szCs w:val="18"/>
          <w:b w:val="1"/>
          <w:bCs w:val="1"/>
          <w:i w:val="1"/>
          <w:iCs w:val="1"/>
          <w:color w:val="auto"/>
        </w:rPr>
        <w:t>Servier Parties</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All capitalized terms used but not otherwise defined herein have the meanings given to such terms in the Merger Agreement.</w:t>
      </w:r>
    </w:p>
    <w:p>
      <w:pPr>
        <w:spacing w:after="0" w:line="182"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on March 26, 2026, Purchaser commenced a cash tender offer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to purchase all of the issued and outstanding shares of common stock of the Company,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price of $21.50 per share (the “</w:t>
      </w:r>
      <w:r>
        <w:rPr>
          <w:rFonts w:ascii="Times New Roman" w:cs="Times New Roman" w:eastAsia="Times New Roman" w:hAnsi="Times New Roman"/>
          <w:sz w:val="18"/>
          <w:szCs w:val="18"/>
          <w:b w:val="1"/>
          <w:bCs w:val="1"/>
          <w:i w:val="1"/>
          <w:iCs w:val="1"/>
          <w:color w:val="auto"/>
        </w:rPr>
        <w:t>Offer Price</w:t>
      </w:r>
      <w:r>
        <w:rPr>
          <w:rFonts w:ascii="Times New Roman" w:cs="Times New Roman" w:eastAsia="Times New Roman" w:hAnsi="Times New Roman"/>
          <w:sz w:val="18"/>
          <w:szCs w:val="18"/>
          <w:color w:val="auto"/>
        </w:rPr>
        <w:t>”), net to the seller in cash, without interest thereon, and less any applicable tax withholding, upon the terms and subject to the conditions set forth in the Offer to Purchase filed as Exhibit (a)(1)(A) to the Tender Offer Statement on Schedule TO filed by the Servier Parties with the SEC on March 26, 2026, as subsequently amended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and the related Letter of Transmittal.</w:t>
      </w:r>
    </w:p>
    <w:p>
      <w:pPr>
        <w:spacing w:after="0" w:line="17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At one minute past 11:59 p.m., Eastern Time, on April 22, 2026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the Offer expired and was not further extended. Computershare Trust Company, N.A., the depositary and paying agent for the Offer, advised Purchaser that, as of the Expiration Time, a total of 88,180,910 Shares were validly tendered and not properly withdrawn pursuant to the Offer, representing approximately 85.34% of the Shares issued and outstanding as of immediately following the consummation of the Offer. The number of Shares tendered satisfied the Minimum Tender Condition. As the Minimum Tender Condition and each of the other conditions of the Offer were satisfied, on April 23, 2026, Purchaser irrevocably accepted for payment all the Shares validly tendered and not properly withdrawn pursuant to the Offer prior to the Expiration Time, and will pay for such Shares as required by the Merger Agreement.</w:t>
      </w:r>
    </w:p>
    <w:p>
      <w:pPr>
        <w:spacing w:after="0" w:line="18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Offer, on April 23, 2026, the Servier Parties completed the acquisition of the Company, pursuant to the terms and conditions of the Merger Agreement, through the merger of Purchaser with and into the Company, and without a meeting of stockholders of the Company in accordance with Section 251(h)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with the Company continuing as the surviving corporation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a wholly owned subsidiary of Parent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Share issued and outstanding immediately prior to the Effective Time (other than</w:t>
      </w:r>
    </w:p>
    <w:p>
      <w:pPr>
        <w:spacing w:after="0" w:line="31" w:lineRule="exact"/>
        <w:rPr>
          <w:sz w:val="20"/>
          <w:szCs w:val="20"/>
          <w:color w:val="auto"/>
        </w:rPr>
      </w:pPr>
    </w:p>
    <w:p>
      <w:pPr>
        <w:ind w:left="4" w:right="60" w:hanging="4"/>
        <w:spacing w:after="0" w:line="252"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the Company or any wholly owned subsidiary of the Company immediately prior to the Effective Time, (ii) Shares owned by Parent, Purchaser or any other subsidiary of Parent at the commencement of the Offer and owned by Parent, Purchaser or any other subsidiary of Parent immediately prior to the Effective Time, (iii) Shares irrevocably accepted for purchase by Purchaser in the Offer or (iv) Shares that are held by stockholders who are entitled to demand and properly demand appraisal for such Shares pursuant to and in compliance in all respects with Section 262 of the DGCL and do not fail to perfect or otherwise waive, withdraw or lose their right to appraisal with respect to such shares under the DGCL) was converted into the right to receive the Offer Price in cash, without interest thereon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less any applicable tax withholding.</w:t>
      </w:r>
    </w:p>
    <w:p>
      <w:pPr>
        <w:spacing w:after="0" w:line="190"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color w:val="auto"/>
        </w:rPr>
        <w:t>Pursuant to the Merger Agreement, as of immediately prior to the Effective Time, each option to purchase Shares granted under a Company Equity Incentive Plan or as a non-plan inducement award that was then-outstanding (collectively, the “</w:t>
      </w:r>
      <w:r>
        <w:rPr>
          <w:rFonts w:ascii="Times New Roman" w:cs="Times New Roman" w:eastAsia="Times New Roman" w:hAnsi="Times New Roman"/>
          <w:sz w:val="17"/>
          <w:szCs w:val="17"/>
          <w:b w:val="1"/>
          <w:bCs w:val="1"/>
          <w:i w:val="1"/>
          <w:iCs w:val="1"/>
          <w:color w:val="auto"/>
        </w:rPr>
        <w:t>Company Stock Options</w:t>
      </w:r>
      <w:r>
        <w:rPr>
          <w:rFonts w:ascii="Times New Roman" w:cs="Times New Roman" w:eastAsia="Times New Roman" w:hAnsi="Times New Roman"/>
          <w:sz w:val="17"/>
          <w:szCs w:val="17"/>
          <w:color w:val="auto"/>
        </w:rPr>
        <w:t>”) and unvested became fully vested. At the Effective Time, each Company Stock Option that was then outstanding was cancelled and the holder of such Company Stock Option became entitled to receive a cash payment without interest and less any applicable tax withholding, equal to the product obtained by multiplying (i) the total number of Shares underlying such Company Stock Option and (ii) the excess of the Merger Consideration over the per Share exercise price of such Company Stock Option, if such Company Stock Option had a per Share exercise price less than the Merger Consideration. Any Company Stock Option that had an exercise price per Share that was equal to or greater than the Merger Consideration was cancelled for no consideration at the Effective Time.</w:t>
      </w:r>
    </w:p>
    <w:p>
      <w:pPr>
        <w:spacing w:after="0" w:line="171"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as of immediately prior to the Effective Time, each restricted stock unit of the Company granted under a Company Equity Incentive Plan (collectively, the “</w:t>
      </w:r>
      <w:r>
        <w:rPr>
          <w:rFonts w:ascii="Times New Roman" w:cs="Times New Roman" w:eastAsia="Times New Roman" w:hAnsi="Times New Roman"/>
          <w:sz w:val="18"/>
          <w:szCs w:val="18"/>
          <w:b w:val="1"/>
          <w:bCs w:val="1"/>
          <w:i w:val="1"/>
          <w:iCs w:val="1"/>
          <w:color w:val="auto"/>
        </w:rPr>
        <w:t>Company RSUs</w:t>
      </w:r>
      <w:r>
        <w:rPr>
          <w:rFonts w:ascii="Times New Roman" w:cs="Times New Roman" w:eastAsia="Times New Roman" w:hAnsi="Times New Roman"/>
          <w:sz w:val="18"/>
          <w:szCs w:val="18"/>
          <w:color w:val="auto"/>
        </w:rPr>
        <w:t>”) that was then outstanding but unvested became immediately vested in full. At the Effective Time, each Company RSU that was</w:t>
      </w:r>
    </w:p>
    <w:p>
      <w:pPr>
        <w:sectPr>
          <w:pgSz w:w="11900" w:h="16838" w:orient="portrait"/>
          <w:cols w:equalWidth="0" w:num="1">
            <w:col w:w="10984"/>
          </w:cols>
          <w:pgMar w:left="436" w:top="293" w:right="479" w:bottom="1440" w:gutter="0" w:footer="0" w:header="0"/>
        </w:sectPr>
      </w:pPr>
    </w:p>
    <w:bookmarkStart w:id="2" w:name="page3"/>
    <w:bookmarkEnd w:id="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then outstanding (including, without limitation, any restricted stock unit that had been deferred pursuant to the Company’s Director Equity Deferral Plan) was cancelled and the holder thereof became entitled to receive a cash payment, without interest thereon and less any applicable tax withholding, equal to the product obtained by multiplying (i) the Merger Consideration by (ii) the number of Shares underlying such Company RSU.</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Offer, the Merger and the Merger Agreement is not complete and is qualified in its entirety by reference to the Merger Agreement, a copy of which was filed as Exhibit 2.1 to the Company’s Current Report on Form 8-K, filed with the SEC on March 6, 2026,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Merger Agreement, effective as of immediately prior to the Effective Time, the Company terminated the Company ESPP and, as of the Effective Time, each of the Company Stock Plans were terminated.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Merger Agreement, on April 20, 2026, the Company provided written notice to Piper Sandler &amp; Co. and JonesTrading Institutional Services LLC as sales agents (together, the “</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of its election to terminate the Equity Distribution Agreement, dated June 1, 2022, between the Company and the Agents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The termination is effective as of the Expiration Time. The material terms of the Sales Agreement are summarized in the Company’s Registration Statement on Form S-3 filed with the SEC on September 14,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disclosures under the Introductory Note of this Current Report on Form 8-K, Item 3.01, Item 5.01 and Item 5.03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of this Current Report on Form 8-K are incorporated herein by reference.</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22, 2026, the Company (i) confirmed to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that the Offer was scheduled to expire at one minute past 11:59 p.m., Eastern Time, on April 22, 2026, (ii) notified Nasdaq of the anticipated consummation of the Merger prior to market open on April 23, 2026 and (iii) requested that Nasdaq halt trading of the Shares effective as of 8:00 p.m., Eastern Time, on April 22, 2026. On April 23, 2026, the Company confirmed to Nasdaq that the Merger had been consummated and requested that Nasdaq maintain the halt on trading of the Shares and file with the SEC a Form 25 Notification of Removal from Listing and/or Registration to delist and deregister the Shares under Section 12(b)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Parent and the Surviving Corporation also intend to file with the SEC a Certification and Notice of Termination of Registration on Form 15 under the Exchange Act, requesting the termination of registration of the Shares under Section 12(g) of the Exchange Act and the suspension of the Company’s reporting obligations under Sections 13 and 15(d) of the Exchange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disclosures under the Introductory Note, Item 2.01, Item 3.01, Item 5.01 and Item 5.03 of this Current Report on Form 8-K are incorporated herein by reference.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 Merger, at the Effective Time, each Share issued and outstanding immediately prior to the Effective Time (except as described in the Introductory Note of this Current Report on Form 8-K) was converted into the right to receive the Merger Consideration, without interest and less any applicable tax withholding. Accordingly, at the Effective Time, the holders of such Shares ceased to have any rights as stockholders of the Company, other than the right to receive the Merger Consideration.</w:t>
      </w:r>
    </w:p>
    <w:p>
      <w:pPr>
        <w:sectPr>
          <w:pgSz w:w="11900" w:h="16838" w:orient="portrait"/>
          <w:cols w:equalWidth="0" w:num="1">
            <w:col w:w="10960"/>
          </w:cols>
          <w:pgMar w:left="440" w:top="297"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 Changes in Control of Registrant.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disclosures under the Introductory Note, Item 2.01, Item 3.01, Item 5.02 and Item 5.03 of this Current Report on Form 8-K are incorporated herein by reference.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the consummation of the Offer and the Merger, there was a change in control of the Company, and Parent, as the direct parent company of Purchaser, acquired 100% of the voting securities of the Company. The aggregate consideration paid by Parent in connection with the Offer and the Merger is approximately $2.5 billion in equity value and is being funded by Servier and Parent with cash on hand and similar cash-like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knowledge of the Company, there are no arrangements which may at a subsequent date result in a further change in control of the Company.</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as of the Effective Time, the directors of Purchaser immediately prior to the Effective Time became the directors of the Surviving Corporation. The directors of Purchaser immediately prior to the Effective Time were David K. Lee and Danielle Button. As of the Effective Time, Jeremy Bender, Habib Dable, Scott Garland, William Grossman, Natalie Holles, John Josey, Garry Nicholson and Saira Ramasastry each ceased to be directors of the Company and members of any committee of the Company’s board of directors. These departures were not a result of any disagreement between the Company and the directors on any matter relating to the Company’s operations, policies or practices.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as of the Effective Time, the officers of Purchaser immediately prior to the Effective Time became the officers of the Surviving Corporation. The officers of Purchaser immediately prior to the Effective Time were David K. Lee as President and Secretary, and Danielle Button as Treasurer. Effective immediately following the Effective Time, all of the incumbent officers of the Company, as of immediately prior to the Effective Time, were removed as officers of the Company.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Biographical and other information regarding the new director and officers of the Surviving Corporation has been previously disclosed in Schedule I of the Offer to Purchase,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as of the Effective Time, the Company’s certificate of incorporation, as in effect immediately prior to the Effective Time, was amended and restated in its entirety (the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In addition, pursuant to the Merger Agreement, as of the Effective Time, the bylaws of Purchaser, as in effect immediately prior to the Effective Time, became the bylaws of the Company (the “</w:t>
      </w:r>
      <w:r>
        <w:rPr>
          <w:rFonts w:ascii="Times New Roman" w:cs="Times New Roman" w:eastAsia="Times New Roman" w:hAnsi="Times New Roman"/>
          <w:sz w:val="18"/>
          <w:szCs w:val="18"/>
          <w:b w:val="1"/>
          <w:bCs w:val="1"/>
          <w:i w:val="1"/>
          <w:iCs w:val="1"/>
          <w:color w:val="auto"/>
        </w:rPr>
        <w:t>Amended and Restated Bylaws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Copies of the Amended and Restated Certificate of Incorporation and the Amended and Restated Bylaws are filed as Exhibits 3.1 and 3.2, respectively, to this Current Report on Form 8-K, and are incorporated herein by reference.</w:t>
      </w:r>
    </w:p>
    <w:p>
      <w:pPr>
        <w:sectPr>
          <w:pgSz w:w="11900" w:h="16838" w:orient="portrait"/>
          <w:cols w:equalWidth="0" w:num="1">
            <w:col w:w="10980"/>
          </w:cols>
          <w:pgMar w:left="440" w:top="293"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9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000" w:type="dxa"/>
            <w:vAlign w:val="bottom"/>
          </w:tcPr>
          <w:p>
            <w:pPr>
              <w:spacing w:after="0"/>
              <w:rPr>
                <w:sz w:val="17"/>
                <w:szCs w:val="17"/>
                <w:color w:val="auto"/>
              </w:rPr>
            </w:pPr>
          </w:p>
        </w:tc>
        <w:tc>
          <w:tcPr>
            <w:tcW w:w="598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Agreement and Plan of Merger, dated March 6, 2026, by and among the Company, Parent, Purchaser, and, solely for the purposes of</w:t>
            </w:r>
          </w:p>
        </w:tc>
      </w:tr>
      <w:tr>
        <w:trPr>
          <w:trHeight w:val="194"/>
        </w:trPr>
        <w:tc>
          <w:tcPr>
            <w:tcW w:w="980" w:type="dxa"/>
            <w:vAlign w:val="bottom"/>
          </w:tcPr>
          <w:p>
            <w:pPr>
              <w:spacing w:after="0"/>
              <w:rPr>
                <w:sz w:val="16"/>
                <w:szCs w:val="16"/>
                <w:color w:val="auto"/>
              </w:rPr>
            </w:pPr>
          </w:p>
        </w:tc>
        <w:tc>
          <w:tcPr>
            <w:tcW w:w="9980" w:type="dxa"/>
            <w:vAlign w:val="bottom"/>
            <w:gridSpan w:val="5"/>
          </w:tcPr>
          <w:p>
            <w:pPr>
              <w:spacing w:after="0" w:line="194"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Section 10.12, Guarantor (incorporated by reference to </w:t>
            </w:r>
            <w:hyperlink r:id="rId21">
              <w:r>
                <w:rPr>
                  <w:rFonts w:ascii="Times New Roman" w:cs="Times New Roman" w:eastAsia="Times New Roman" w:hAnsi="Times New Roman"/>
                  <w:sz w:val="18"/>
                  <w:szCs w:val="18"/>
                  <w:color w:val="0000EE"/>
                  <w:w w:val="99"/>
                </w:rPr>
                <w:t>Exhibit 2.1</w:t>
              </w:r>
              <w:r>
                <w:rPr>
                  <w:rFonts w:ascii="Times New Roman" w:cs="Times New Roman" w:eastAsia="Times New Roman" w:hAnsi="Times New Roman"/>
                  <w:sz w:val="18"/>
                  <w:szCs w:val="18"/>
                  <w:color w:val="auto"/>
                  <w:w w:val="99"/>
                </w:rPr>
                <w:t xml:space="preserve"> </w:t>
              </w:r>
            </w:hyperlink>
            <w:r>
              <w:rPr>
                <w:rFonts w:ascii="Times New Roman" w:cs="Times New Roman" w:eastAsia="Times New Roman" w:hAnsi="Times New Roman"/>
                <w:sz w:val="18"/>
                <w:szCs w:val="18"/>
                <w:color w:val="auto"/>
                <w:w w:val="99"/>
              </w:rPr>
              <w:t>to the Current Report on Form 8-K filed by the Company with the SEC</w:t>
            </w:r>
          </w:p>
        </w:tc>
      </w:tr>
      <w:tr>
        <w:trPr>
          <w:trHeight w:val="237"/>
        </w:trPr>
        <w:tc>
          <w:tcPr>
            <w:tcW w:w="9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 March 6, 2026).</w:t>
            </w:r>
          </w:p>
        </w:tc>
        <w:tc>
          <w:tcPr>
            <w:tcW w:w="800" w:type="dxa"/>
            <w:vAlign w:val="bottom"/>
            <w:tcBorders>
              <w:top w:val="single" w:sz="8" w:color="0000EE"/>
            </w:tcBorders>
          </w:tcPr>
          <w:p>
            <w:pPr>
              <w:spacing w:after="0"/>
              <w:rPr>
                <w:sz w:val="20"/>
                <w:szCs w:val="20"/>
                <w:color w:val="auto"/>
              </w:rPr>
            </w:pPr>
          </w:p>
        </w:tc>
        <w:tc>
          <w:tcPr>
            <w:tcW w:w="5180" w:type="dxa"/>
            <w:vAlign w:val="bottom"/>
            <w:gridSpan w:val="3"/>
          </w:tcPr>
          <w:p>
            <w:pPr>
              <w:spacing w:after="0"/>
              <w:rPr>
                <w:sz w:val="20"/>
                <w:szCs w:val="20"/>
                <w:color w:val="auto"/>
              </w:rPr>
            </w:pP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the Company, dated April 23, 2026.</w:t>
            </w:r>
          </w:p>
        </w:tc>
        <w:tc>
          <w:tcPr>
            <w:tcW w:w="3460" w:type="dxa"/>
            <w:vAlign w:val="bottom"/>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the Company, dated April 23, 2026.</w:t>
            </w:r>
          </w:p>
        </w:tc>
        <w:tc>
          <w:tcPr>
            <w:tcW w:w="4900" w:type="dxa"/>
            <w:vAlign w:val="bottom"/>
            <w:gridSpan w:val="2"/>
          </w:tcPr>
          <w:p>
            <w:pPr>
              <w:spacing w:after="0"/>
              <w:rPr>
                <w:sz w:val="24"/>
                <w:szCs w:val="24"/>
                <w:color w:val="auto"/>
              </w:rPr>
            </w:pPr>
          </w:p>
        </w:tc>
      </w:tr>
      <w:tr>
        <w:trPr>
          <w:trHeight w:val="3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424" w:right="44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A copy of any omitted schedule will be furnished supplementally to the SEC upon request.</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64"/>
          </w:cols>
          <w:pgMar w:left="436" w:top="293" w:right="49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Lee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Secretary</w:t>
      </w:r>
    </w:p>
    <w:p>
      <w:pPr>
        <w:sectPr>
          <w:pgSz w:w="11900" w:h="16838" w:orient="portrait"/>
          <w:cols w:equalWidth="0" w:num="1">
            <w:col w:w="10940"/>
          </w:cols>
          <w:pgMar w:left="440" w:top="293" w:right="5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207" w:lineRule="exact"/>
        <w:rPr>
          <w:sz w:val="20"/>
          <w:szCs w:val="20"/>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Day One Biopharmaceuticals, Inc.</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(as from time to time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436"/>
        <w:spacing w:after="0" w:line="25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stock which the Corporation shall have authority to issue is 100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Shares of the Common Stock may be issued from time to time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w:t>
      </w:r>
    </w:p>
    <w:p>
      <w:pPr>
        <w:spacing w:after="0" w:line="183" w:lineRule="exact"/>
        <w:rPr>
          <w:rFonts w:ascii="Times New Roman" w:cs="Times New Roman" w:eastAsia="Times New Roman" w:hAnsi="Times New Roman"/>
          <w:sz w:val="18"/>
          <w:szCs w:val="18"/>
          <w:color w:val="auto"/>
        </w:rPr>
      </w:pPr>
    </w:p>
    <w:p>
      <w:pPr>
        <w:ind w:right="40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Common Stock shall have the exclusive right to vote for the election of directors and for all other purposes. Each share of Common Stock shall have one vote, and the Common Stock shall vote together as a single class.</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Section 228 of the DGCL.</w:t>
      </w:r>
    </w:p>
    <w:p>
      <w:pPr>
        <w:spacing w:after="0" w:line="179" w:lineRule="exact"/>
        <w:rPr>
          <w:rFonts w:ascii="Times New Roman" w:cs="Times New Roman" w:eastAsia="Times New Roman" w:hAnsi="Times New Roman"/>
          <w:sz w:val="18"/>
          <w:szCs w:val="18"/>
          <w:color w:val="auto"/>
        </w:rPr>
      </w:pPr>
    </w:p>
    <w:p>
      <w:pPr>
        <w:ind w:right="40"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powers conferred upon the Board by law, the Board shall have the power to make, adopt, alter, amend and repeal from time to time the Bylaws of the Corporation by a majority vote at any regular or special meeting or by written consent, subject to the power of the stockholders to alter, amend and repeal Bylaws made by the Board.</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by and pursuant to this Certificate of Incorporation in its present form or as hereafter amended are granted subject to the right reserved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7" w:name="page8"/>
    <w:bookmarkEnd w:id="7"/>
    <w:p>
      <w:pPr>
        <w:ind w:left="4" w:right="60" w:firstLine="436"/>
        <w:spacing w:after="0" w:line="255" w:lineRule="auto"/>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fullest extent permitted by the DGCL as it now exists and as it may hereafter be amended, no director or officer of the Corporation shall be personally liable to the Corporation or any of its stockholders for monetary damages for breach of fiduciary duty as a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eliminate or limit the liability of a director or officer (i) for any breach of the director’s duty of loyalty to the Corporation or its stockholders, (ii) for acts or omissions not in good faith or which involve intentional misconduct or a knowing violation of law,</w:t>
      </w:r>
    </w:p>
    <w:p>
      <w:pPr>
        <w:spacing w:after="0" w:line="2" w:lineRule="exact"/>
        <w:rPr>
          <w:rFonts w:ascii="Times New Roman" w:cs="Times New Roman" w:eastAsia="Times New Roman" w:hAnsi="Times New Roman"/>
          <w:sz w:val="18"/>
          <w:szCs w:val="18"/>
          <w:color w:val="auto"/>
        </w:rPr>
      </w:pPr>
    </w:p>
    <w:p>
      <w:pPr>
        <w:ind w:left="4" w:hanging="4"/>
        <w:spacing w:after="0" w:line="253"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provisions of Section 174 of the DGCL, or (iv) for any transaction from which the director derived an improper personal benefit. No repeal or modification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apply to or have any adverse effect on any right or protection of, or any limitation of the liability of, a director of the Corporation existing at the time of such repeal or modification with respect to acts or omissions occurring prior to such repeal or modification.</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ectPr>
          <w:pgSz w:w="11900" w:h="16838" w:orient="portrait"/>
          <w:cols w:equalWidth="0" w:num="1">
            <w:col w:w="10964"/>
          </w:cols>
          <w:pgMar w:left="436" w:top="270"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 on April 23,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corporation shall maintain a registered office and registered agent in the State of Delaware. The registered office and/or registered agent of the corporation may be changed from time to time by action of the board of directors.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either within or outside the State of Delaware as the board of directors may from time to time determine or the business of the corporation may require.</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Books and records of the corporation may be kept at the corporation’s headquarters or such other location or locations, within or outside the State of Delaware, as may from time to time be designated by the board of directors.</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Action by Consent Without Meeting</w:t>
      </w:r>
      <w:r>
        <w:rPr>
          <w:rFonts w:ascii="Times New Roman" w:cs="Times New Roman" w:eastAsia="Times New Roman" w:hAnsi="Times New Roman"/>
          <w:sz w:val="18"/>
          <w:szCs w:val="18"/>
          <w:color w:val="auto"/>
        </w:rPr>
        <w:t>. Any action required or permitted to be taken at any annual or special meeting of stockholders of the corporation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principal place of business or to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Annual Elections</w:t>
      </w:r>
      <w:r>
        <w:rPr>
          <w:rFonts w:ascii="Times New Roman" w:cs="Times New Roman" w:eastAsia="Times New Roman" w:hAnsi="Times New Roman"/>
          <w:sz w:val="18"/>
          <w:szCs w:val="18"/>
          <w:color w:val="auto"/>
        </w:rPr>
        <w:t>. An annual election of directors shall be held either by written consent of stockholders without a meeting, under Section 2.1 of these bylaws, or at a meeting at such time as shall be determined by resolution of the board of directors, and duly called to be held at such hour and place either within or without the State of Delaware as may be stated in the call and notice. If the consent is less than unanimous, it will constitute a consent in lieu of the annual meeting only if all of the directorships to which directors could be elected at an annual meeting held at the effective time of the consent were (i) vacant at the effective time and (ii) filled by action of the consent.</w:t>
      </w:r>
    </w:p>
    <w:p>
      <w:pPr>
        <w:sectPr>
          <w:pgSz w:w="11900" w:h="16838" w:orient="portrait"/>
          <w:cols w:equalWidth="0" w:num="1">
            <w:col w:w="11020"/>
          </w:cols>
          <w:pgMar w:left="440" w:top="117" w:right="439" w:bottom="1440" w:gutter="0" w:footer="0" w:header="0"/>
        </w:sectPr>
      </w:pPr>
    </w:p>
    <w:bookmarkStart w:id="9" w:name="page10"/>
    <w:bookmarkEnd w:id="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held upon call of the president or a majority of the board of directors (and shall be called by the secretary upon written request, stating the purpose of the meeting, of stockholders who together own of record 25% of the outstanding stock of any class entitled to vote at such meeting), at such time and place either within or without the State of Delaware as may be stated in the call and notice.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written notice of the meeting shall be given which shall state the place, if any, date, time and means of remote communication, if any, of the meeting, and, in the 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 If mailed, such notice shall be deemed to be given when deposited in the United States mail, postage prepaid, directed to the stockholder at their address as it appears on the records of the corporation.</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meetings. If the adjournment is for more than thirty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2.9 of these bylaws, and shall give notice of the adjourned meeting to each stockholder of record entitled to vote at such adjourned meeting as of the record date fixed for notice of such adjourned meeting.</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each meeting of stockholders, except where otherwise provided by law or the certificate of incorporation or these bylaws, the holders present in person or by proxy of a majority of the outstanding shares of each class of stock entitled to vote at the meeting shall constitute a quorum. For purposes of the foregoing, two or more classes or series of stock shall be considered a single class if entitled to vote together as a single class upon a particular election or question. In the absence of a quorum, the stockholders so present may, by majority vote, adjourn the meeting from time to time in the manner provided by Section 2.5 of these bylaws until a quorum shall attend.</w:t>
      </w:r>
    </w:p>
    <w:p>
      <w:pPr>
        <w:spacing w:after="0" w:line="183"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the president, or in their absence by a vice president, or in the absence of the foregoing persons by a chairperson chosen at the meeting. The secretary shall act as secretary of the meeting, but in their absence the chairperson of the meeting may appoint any person to act as secretary of the meeting.</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Unless otherwise provided in the certificate of incorporation, each stockholder entitled to vote at any meeting of stockholders, or to express consent or dissent to corporate action in writing without a meeting, shall be entitled to one vote for each share of stock held by them which has voting power upon the matter in question. Each such stockholder may authorize another person or persons to act for them by proxy, but no such proxy shall be voted or acted upon after three years from its date, unless the proxy provides for a longer period. All elections of directors shall be by written ballot, unless otherwise provided in the certificate of incorporation; but voting on other questions by stockholders need not be by ballot and need not be conducted by inspectors. A plurality of the votes cast shall be sufficient for election of directors by stockholders. Unless otherwise provided by law, the certificate of incorporation or these bylaws, or a resolution of the board of directors, all other questions shall be decided by the vote of the holders of a majority of the outstanding shares of all classes of stock entitled to vote thereon present in person or by proxy at a meeting, or by written consent without a meeting of the number of votes required by Section 2.1 of these bylaws.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0" w:name="page11"/>
    <w:bookmarkEnd w:id="10"/>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If no record date is fixed</w:t>
      </w:r>
    </w:p>
    <w:p>
      <w:pPr>
        <w:spacing w:after="0" w:line="3" w:lineRule="exact"/>
        <w:rPr>
          <w:sz w:val="20"/>
          <w:szCs w:val="20"/>
          <w:color w:val="auto"/>
        </w:rPr>
      </w:pPr>
    </w:p>
    <w:p>
      <w:pPr>
        <w:ind w:left="4" w:right="20" w:hanging="4"/>
        <w:spacing w:after="0" w:line="251"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entitled to consent to corporate action in writing without a meeting, when no prior action by the board of directors is required by law, shall be the first date on which a signed written consent is delivered to the corporation.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 The record date for determining stockholders for any purpose shall be at the close of business on the day on which the board of directors adopts the resolution relating thereto.</w:t>
      </w:r>
    </w:p>
    <w:p>
      <w:pPr>
        <w:spacing w:after="0" w:line="194"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Management of Affairs of Corporation</w:t>
      </w:r>
      <w:r>
        <w:rPr>
          <w:rFonts w:ascii="Times New Roman" w:cs="Times New Roman" w:eastAsia="Times New Roman" w:hAnsi="Times New Roman"/>
          <w:sz w:val="18"/>
          <w:szCs w:val="18"/>
          <w:color w:val="auto"/>
        </w:rPr>
        <w:t>. The property and business of the corporation shall be managed by or under the direction of its board of directors. The board of directors may exercise all such powers of the corporation and do all such lawful acts and things as are not reserved exclusively to the stockholders by law, the certificate of incorporation or these bylaws.</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Qualifications</w:t>
      </w:r>
      <w:r>
        <w:rPr>
          <w:rFonts w:ascii="Times New Roman" w:cs="Times New Roman" w:eastAsia="Times New Roman" w:hAnsi="Times New Roman"/>
          <w:sz w:val="18"/>
          <w:szCs w:val="18"/>
          <w:color w:val="auto"/>
        </w:rPr>
        <w:t>. The board of directors shall consist of one or more members. The number of directors shall be such as may be fixed from time to time either by stockholder action or by resolution of the board of directors. Directors need not be stockholders.</w:t>
      </w:r>
    </w:p>
    <w:p>
      <w:pPr>
        <w:spacing w:after="0" w:line="162"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Election; Resignation; Vacancies</w:t>
      </w:r>
      <w:r>
        <w:rPr>
          <w:rFonts w:ascii="Times New Roman" w:cs="Times New Roman" w:eastAsia="Times New Roman" w:hAnsi="Times New Roman"/>
          <w:sz w:val="18"/>
          <w:szCs w:val="18"/>
          <w:color w:val="auto"/>
        </w:rPr>
        <w:t>. Any director may resign at any time upon written notice to the corporation. Any vacancy occurring in the board of directors for any cause may be filled by a majority of the remaining members of the board of directors, although less than a quorum, or by a sole remaining director; or by a plurality of the votes cast at a meeting of stockholders; or by consent in writing signed by the holders of outstanding stock having not less than a majority of the votes of such stock. Whether elected at an annual election of directors or to fill an interim vacancy, each director shall hold office until the next succeeding annual election or until their successor is elected and qualified or until their earlier resignation or removal. Any director or the entire board of directors may be removed, with or without cause, by the holders of a majority of the shares then entitled to vote at an election of directors.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1" w:name="page12"/>
    <w:bookmarkEnd w:id="11"/>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62"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held at any time or place within or without the State of Delaware whenever called by a quorum of the board of directors. At least two days’ notice thereof shall be given by the person or persons calling the meeting.</w:t>
      </w:r>
    </w:p>
    <w:p>
      <w:pPr>
        <w:spacing w:after="0" w:line="14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Telephonic Meetings Permitted</w:t>
      </w:r>
      <w:r>
        <w:rPr>
          <w:rFonts w:ascii="Times New Roman" w:cs="Times New Roman" w:eastAsia="Times New Roman" w:hAnsi="Times New Roman"/>
          <w:sz w:val="18"/>
          <w:szCs w:val="18"/>
          <w:color w:val="auto"/>
        </w:rPr>
        <w:t>. Members of the board of directors, or any committee designated by the board of directors, may participate in a meeting of such board of directors or committee by means of conference telephone or similar communications equipment by means of which all persons participating in the meeting can hear each other, and participation in a meeting pursuant to this bylaw shall constitute presence in person at such meeting.</w:t>
      </w:r>
    </w:p>
    <w:p>
      <w:pPr>
        <w:spacing w:after="0" w:line="180" w:lineRule="exact"/>
        <w:rPr>
          <w:sz w:val="20"/>
          <w:szCs w:val="20"/>
          <w:color w:val="auto"/>
        </w:rPr>
      </w:pPr>
    </w:p>
    <w:p>
      <w:pPr>
        <w:jc w:val="both"/>
        <w:ind w:right="6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all meetings of the board of directors a majority of the entire board of directors shall constitute a quorum for the transaction of business. Except in cases in which the certificate of incorporation or these bylaws otherwise provide, the vote of a majority of the directors present at a meeting at which a quorum is present shall be the act of the board of directors.</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 of the board of directors shall be presided over by the president, or in their absence by a chairperson chosen at the meeting. The secretary shall act as secretary of the meeting, but in their absence the chairperson of the meeting may appoint any person to act as secretary of the meeting.</w:t>
      </w:r>
    </w:p>
    <w:p>
      <w:pPr>
        <w:spacing w:after="0" w:line="176"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Informal Action by Directors</w:t>
      </w:r>
      <w:r>
        <w:rPr>
          <w:rFonts w:ascii="Times New Roman" w:cs="Times New Roman" w:eastAsia="Times New Roman" w:hAnsi="Times New Roman"/>
          <w:sz w:val="18"/>
          <w:szCs w:val="18"/>
          <w:color w:val="auto"/>
        </w:rPr>
        <w:t>. Any action required or permitted to be taken at any meeting of the board of directors, or of any committee thereof, may be taken without a meeting, if all members of the board of directors or of such committee, as the case may be, consent to the action in writing or by electronic transmission, and the writing or electronic transmission is filed with the minutes of proceedings of the board of directors or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Executive Officers; Election; Qualifications; Term of Office; Resignations; Vacancies</w:t>
      </w:r>
      <w:r>
        <w:rPr>
          <w:rFonts w:ascii="Times New Roman" w:cs="Times New Roman" w:eastAsia="Times New Roman" w:hAnsi="Times New Roman"/>
          <w:sz w:val="18"/>
          <w:szCs w:val="18"/>
          <w:color w:val="auto"/>
        </w:rPr>
        <w:t>. The board of directors, as soon as practicable after the annual election of directors in each year, shall elect a president, a secretary, and it may, if it so determines, elect a chairperson of the board of directors who need not be a member, one or more vice presidents, a treasurer and such other officers as the board of directors shall determine. The board of directors may also choose one or more assistant officers. Any offices may be held, and the duties performed, by one and the same person. Each such officer shall hold office until the first meeting, or action by consent without a meeting, of the board of directors after the annual election of directors next succeeding their election, or until their successor is elected and qualified or until their earlier resignation or removal. Any officer may resign at any time upon written notice to the corporation. Any officer may be removed from office at any time by the affirmative vote of a majority of the members of the board of directors then in office. Any vacancy occurring in any office of the corporation by death, resignation, removal or otherwise may be filled for the unexpired portion of the term by the board of directors at any regular or special meeting, or by unanimous written consent without a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 w:name="page13"/>
    <w:bookmarkEnd w:id="12"/>
    <w:p>
      <w:pPr>
        <w:ind w:right="3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Times New Roman" w:cs="Times New Roman" w:eastAsia="Times New Roman" w:hAnsi="Times New Roman"/>
          <w:sz w:val="17"/>
          <w:szCs w:val="17"/>
          <w:u w:val="single" w:color="auto"/>
          <w:color w:val="auto"/>
        </w:rPr>
        <w:t>Powers and Duties of Executive Officers</w:t>
      </w:r>
      <w:r>
        <w:rPr>
          <w:rFonts w:ascii="Times New Roman" w:cs="Times New Roman" w:eastAsia="Times New Roman" w:hAnsi="Times New Roman"/>
          <w:sz w:val="17"/>
          <w:szCs w:val="17"/>
          <w:color w:val="auto"/>
        </w:rPr>
        <w:t>. The officers of the corporation shall have such powers and duties as generally pertain to their respective offices, as well as such powers and duties as from time to time shall be conferred by these bylaws or the board of directors. The president shall, subject to the board of directors, have general direction and supervision of the business operations and affairs of the corporation. The chairperson of the board of directors shall have only such powers and authority as may be specifically delegated to them by the board of directors.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All shares of the corporation’s stock shall be uncertificated shares unless the board of directors provides by resolution or resolutions that some or all of any or all classes or series of the corporation’s stock shall be represented by certificates. In such case, the board of directors may, consistent with applicable law, adopt such rules as it deems appropriate concerning the issuance, signature, registration, surrender and replacement of certificates and the transfer of certificated shares.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 Transfers of shares of stock shall be made only on the books of the corporation by the registered holder thereof or by its attorney or successor duly authorized as evidenced by documents filed with the secretary or transfer agent of the corporation. In the case of certificated shares, upon surrender to the corporation or the transfer agent of the corporation of a certificate for shares duly endorsed or accompanied by proper evidence of succession, assignment or authority to transfer, and in compliance with any restrictions on transfer of which the corporation has notice applicable to the certificate or shares represented thereby, the corporation shall issue a new certificate to the person entitled thereto, cancel the old certificate and record the transaction upon its books. The board of directors may adopt such additional rules and regulations as it deems advisable concerning the transfer and registration of certificates of stock of the corporation.</w:t>
      </w:r>
    </w:p>
    <w:p>
      <w:pPr>
        <w:spacing w:after="0" w:line="200" w:lineRule="exact"/>
        <w:rPr>
          <w:sz w:val="20"/>
          <w:szCs w:val="20"/>
          <w:color w:val="auto"/>
        </w:rPr>
      </w:pPr>
    </w:p>
    <w:p>
      <w:pPr>
        <w:spacing w:after="0" w:line="2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 In the absence of such a resolution, the fiscal year of the corporation shall be the calendar year.</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adopt a corporate seal bearing the name of the corporation, in such form as the board of directors may approve from time to time.</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Waiver of Notice of Meetings of Stockholders, Directors and Committees</w:t>
      </w:r>
      <w:r>
        <w:rPr>
          <w:rFonts w:ascii="Times New Roman" w:cs="Times New Roman" w:eastAsia="Times New Roman" w:hAnsi="Times New Roman"/>
          <w:sz w:val="18"/>
          <w:szCs w:val="18"/>
          <w:color w:val="auto"/>
        </w:rPr>
        <w:t>. Any written waiver of notice, signed by the person entitled to notice, whether before or after the time stated therein, shall be deemed equivalent to notice. The presence of a person at a meeting, or their participation in a telephonic meeting, shall constitute a waiver of notice, except when a person attends a meeting or participates in a telephonic meeting for the express purpose of objecting, at the beginning of the meeting, to the transaction of any business because the meeting is not lawfully called, convened or initiated. Neither the business to be transacted at, nor the purpose of, any regular or special meeting of the stockholders, directors or members of a committee of directors need be specified in any written waiver of notice.</w:t>
      </w:r>
    </w:p>
    <w:p>
      <w:pPr>
        <w:spacing w:after="0" w:line="18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 The corporation shall indemnify any person who is or was a director or officer of the corporation or who is or has served at the request of the corporation as a director, office, employee or agent of another corporation, partnership, joint venture, trust or other enterprise, to the fullest extent permitted by the Delaware General Corporation Law as in effect at the time of adoption of these bylaws or as amended from time to time. The foregoing right of indemnification shall not be exclusive of any other rights to which a person seeking indemnification may be entitled under any bylaw, agreement, vote of stockholders or disinterested directors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If authorized by the board of directors, the corporation may purchase and maintain insurance on behalf of any person who is or was a director, officer, employee or agent of the corporation, or who is or has served at the request of the corporation as a director, officer, employee or agent of another corporation, partnership, joint venture, trust or other enterprise, to the full extent permitted by the Delaware General Corporation Law as in effect at the time of the adoption of this bylaw or as amended from time to time.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These bylaws may be altered, amended or repealed (a) by the affirmative vote of a majority of the stock having voting power present in person or by proxy at any annual meeting of stockholders at which a quorum is present, or at any special meeting of stockholders at which a quorum is present, if notice of the proposed alteration, amendment or repeal is contained in the notice of such special meeting, or (b) by the affirmative vote of a majority of the directors then qualified and acting at any regular or special meeting of the board, if the certificate of incorporation confers such power upon the board; provided, however, that the stockholders may provide specifically for limitations on the power of directors to amend particular bylaws and, in such event, the directors’ power of amendment shall be so limited; and further provided that no reduction in the number of directors shall have the effect of removing any director prior to the expiration of such director’s term of office.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1"/>
    </w:lvl>
    <w:lvl w:ilvl="1">
      <w:lvlJc w:val="left"/>
      <w:lvlText w:val="%2."/>
      <w:numFmt w:val="decimal"/>
      <w:start w:val="9"/>
    </w:lvl>
  </w:abstractNum>
  <w:abstractNum w:abstractNumId="6">
    <w:nsid w:val="79E2A9E3"/>
    <w:multiLevelType w:val="hybridMultilevel"/>
    <w:lvl w:ilvl="0">
      <w:lvlJc w:val="left"/>
      <w:lvlText w:val="(%1)"/>
      <w:numFmt w:val="lowerRoman"/>
      <w:start w:val="3"/>
    </w:lvl>
    <w:lvl w:ilvl="1">
      <w:lvlJc w:val="left"/>
      <w:lvlText w:val="%2."/>
      <w:numFmt w:val="decimal"/>
      <w:start w:val="10"/>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1" Type="http://schemas.openxmlformats.org/officeDocument/2006/relationships/hyperlink" Target="http://www.sec.gov/Archives/edgar/data/1845337/000119312526095174/d10897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2026-04-23T07:57:03Z</dcterms:created>
  <dcterms:modified xsi:type="dcterms:W3CDTF">2026-04-23T07:57:03Z</dcterms:modified>
</cp:coreProperties>
</file>